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1F86" w14:textId="0765FDE4" w:rsidR="0014799A" w:rsidRPr="003B74E0" w:rsidRDefault="00C409D1" w:rsidP="00C409D1">
      <w:r w:rsidRPr="003B74E0">
        <w:t xml:space="preserve">Appendix to Company Announcement </w:t>
      </w:r>
      <w:r w:rsidR="00E36DD6" w:rsidRPr="003B74E0">
        <w:t xml:space="preserve">no. </w:t>
      </w:r>
      <w:r w:rsidR="0060462C">
        <w:t>2/2026</w:t>
      </w:r>
    </w:p>
    <w:p w14:paraId="3C188807" w14:textId="77777777" w:rsidR="00C409D1" w:rsidRPr="003B74E0" w:rsidRDefault="00C409D1" w:rsidP="00C409D1"/>
    <w:p w14:paraId="60CE1D83" w14:textId="13D27FE0" w:rsidR="0014799A" w:rsidRPr="003B74E0" w:rsidRDefault="00C409D1" w:rsidP="0014799A">
      <w:pPr>
        <w:rPr>
          <w:i/>
          <w:iCs/>
        </w:rPr>
      </w:pPr>
      <w:r w:rsidRPr="003B74E0">
        <w:rPr>
          <w:i/>
          <w:iCs/>
        </w:rPr>
        <w:t>NOT FOR DISTRIBUTION OR RELEASE, DIRECTLY OR INDIRECTLY, IN OR INTO ANY JURISDICTION IN WHICH DISTRIBUTION OR RELEASE WOULD BE UNLAWFUL</w:t>
      </w:r>
    </w:p>
    <w:p w14:paraId="14674D7D" w14:textId="77777777" w:rsidR="00C409D1" w:rsidRPr="003B74E0" w:rsidRDefault="00C409D1" w:rsidP="0014799A"/>
    <w:p w14:paraId="3FC88D62" w14:textId="6741FD04" w:rsidR="00C409D1" w:rsidRPr="003B74E0" w:rsidRDefault="00C409D1" w:rsidP="00C409D1">
      <w:pPr>
        <w:rPr>
          <w:rFonts w:asciiTheme="majorHAnsi" w:eastAsiaTheme="majorEastAsia" w:hAnsiTheme="majorHAnsi" w:cstheme="majorBidi"/>
          <w:b/>
          <w:bCs/>
          <w:caps/>
          <w:spacing w:val="5"/>
          <w:szCs w:val="32"/>
        </w:rPr>
      </w:pPr>
      <w:r w:rsidRPr="003B74E0">
        <w:rPr>
          <w:b/>
          <w:lang w:bidi="en-GB"/>
        </w:rPr>
        <w:t>S</w:t>
      </w:r>
      <w:r w:rsidRPr="003B74E0">
        <w:rPr>
          <w:rFonts w:asciiTheme="majorHAnsi" w:eastAsiaTheme="majorEastAsia" w:hAnsiTheme="majorHAnsi" w:cstheme="majorBidi"/>
          <w:b/>
          <w:bCs/>
          <w:caps/>
          <w:spacing w:val="5"/>
          <w:szCs w:val="32"/>
        </w:rPr>
        <w:t xml:space="preserve">TATEMENT OF </w:t>
      </w:r>
      <w:r w:rsidR="00C108B5">
        <w:rPr>
          <w:rFonts w:asciiTheme="majorHAnsi" w:eastAsiaTheme="majorEastAsia" w:hAnsiTheme="majorHAnsi" w:cstheme="majorBidi"/>
          <w:b/>
          <w:bCs/>
          <w:caps/>
          <w:spacing w:val="5"/>
          <w:szCs w:val="32"/>
        </w:rPr>
        <w:t>7 January 2026</w:t>
      </w:r>
      <w:r w:rsidRPr="003B74E0">
        <w:rPr>
          <w:rFonts w:asciiTheme="majorHAnsi" w:eastAsiaTheme="majorEastAsia" w:hAnsiTheme="majorHAnsi" w:cstheme="majorBidi"/>
          <w:b/>
          <w:bCs/>
          <w:caps/>
          <w:spacing w:val="5"/>
          <w:szCs w:val="32"/>
        </w:rPr>
        <w:t xml:space="preserve"> </w:t>
      </w:r>
      <w:r w:rsidR="007F18C9" w:rsidRPr="003B74E0">
        <w:rPr>
          <w:rFonts w:asciiTheme="majorHAnsi" w:eastAsiaTheme="majorEastAsia" w:hAnsiTheme="majorHAnsi" w:cstheme="majorBidi"/>
          <w:b/>
          <w:bCs/>
          <w:caps/>
          <w:spacing w:val="5"/>
          <w:szCs w:val="32"/>
        </w:rPr>
        <w:t xml:space="preserve">by </w:t>
      </w:r>
      <w:r w:rsidRPr="003B74E0">
        <w:rPr>
          <w:rFonts w:asciiTheme="majorHAnsi" w:eastAsiaTheme="majorEastAsia" w:hAnsiTheme="majorHAnsi" w:cstheme="majorBidi"/>
          <w:b/>
          <w:bCs/>
          <w:caps/>
          <w:spacing w:val="5"/>
          <w:szCs w:val="32"/>
        </w:rPr>
        <w:t xml:space="preserve">THE </w:t>
      </w:r>
      <w:r w:rsidR="00B86488" w:rsidRPr="003B74E0">
        <w:rPr>
          <w:rFonts w:asciiTheme="majorHAnsi" w:eastAsiaTheme="majorEastAsia" w:hAnsiTheme="majorHAnsi" w:cstheme="majorBidi"/>
          <w:b/>
          <w:bCs/>
          <w:caps/>
          <w:spacing w:val="5"/>
          <w:szCs w:val="32"/>
        </w:rPr>
        <w:t>BOARD OF DIRECTORS</w:t>
      </w:r>
      <w:r w:rsidRPr="003B74E0">
        <w:rPr>
          <w:rFonts w:asciiTheme="majorHAnsi" w:eastAsiaTheme="majorEastAsia" w:hAnsiTheme="majorHAnsi" w:cstheme="majorBidi"/>
          <w:b/>
          <w:bCs/>
          <w:caps/>
          <w:spacing w:val="5"/>
          <w:szCs w:val="32"/>
        </w:rPr>
        <w:t xml:space="preserve"> OF </w:t>
      </w:r>
      <w:r w:rsidR="00347260" w:rsidRPr="003B74E0">
        <w:rPr>
          <w:rFonts w:asciiTheme="majorHAnsi" w:eastAsiaTheme="majorEastAsia" w:hAnsiTheme="majorHAnsi" w:cstheme="majorBidi"/>
          <w:b/>
          <w:bCs/>
          <w:caps/>
          <w:spacing w:val="5"/>
          <w:szCs w:val="32"/>
        </w:rPr>
        <w:t>Nilfisk holding</w:t>
      </w:r>
      <w:r w:rsidRPr="003B74E0">
        <w:rPr>
          <w:rFonts w:asciiTheme="majorHAnsi" w:eastAsiaTheme="majorEastAsia" w:hAnsiTheme="majorHAnsi" w:cstheme="majorBidi"/>
          <w:b/>
          <w:bCs/>
          <w:caps/>
          <w:spacing w:val="5"/>
          <w:szCs w:val="32"/>
        </w:rPr>
        <w:t xml:space="preserve"> A/S</w:t>
      </w:r>
    </w:p>
    <w:p w14:paraId="0BE4B81B" w14:textId="46948352" w:rsidR="00C409D1" w:rsidRPr="003B74E0" w:rsidRDefault="00C409D1" w:rsidP="00212396">
      <w:pPr>
        <w:pStyle w:val="DSBodyTextIndent1"/>
        <w:ind w:left="0"/>
        <w:jc w:val="both"/>
      </w:pPr>
      <w:r w:rsidRPr="003B74E0">
        <w:rPr>
          <w:lang w:bidi="en-GB"/>
        </w:rPr>
        <w:t xml:space="preserve">Regarding the voluntary </w:t>
      </w:r>
      <w:r w:rsidR="0012325A" w:rsidRPr="003B74E0">
        <w:rPr>
          <w:lang w:bidi="en-GB"/>
        </w:rPr>
        <w:t xml:space="preserve">public </w:t>
      </w:r>
      <w:r w:rsidR="00711E72" w:rsidRPr="003B74E0">
        <w:rPr>
          <w:lang w:bidi="en-GB"/>
        </w:rPr>
        <w:t>takeover</w:t>
      </w:r>
      <w:r w:rsidRPr="003B74E0">
        <w:rPr>
          <w:lang w:bidi="en-GB"/>
        </w:rPr>
        <w:t xml:space="preserve"> offer made by </w:t>
      </w:r>
      <w:r w:rsidR="00BF0392" w:rsidRPr="003B74E0">
        <w:t>Freudenberg Home and Cleaning Solutions GmbH</w:t>
      </w:r>
      <w:r w:rsidR="002C5F76" w:rsidRPr="003B74E0">
        <w:t xml:space="preserve"> </w:t>
      </w:r>
      <w:r w:rsidRPr="003B74E0">
        <w:rPr>
          <w:lang w:bidi="en-GB"/>
        </w:rPr>
        <w:t xml:space="preserve">on </w:t>
      </w:r>
      <w:r w:rsidR="00C108B5">
        <w:rPr>
          <w:rFonts w:cstheme="majorHAnsi"/>
        </w:rPr>
        <w:t>7 January 2026</w:t>
      </w:r>
      <w:r w:rsidR="00FD2A03">
        <w:rPr>
          <w:rFonts w:cstheme="majorHAnsi"/>
        </w:rPr>
        <w:t>.</w:t>
      </w:r>
    </w:p>
    <w:p w14:paraId="5C4F7C39" w14:textId="3D088458" w:rsidR="00C409D1" w:rsidRPr="003B74E0" w:rsidRDefault="00C409D1" w:rsidP="0014799A"/>
    <w:p w14:paraId="296C3903" w14:textId="28164048" w:rsidR="00D335F6" w:rsidRPr="003B74E0" w:rsidRDefault="005C4573" w:rsidP="005C4573">
      <w:pPr>
        <w:tabs>
          <w:tab w:val="left" w:pos="3887"/>
          <w:tab w:val="center" w:pos="4960"/>
        </w:tabs>
        <w:spacing w:after="160" w:line="259" w:lineRule="auto"/>
      </w:pPr>
      <w:r w:rsidRPr="003B74E0">
        <w:tab/>
      </w:r>
      <w:r w:rsidRPr="003B74E0">
        <w:tab/>
      </w:r>
    </w:p>
    <w:p w14:paraId="0388D08B" w14:textId="2A52113E" w:rsidR="00C409D1" w:rsidRPr="003B74E0" w:rsidRDefault="00C409D1" w:rsidP="00D335F6">
      <w:pPr>
        <w:tabs>
          <w:tab w:val="center" w:pos="4960"/>
        </w:tabs>
        <w:spacing w:after="160" w:line="259" w:lineRule="auto"/>
      </w:pPr>
      <w:r w:rsidRPr="003B74E0">
        <w:br w:type="page"/>
      </w:r>
      <w:r w:rsidR="00D335F6" w:rsidRPr="003B74E0">
        <w:lastRenderedPageBreak/>
        <w:tab/>
      </w:r>
    </w:p>
    <w:p w14:paraId="729FFC71" w14:textId="3467DE48" w:rsidR="00ED5B3D" w:rsidRDefault="00C409D1">
      <w:pPr>
        <w:pStyle w:val="TOC1"/>
        <w:rPr>
          <w:rFonts w:asciiTheme="minorHAnsi" w:eastAsiaTheme="minorEastAsia" w:hAnsiTheme="minorHAnsi"/>
          <w:b w:val="0"/>
          <w:caps w:val="0"/>
          <w:kern w:val="2"/>
          <w:sz w:val="24"/>
          <w:szCs w:val="24"/>
          <w:lang w:eastAsia="en-GB"/>
          <w14:ligatures w14:val="standardContextual"/>
        </w:rPr>
      </w:pPr>
      <w:r w:rsidRPr="003B74E0">
        <w:rPr>
          <w:noProof w:val="0"/>
        </w:rPr>
        <w:fldChar w:fldCharType="begin"/>
      </w:r>
      <w:r w:rsidRPr="003B74E0">
        <w:rPr>
          <w:noProof w:val="0"/>
        </w:rPr>
        <w:instrText xml:space="preserve"> TOC \o "1-5" \u </w:instrText>
      </w:r>
      <w:r w:rsidRPr="003B74E0">
        <w:rPr>
          <w:noProof w:val="0"/>
        </w:rPr>
        <w:fldChar w:fldCharType="separate"/>
      </w:r>
      <w:r w:rsidR="00ED5B3D">
        <w:t>1.</w:t>
      </w:r>
      <w:r w:rsidR="00ED5B3D">
        <w:rPr>
          <w:rFonts w:asciiTheme="minorHAnsi" w:eastAsiaTheme="minorEastAsia" w:hAnsiTheme="minorHAnsi"/>
          <w:b w:val="0"/>
          <w:caps w:val="0"/>
          <w:kern w:val="2"/>
          <w:sz w:val="24"/>
          <w:szCs w:val="24"/>
          <w:lang w:eastAsia="en-GB"/>
          <w14:ligatures w14:val="standardContextual"/>
        </w:rPr>
        <w:tab/>
      </w:r>
      <w:r w:rsidR="00ED5B3D">
        <w:rPr>
          <w:lang w:bidi="en-GB"/>
        </w:rPr>
        <w:t>Introduction</w:t>
      </w:r>
      <w:r w:rsidR="00ED5B3D">
        <w:tab/>
      </w:r>
      <w:r w:rsidR="00ED5B3D">
        <w:fldChar w:fldCharType="begin"/>
      </w:r>
      <w:r w:rsidR="00ED5B3D">
        <w:instrText xml:space="preserve"> PAGEREF _Toc218590546 \h </w:instrText>
      </w:r>
      <w:r w:rsidR="00ED5B3D">
        <w:fldChar w:fldCharType="separate"/>
      </w:r>
      <w:r w:rsidR="00DE5216">
        <w:t>4</w:t>
      </w:r>
      <w:r w:rsidR="00ED5B3D">
        <w:fldChar w:fldCharType="end"/>
      </w:r>
    </w:p>
    <w:p w14:paraId="7EA4685E" w14:textId="68860ECD" w:rsidR="00ED5B3D" w:rsidRDefault="00ED5B3D">
      <w:pPr>
        <w:pStyle w:val="TOC2"/>
        <w:rPr>
          <w:rFonts w:asciiTheme="minorHAnsi" w:eastAsiaTheme="minorEastAsia" w:hAnsiTheme="minorHAnsi"/>
          <w:kern w:val="2"/>
          <w:sz w:val="24"/>
          <w:szCs w:val="24"/>
          <w:lang w:eastAsia="en-GB"/>
          <w14:ligatures w14:val="standardContextual"/>
        </w:rPr>
      </w:pPr>
      <w:r>
        <w:t>1.1</w:t>
      </w:r>
      <w:r>
        <w:rPr>
          <w:rFonts w:asciiTheme="minorHAnsi" w:eastAsiaTheme="minorEastAsia" w:hAnsiTheme="minorHAnsi"/>
          <w:kern w:val="2"/>
          <w:sz w:val="24"/>
          <w:szCs w:val="24"/>
          <w:lang w:eastAsia="en-GB"/>
          <w14:ligatures w14:val="standardContextual"/>
        </w:rPr>
        <w:tab/>
      </w:r>
      <w:r>
        <w:rPr>
          <w:lang w:bidi="en-GB"/>
        </w:rPr>
        <w:t>Summary of the Offer</w:t>
      </w:r>
      <w:r>
        <w:tab/>
      </w:r>
      <w:r>
        <w:fldChar w:fldCharType="begin"/>
      </w:r>
      <w:r>
        <w:instrText xml:space="preserve"> PAGEREF _Toc218590547 \h </w:instrText>
      </w:r>
      <w:r>
        <w:fldChar w:fldCharType="separate"/>
      </w:r>
      <w:r w:rsidR="00DE5216">
        <w:t>4</w:t>
      </w:r>
      <w:r>
        <w:fldChar w:fldCharType="end"/>
      </w:r>
    </w:p>
    <w:p w14:paraId="0444DEF4" w14:textId="71D8C110" w:rsidR="00ED5B3D" w:rsidRDefault="00ED5B3D">
      <w:pPr>
        <w:pStyle w:val="TOC2"/>
        <w:rPr>
          <w:rFonts w:asciiTheme="minorHAnsi" w:eastAsiaTheme="minorEastAsia" w:hAnsiTheme="minorHAnsi"/>
          <w:kern w:val="2"/>
          <w:sz w:val="24"/>
          <w:szCs w:val="24"/>
          <w:lang w:eastAsia="en-GB"/>
          <w14:ligatures w14:val="standardContextual"/>
        </w:rPr>
      </w:pPr>
      <w:r>
        <w:t>1.2</w:t>
      </w:r>
      <w:r>
        <w:rPr>
          <w:rFonts w:asciiTheme="minorHAnsi" w:eastAsiaTheme="minorEastAsia" w:hAnsiTheme="minorHAnsi"/>
          <w:kern w:val="2"/>
          <w:sz w:val="24"/>
          <w:szCs w:val="24"/>
          <w:lang w:eastAsia="en-GB"/>
          <w14:ligatures w14:val="standardContextual"/>
        </w:rPr>
        <w:tab/>
      </w:r>
      <w:r>
        <w:rPr>
          <w:lang w:bidi="en-GB"/>
        </w:rPr>
        <w:t>Purpose of the Statement</w:t>
      </w:r>
      <w:r>
        <w:tab/>
      </w:r>
      <w:r>
        <w:fldChar w:fldCharType="begin"/>
      </w:r>
      <w:r>
        <w:instrText xml:space="preserve"> PAGEREF _Toc218590548 \h </w:instrText>
      </w:r>
      <w:r>
        <w:fldChar w:fldCharType="separate"/>
      </w:r>
      <w:r w:rsidR="00DE5216">
        <w:t>5</w:t>
      </w:r>
      <w:r>
        <w:fldChar w:fldCharType="end"/>
      </w:r>
    </w:p>
    <w:p w14:paraId="6129F368" w14:textId="1E11E942" w:rsidR="00ED5B3D" w:rsidRDefault="00ED5B3D">
      <w:pPr>
        <w:pStyle w:val="TOC1"/>
        <w:rPr>
          <w:rFonts w:asciiTheme="minorHAnsi" w:eastAsiaTheme="minorEastAsia" w:hAnsiTheme="minorHAnsi"/>
          <w:b w:val="0"/>
          <w:caps w:val="0"/>
          <w:kern w:val="2"/>
          <w:sz w:val="24"/>
          <w:szCs w:val="24"/>
          <w:lang w:eastAsia="en-GB"/>
          <w14:ligatures w14:val="standardContextual"/>
        </w:rPr>
      </w:pPr>
      <w:r>
        <w:rPr>
          <w:lang w:bidi="en-GB"/>
        </w:rPr>
        <w:t>2.</w:t>
      </w:r>
      <w:r>
        <w:rPr>
          <w:rFonts w:asciiTheme="minorHAnsi" w:eastAsiaTheme="minorEastAsia" w:hAnsiTheme="minorHAnsi"/>
          <w:b w:val="0"/>
          <w:caps w:val="0"/>
          <w:kern w:val="2"/>
          <w:sz w:val="24"/>
          <w:szCs w:val="24"/>
          <w:lang w:eastAsia="en-GB"/>
          <w14:ligatures w14:val="standardContextual"/>
        </w:rPr>
        <w:tab/>
      </w:r>
      <w:r>
        <w:rPr>
          <w:lang w:bidi="en-GB"/>
        </w:rPr>
        <w:t>Conclusion</w:t>
      </w:r>
      <w:r>
        <w:tab/>
      </w:r>
      <w:r>
        <w:fldChar w:fldCharType="begin"/>
      </w:r>
      <w:r>
        <w:instrText xml:space="preserve"> PAGEREF _Toc218590549 \h </w:instrText>
      </w:r>
      <w:r>
        <w:fldChar w:fldCharType="separate"/>
      </w:r>
      <w:r w:rsidR="00DE5216">
        <w:t>6</w:t>
      </w:r>
      <w:r>
        <w:fldChar w:fldCharType="end"/>
      </w:r>
    </w:p>
    <w:p w14:paraId="216BC289" w14:textId="7C55B755" w:rsidR="00ED5B3D" w:rsidRDefault="00ED5B3D">
      <w:pPr>
        <w:pStyle w:val="TOC1"/>
        <w:rPr>
          <w:rFonts w:asciiTheme="minorHAnsi" w:eastAsiaTheme="minorEastAsia" w:hAnsiTheme="minorHAnsi"/>
          <w:b w:val="0"/>
          <w:caps w:val="0"/>
          <w:kern w:val="2"/>
          <w:sz w:val="24"/>
          <w:szCs w:val="24"/>
          <w:lang w:eastAsia="en-GB"/>
          <w14:ligatures w14:val="standardContextual"/>
        </w:rPr>
      </w:pPr>
      <w:r>
        <w:t>3.</w:t>
      </w:r>
      <w:r>
        <w:rPr>
          <w:rFonts w:asciiTheme="minorHAnsi" w:eastAsiaTheme="minorEastAsia" w:hAnsiTheme="minorHAnsi"/>
          <w:b w:val="0"/>
          <w:caps w:val="0"/>
          <w:kern w:val="2"/>
          <w:sz w:val="24"/>
          <w:szCs w:val="24"/>
          <w:lang w:eastAsia="en-GB"/>
          <w14:ligatures w14:val="standardContextual"/>
        </w:rPr>
        <w:tab/>
      </w:r>
      <w:r>
        <w:t>Basis for the statement</w:t>
      </w:r>
      <w:r>
        <w:tab/>
      </w:r>
      <w:r>
        <w:fldChar w:fldCharType="begin"/>
      </w:r>
      <w:r>
        <w:instrText xml:space="preserve"> PAGEREF _Toc218590550 \h </w:instrText>
      </w:r>
      <w:r>
        <w:fldChar w:fldCharType="separate"/>
      </w:r>
      <w:r w:rsidR="00DE5216">
        <w:t>8</w:t>
      </w:r>
      <w:r>
        <w:fldChar w:fldCharType="end"/>
      </w:r>
    </w:p>
    <w:p w14:paraId="3E12CEDF" w14:textId="3239197C" w:rsidR="00ED5B3D" w:rsidRDefault="00ED5B3D">
      <w:pPr>
        <w:pStyle w:val="TOC1"/>
        <w:rPr>
          <w:rFonts w:asciiTheme="minorHAnsi" w:eastAsiaTheme="minorEastAsia" w:hAnsiTheme="minorHAnsi"/>
          <w:b w:val="0"/>
          <w:caps w:val="0"/>
          <w:kern w:val="2"/>
          <w:sz w:val="24"/>
          <w:szCs w:val="24"/>
          <w:lang w:eastAsia="en-GB"/>
          <w14:ligatures w14:val="standardContextual"/>
        </w:rPr>
      </w:pPr>
      <w:r>
        <w:rPr>
          <w:lang w:bidi="en-GB"/>
        </w:rPr>
        <w:t>4.</w:t>
      </w:r>
      <w:r>
        <w:rPr>
          <w:rFonts w:asciiTheme="minorHAnsi" w:eastAsiaTheme="minorEastAsia" w:hAnsiTheme="minorHAnsi"/>
          <w:b w:val="0"/>
          <w:caps w:val="0"/>
          <w:kern w:val="2"/>
          <w:sz w:val="24"/>
          <w:szCs w:val="24"/>
          <w:lang w:eastAsia="en-GB"/>
          <w14:ligatures w14:val="standardContextual"/>
        </w:rPr>
        <w:tab/>
      </w:r>
      <w:r>
        <w:rPr>
          <w:lang w:bidi="en-GB"/>
        </w:rPr>
        <w:t xml:space="preserve">the background for The </w:t>
      </w:r>
      <w:r>
        <w:t xml:space="preserve">Board of Directors' </w:t>
      </w:r>
      <w:r>
        <w:rPr>
          <w:lang w:bidi="en-GB"/>
        </w:rPr>
        <w:t>analysis of the Offer</w:t>
      </w:r>
      <w:r>
        <w:tab/>
      </w:r>
      <w:r>
        <w:fldChar w:fldCharType="begin"/>
      </w:r>
      <w:r>
        <w:instrText xml:space="preserve"> PAGEREF _Toc218590551 \h </w:instrText>
      </w:r>
      <w:r>
        <w:fldChar w:fldCharType="separate"/>
      </w:r>
      <w:r w:rsidR="00DE5216">
        <w:t>9</w:t>
      </w:r>
      <w:r>
        <w:fldChar w:fldCharType="end"/>
      </w:r>
    </w:p>
    <w:p w14:paraId="72971754" w14:textId="58FE9DC3" w:rsidR="00ED5B3D" w:rsidRDefault="00ED5B3D">
      <w:pPr>
        <w:pStyle w:val="TOC2"/>
        <w:rPr>
          <w:rFonts w:asciiTheme="minorHAnsi" w:eastAsiaTheme="minorEastAsia" w:hAnsiTheme="minorHAnsi"/>
          <w:kern w:val="2"/>
          <w:sz w:val="24"/>
          <w:szCs w:val="24"/>
          <w:lang w:eastAsia="en-GB"/>
          <w14:ligatures w14:val="standardContextual"/>
        </w:rPr>
      </w:pPr>
      <w:r>
        <w:t>4.1</w:t>
      </w:r>
      <w:r>
        <w:rPr>
          <w:rFonts w:asciiTheme="minorHAnsi" w:eastAsiaTheme="minorEastAsia" w:hAnsiTheme="minorHAnsi"/>
          <w:kern w:val="2"/>
          <w:sz w:val="24"/>
          <w:szCs w:val="24"/>
          <w:lang w:eastAsia="en-GB"/>
          <w14:ligatures w14:val="standardContextual"/>
        </w:rPr>
        <w:tab/>
      </w:r>
      <w:r>
        <w:rPr>
          <w:lang w:bidi="en-GB"/>
        </w:rPr>
        <w:t>The Company's activities and strategy</w:t>
      </w:r>
      <w:r>
        <w:tab/>
      </w:r>
      <w:r>
        <w:fldChar w:fldCharType="begin"/>
      </w:r>
      <w:r>
        <w:instrText xml:space="preserve"> PAGEREF _Toc218590552 \h </w:instrText>
      </w:r>
      <w:r>
        <w:fldChar w:fldCharType="separate"/>
      </w:r>
      <w:r w:rsidR="00DE5216">
        <w:t>9</w:t>
      </w:r>
      <w:r>
        <w:fldChar w:fldCharType="end"/>
      </w:r>
    </w:p>
    <w:p w14:paraId="2966D4F2" w14:textId="371B5ACB" w:rsidR="00ED5B3D" w:rsidRDefault="00ED5B3D">
      <w:pPr>
        <w:pStyle w:val="TOC2"/>
        <w:rPr>
          <w:rFonts w:asciiTheme="minorHAnsi" w:eastAsiaTheme="minorEastAsia" w:hAnsiTheme="minorHAnsi"/>
          <w:kern w:val="2"/>
          <w:sz w:val="24"/>
          <w:szCs w:val="24"/>
          <w:lang w:eastAsia="en-GB"/>
          <w14:ligatures w14:val="standardContextual"/>
        </w:rPr>
      </w:pPr>
      <w:r>
        <w:t>4.2</w:t>
      </w:r>
      <w:r>
        <w:rPr>
          <w:rFonts w:asciiTheme="minorHAnsi" w:eastAsiaTheme="minorEastAsia" w:hAnsiTheme="minorHAnsi"/>
          <w:kern w:val="2"/>
          <w:sz w:val="24"/>
          <w:szCs w:val="24"/>
          <w:lang w:eastAsia="en-GB"/>
          <w14:ligatures w14:val="standardContextual"/>
        </w:rPr>
        <w:tab/>
      </w:r>
      <w:r>
        <w:t>Share capital and ownership structure</w:t>
      </w:r>
      <w:r>
        <w:tab/>
      </w:r>
      <w:r>
        <w:fldChar w:fldCharType="begin"/>
      </w:r>
      <w:r>
        <w:instrText xml:space="preserve"> PAGEREF _Toc218590553 \h </w:instrText>
      </w:r>
      <w:r>
        <w:fldChar w:fldCharType="separate"/>
      </w:r>
      <w:r w:rsidR="00DE5216">
        <w:t>9</w:t>
      </w:r>
      <w:r>
        <w:fldChar w:fldCharType="end"/>
      </w:r>
    </w:p>
    <w:p w14:paraId="69042340" w14:textId="02DF7D57" w:rsidR="00ED5B3D" w:rsidRDefault="00ED5B3D">
      <w:pPr>
        <w:pStyle w:val="TOC2"/>
        <w:rPr>
          <w:rFonts w:asciiTheme="minorHAnsi" w:eastAsiaTheme="minorEastAsia" w:hAnsiTheme="minorHAnsi"/>
          <w:kern w:val="2"/>
          <w:sz w:val="24"/>
          <w:szCs w:val="24"/>
          <w:lang w:eastAsia="en-GB"/>
          <w14:ligatures w14:val="standardContextual"/>
        </w:rPr>
      </w:pPr>
      <w:r>
        <w:t>4.3</w:t>
      </w:r>
      <w:r>
        <w:rPr>
          <w:rFonts w:asciiTheme="minorHAnsi" w:eastAsiaTheme="minorEastAsia" w:hAnsiTheme="minorHAnsi"/>
          <w:kern w:val="2"/>
          <w:sz w:val="24"/>
          <w:szCs w:val="24"/>
          <w:lang w:eastAsia="en-GB"/>
          <w14:ligatures w14:val="standardContextual"/>
        </w:rPr>
        <w:tab/>
      </w:r>
      <w:r>
        <w:t>Financial Information</w:t>
      </w:r>
      <w:r>
        <w:tab/>
      </w:r>
      <w:r>
        <w:fldChar w:fldCharType="begin"/>
      </w:r>
      <w:r>
        <w:instrText xml:space="preserve"> PAGEREF _Toc218590554 \h </w:instrText>
      </w:r>
      <w:r>
        <w:fldChar w:fldCharType="separate"/>
      </w:r>
      <w:r w:rsidR="00DE5216">
        <w:t>10</w:t>
      </w:r>
      <w:r>
        <w:fldChar w:fldCharType="end"/>
      </w:r>
    </w:p>
    <w:p w14:paraId="5EC93832" w14:textId="483710F1" w:rsidR="00ED5B3D" w:rsidRDefault="00ED5B3D">
      <w:pPr>
        <w:pStyle w:val="TOC3"/>
        <w:rPr>
          <w:rFonts w:asciiTheme="minorHAnsi" w:eastAsiaTheme="minorEastAsia" w:hAnsiTheme="minorHAnsi"/>
          <w:kern w:val="2"/>
          <w:sz w:val="24"/>
          <w:szCs w:val="24"/>
          <w:lang w:eastAsia="en-GB"/>
          <w14:ligatures w14:val="standardContextual"/>
        </w:rPr>
      </w:pPr>
      <w:r>
        <w:t>4.3.1</w:t>
      </w:r>
      <w:r>
        <w:rPr>
          <w:rFonts w:asciiTheme="minorHAnsi" w:eastAsiaTheme="minorEastAsia" w:hAnsiTheme="minorHAnsi"/>
          <w:kern w:val="2"/>
          <w:sz w:val="24"/>
          <w:szCs w:val="24"/>
          <w:lang w:eastAsia="en-GB"/>
          <w14:ligatures w14:val="standardContextual"/>
        </w:rPr>
        <w:tab/>
      </w:r>
      <w:r>
        <w:t>2024 Annual Report</w:t>
      </w:r>
      <w:r>
        <w:tab/>
      </w:r>
      <w:r>
        <w:fldChar w:fldCharType="begin"/>
      </w:r>
      <w:r>
        <w:instrText xml:space="preserve"> PAGEREF _Toc218590555 \h </w:instrText>
      </w:r>
      <w:r>
        <w:fldChar w:fldCharType="separate"/>
      </w:r>
      <w:r w:rsidR="00DE5216">
        <w:t>10</w:t>
      </w:r>
      <w:r>
        <w:fldChar w:fldCharType="end"/>
      </w:r>
    </w:p>
    <w:p w14:paraId="687DD038" w14:textId="0C13A810" w:rsidR="00ED5B3D" w:rsidRDefault="00ED5B3D">
      <w:pPr>
        <w:pStyle w:val="TOC3"/>
        <w:rPr>
          <w:rFonts w:asciiTheme="minorHAnsi" w:eastAsiaTheme="minorEastAsia" w:hAnsiTheme="minorHAnsi"/>
          <w:kern w:val="2"/>
          <w:sz w:val="24"/>
          <w:szCs w:val="24"/>
          <w:lang w:eastAsia="en-GB"/>
          <w14:ligatures w14:val="standardContextual"/>
        </w:rPr>
      </w:pPr>
      <w:r>
        <w:t>4.3.2</w:t>
      </w:r>
      <w:r>
        <w:rPr>
          <w:rFonts w:asciiTheme="minorHAnsi" w:eastAsiaTheme="minorEastAsia" w:hAnsiTheme="minorHAnsi"/>
          <w:kern w:val="2"/>
          <w:sz w:val="24"/>
          <w:szCs w:val="24"/>
          <w:lang w:eastAsia="en-GB"/>
          <w14:ligatures w14:val="standardContextual"/>
        </w:rPr>
        <w:tab/>
      </w:r>
      <w:r>
        <w:t>2025 Q3 Report</w:t>
      </w:r>
      <w:r>
        <w:tab/>
      </w:r>
      <w:r>
        <w:fldChar w:fldCharType="begin"/>
      </w:r>
      <w:r>
        <w:instrText xml:space="preserve"> PAGEREF _Toc218590556 \h </w:instrText>
      </w:r>
      <w:r>
        <w:fldChar w:fldCharType="separate"/>
      </w:r>
      <w:r w:rsidR="00DE5216">
        <w:t>10</w:t>
      </w:r>
      <w:r>
        <w:fldChar w:fldCharType="end"/>
      </w:r>
    </w:p>
    <w:p w14:paraId="3DA9F06D" w14:textId="03454B1F" w:rsidR="00ED5B3D" w:rsidRDefault="00ED5B3D">
      <w:pPr>
        <w:pStyle w:val="TOC3"/>
        <w:rPr>
          <w:rFonts w:asciiTheme="minorHAnsi" w:eastAsiaTheme="minorEastAsia" w:hAnsiTheme="minorHAnsi"/>
          <w:kern w:val="2"/>
          <w:sz w:val="24"/>
          <w:szCs w:val="24"/>
          <w:lang w:eastAsia="en-GB"/>
          <w14:ligatures w14:val="standardContextual"/>
        </w:rPr>
      </w:pPr>
      <w:r>
        <w:t>4.3.3</w:t>
      </w:r>
      <w:r>
        <w:rPr>
          <w:rFonts w:asciiTheme="minorHAnsi" w:eastAsiaTheme="minorEastAsia" w:hAnsiTheme="minorHAnsi"/>
          <w:kern w:val="2"/>
          <w:sz w:val="24"/>
          <w:szCs w:val="24"/>
          <w:lang w:eastAsia="en-GB"/>
          <w14:ligatures w14:val="standardContextual"/>
        </w:rPr>
        <w:tab/>
      </w:r>
      <w:r>
        <w:t>Financial Outlook for 2025</w:t>
      </w:r>
      <w:r>
        <w:tab/>
      </w:r>
      <w:r>
        <w:fldChar w:fldCharType="begin"/>
      </w:r>
      <w:r>
        <w:instrText xml:space="preserve"> PAGEREF _Toc218590557 \h </w:instrText>
      </w:r>
      <w:r>
        <w:fldChar w:fldCharType="separate"/>
      </w:r>
      <w:r w:rsidR="00DE5216">
        <w:t>11</w:t>
      </w:r>
      <w:r>
        <w:fldChar w:fldCharType="end"/>
      </w:r>
    </w:p>
    <w:p w14:paraId="3B7957A5" w14:textId="300B3955" w:rsidR="00ED5B3D" w:rsidRDefault="00ED5B3D">
      <w:pPr>
        <w:pStyle w:val="TOC2"/>
        <w:rPr>
          <w:rFonts w:asciiTheme="minorHAnsi" w:eastAsiaTheme="minorEastAsia" w:hAnsiTheme="minorHAnsi"/>
          <w:kern w:val="2"/>
          <w:sz w:val="24"/>
          <w:szCs w:val="24"/>
          <w:lang w:eastAsia="en-GB"/>
          <w14:ligatures w14:val="standardContextual"/>
        </w:rPr>
      </w:pPr>
      <w:r>
        <w:t>4.4</w:t>
      </w:r>
      <w:r>
        <w:rPr>
          <w:rFonts w:asciiTheme="minorHAnsi" w:eastAsiaTheme="minorEastAsia" w:hAnsiTheme="minorHAnsi"/>
          <w:kern w:val="2"/>
          <w:sz w:val="24"/>
          <w:szCs w:val="24"/>
          <w:lang w:eastAsia="en-GB"/>
          <w14:ligatures w14:val="standardContextual"/>
        </w:rPr>
        <w:tab/>
      </w:r>
      <w:r>
        <w:rPr>
          <w:lang w:bidi="en-GB"/>
        </w:rPr>
        <w:t>Change of control</w:t>
      </w:r>
      <w:r>
        <w:tab/>
      </w:r>
      <w:r>
        <w:fldChar w:fldCharType="begin"/>
      </w:r>
      <w:r>
        <w:instrText xml:space="preserve"> PAGEREF _Toc218590558 \h </w:instrText>
      </w:r>
      <w:r>
        <w:fldChar w:fldCharType="separate"/>
      </w:r>
      <w:r w:rsidR="00DE5216">
        <w:t>12</w:t>
      </w:r>
      <w:r>
        <w:fldChar w:fldCharType="end"/>
      </w:r>
    </w:p>
    <w:p w14:paraId="39242ACF" w14:textId="43E559D5" w:rsidR="00ED5B3D" w:rsidRDefault="00ED5B3D">
      <w:pPr>
        <w:pStyle w:val="TOC2"/>
        <w:rPr>
          <w:rFonts w:asciiTheme="minorHAnsi" w:eastAsiaTheme="minorEastAsia" w:hAnsiTheme="minorHAnsi"/>
          <w:kern w:val="2"/>
          <w:sz w:val="24"/>
          <w:szCs w:val="24"/>
          <w:lang w:eastAsia="en-GB"/>
          <w14:ligatures w14:val="standardContextual"/>
        </w:rPr>
      </w:pPr>
      <w:r>
        <w:rPr>
          <w:lang w:bidi="en-GB"/>
        </w:rPr>
        <w:t>4.5</w:t>
      </w:r>
      <w:r>
        <w:rPr>
          <w:rFonts w:asciiTheme="minorHAnsi" w:eastAsiaTheme="minorEastAsia" w:hAnsiTheme="minorHAnsi"/>
          <w:kern w:val="2"/>
          <w:sz w:val="24"/>
          <w:szCs w:val="24"/>
          <w:lang w:eastAsia="en-GB"/>
          <w14:ligatures w14:val="standardContextual"/>
        </w:rPr>
        <w:tab/>
      </w:r>
      <w:r>
        <w:rPr>
          <w:lang w:bidi="en-GB"/>
        </w:rPr>
        <w:t>Fairness Opinion</w:t>
      </w:r>
      <w:r>
        <w:tab/>
      </w:r>
      <w:r>
        <w:fldChar w:fldCharType="begin"/>
      </w:r>
      <w:r>
        <w:instrText xml:space="preserve"> PAGEREF _Toc218590559 \h </w:instrText>
      </w:r>
      <w:r>
        <w:fldChar w:fldCharType="separate"/>
      </w:r>
      <w:r w:rsidR="00DE5216">
        <w:t>12</w:t>
      </w:r>
      <w:r>
        <w:fldChar w:fldCharType="end"/>
      </w:r>
    </w:p>
    <w:p w14:paraId="3B8B272F" w14:textId="28F9E109" w:rsidR="00ED5B3D" w:rsidRDefault="00ED5B3D">
      <w:pPr>
        <w:pStyle w:val="TOC1"/>
        <w:rPr>
          <w:rFonts w:asciiTheme="minorHAnsi" w:eastAsiaTheme="minorEastAsia" w:hAnsiTheme="minorHAnsi"/>
          <w:b w:val="0"/>
          <w:caps w:val="0"/>
          <w:kern w:val="2"/>
          <w:sz w:val="24"/>
          <w:szCs w:val="24"/>
          <w:lang w:eastAsia="en-GB"/>
          <w14:ligatures w14:val="standardContextual"/>
        </w:rPr>
      </w:pPr>
      <w:r>
        <w:t>5.</w:t>
      </w:r>
      <w:r>
        <w:rPr>
          <w:rFonts w:asciiTheme="minorHAnsi" w:eastAsiaTheme="minorEastAsia" w:hAnsiTheme="minorHAnsi"/>
          <w:b w:val="0"/>
          <w:caps w:val="0"/>
          <w:kern w:val="2"/>
          <w:sz w:val="24"/>
          <w:szCs w:val="24"/>
          <w:lang w:eastAsia="en-GB"/>
          <w14:ligatures w14:val="standardContextual"/>
        </w:rPr>
        <w:tab/>
      </w:r>
      <w:r>
        <w:t>Incentive programs</w:t>
      </w:r>
      <w:r>
        <w:tab/>
      </w:r>
      <w:r>
        <w:fldChar w:fldCharType="begin"/>
      </w:r>
      <w:r>
        <w:instrText xml:space="preserve"> PAGEREF _Toc218590560 \h </w:instrText>
      </w:r>
      <w:r>
        <w:fldChar w:fldCharType="separate"/>
      </w:r>
      <w:r w:rsidR="00DE5216">
        <w:t>13</w:t>
      </w:r>
      <w:r>
        <w:fldChar w:fldCharType="end"/>
      </w:r>
    </w:p>
    <w:p w14:paraId="646B03B3" w14:textId="0C6E69A6" w:rsidR="00ED5B3D" w:rsidRDefault="00ED5B3D">
      <w:pPr>
        <w:pStyle w:val="TOC1"/>
        <w:rPr>
          <w:rFonts w:asciiTheme="minorHAnsi" w:eastAsiaTheme="minorEastAsia" w:hAnsiTheme="minorHAnsi"/>
          <w:b w:val="0"/>
          <w:caps w:val="0"/>
          <w:kern w:val="2"/>
          <w:sz w:val="24"/>
          <w:szCs w:val="24"/>
          <w:lang w:eastAsia="en-GB"/>
          <w14:ligatures w14:val="standardContextual"/>
        </w:rPr>
      </w:pPr>
      <w:r>
        <w:t>6.</w:t>
      </w:r>
      <w:r>
        <w:rPr>
          <w:rFonts w:asciiTheme="minorHAnsi" w:eastAsiaTheme="minorEastAsia" w:hAnsiTheme="minorHAnsi"/>
          <w:b w:val="0"/>
          <w:caps w:val="0"/>
          <w:kern w:val="2"/>
          <w:sz w:val="24"/>
          <w:szCs w:val="24"/>
          <w:lang w:eastAsia="en-GB"/>
          <w14:ligatures w14:val="standardContextual"/>
        </w:rPr>
        <w:tab/>
      </w:r>
      <w:r>
        <w:t>Announcement Agreement</w:t>
      </w:r>
      <w:r>
        <w:tab/>
      </w:r>
      <w:r>
        <w:fldChar w:fldCharType="begin"/>
      </w:r>
      <w:r>
        <w:instrText xml:space="preserve"> PAGEREF _Toc218590561 \h </w:instrText>
      </w:r>
      <w:r>
        <w:fldChar w:fldCharType="separate"/>
      </w:r>
      <w:r w:rsidR="00DE5216">
        <w:t>14</w:t>
      </w:r>
      <w:r>
        <w:fldChar w:fldCharType="end"/>
      </w:r>
    </w:p>
    <w:p w14:paraId="7879CAC2" w14:textId="26FB77CC" w:rsidR="00ED5B3D" w:rsidRDefault="00ED5B3D">
      <w:pPr>
        <w:pStyle w:val="TOC1"/>
        <w:rPr>
          <w:rFonts w:asciiTheme="minorHAnsi" w:eastAsiaTheme="minorEastAsia" w:hAnsiTheme="minorHAnsi"/>
          <w:b w:val="0"/>
          <w:caps w:val="0"/>
          <w:kern w:val="2"/>
          <w:sz w:val="24"/>
          <w:szCs w:val="24"/>
          <w:lang w:eastAsia="en-GB"/>
          <w14:ligatures w14:val="standardContextual"/>
        </w:rPr>
      </w:pPr>
      <w:r>
        <w:rPr>
          <w:lang w:bidi="en-GB"/>
        </w:rPr>
        <w:t>7.</w:t>
      </w:r>
      <w:r>
        <w:rPr>
          <w:rFonts w:asciiTheme="minorHAnsi" w:eastAsiaTheme="minorEastAsia" w:hAnsiTheme="minorHAnsi"/>
          <w:b w:val="0"/>
          <w:caps w:val="0"/>
          <w:kern w:val="2"/>
          <w:sz w:val="24"/>
          <w:szCs w:val="24"/>
          <w:lang w:eastAsia="en-GB"/>
          <w14:ligatures w14:val="standardContextual"/>
        </w:rPr>
        <w:tab/>
      </w:r>
      <w:r>
        <w:rPr>
          <w:lang w:bidi="en-GB"/>
        </w:rPr>
        <w:t>Events and process leading up to the Offer</w:t>
      </w:r>
      <w:r>
        <w:tab/>
      </w:r>
      <w:r>
        <w:fldChar w:fldCharType="begin"/>
      </w:r>
      <w:r>
        <w:instrText xml:space="preserve"> PAGEREF _Toc218590562 \h </w:instrText>
      </w:r>
      <w:r>
        <w:fldChar w:fldCharType="separate"/>
      </w:r>
      <w:r w:rsidR="00DE5216">
        <w:t>17</w:t>
      </w:r>
      <w:r>
        <w:fldChar w:fldCharType="end"/>
      </w:r>
    </w:p>
    <w:p w14:paraId="7364616B" w14:textId="761C2CD9" w:rsidR="00ED5B3D" w:rsidRDefault="00ED5B3D">
      <w:pPr>
        <w:pStyle w:val="TOC1"/>
        <w:rPr>
          <w:rFonts w:asciiTheme="minorHAnsi" w:eastAsiaTheme="minorEastAsia" w:hAnsiTheme="minorHAnsi"/>
          <w:b w:val="0"/>
          <w:caps w:val="0"/>
          <w:kern w:val="2"/>
          <w:sz w:val="24"/>
          <w:szCs w:val="24"/>
          <w:lang w:eastAsia="en-GB"/>
          <w14:ligatures w14:val="standardContextual"/>
        </w:rPr>
      </w:pPr>
      <w:r>
        <w:t>8.</w:t>
      </w:r>
      <w:r>
        <w:rPr>
          <w:rFonts w:asciiTheme="minorHAnsi" w:eastAsiaTheme="minorEastAsia" w:hAnsiTheme="minorHAnsi"/>
          <w:b w:val="0"/>
          <w:caps w:val="0"/>
          <w:kern w:val="2"/>
          <w:sz w:val="24"/>
          <w:szCs w:val="24"/>
          <w:lang w:eastAsia="en-GB"/>
          <w14:ligatures w14:val="standardContextual"/>
        </w:rPr>
        <w:tab/>
      </w:r>
      <w:r>
        <w:rPr>
          <w:lang w:bidi="en-GB"/>
        </w:rPr>
        <w:t>The Board of Directors' view on certain factors relating to the Offer</w:t>
      </w:r>
      <w:r>
        <w:tab/>
      </w:r>
      <w:r>
        <w:fldChar w:fldCharType="begin"/>
      </w:r>
      <w:r>
        <w:instrText xml:space="preserve"> PAGEREF _Toc218590563 \h </w:instrText>
      </w:r>
      <w:r>
        <w:fldChar w:fldCharType="separate"/>
      </w:r>
      <w:r w:rsidR="00DE5216">
        <w:t>19</w:t>
      </w:r>
      <w:r>
        <w:fldChar w:fldCharType="end"/>
      </w:r>
    </w:p>
    <w:p w14:paraId="6CFA4A44" w14:textId="16D68021" w:rsidR="00ED5B3D" w:rsidRDefault="00ED5B3D">
      <w:pPr>
        <w:pStyle w:val="TOC2"/>
        <w:rPr>
          <w:rFonts w:asciiTheme="minorHAnsi" w:eastAsiaTheme="minorEastAsia" w:hAnsiTheme="minorHAnsi"/>
          <w:kern w:val="2"/>
          <w:sz w:val="24"/>
          <w:szCs w:val="24"/>
          <w:lang w:eastAsia="en-GB"/>
          <w14:ligatures w14:val="standardContextual"/>
        </w:rPr>
      </w:pPr>
      <w:r>
        <w:t>8.1</w:t>
      </w:r>
      <w:r>
        <w:rPr>
          <w:rFonts w:asciiTheme="minorHAnsi" w:eastAsiaTheme="minorEastAsia" w:hAnsiTheme="minorHAnsi"/>
          <w:kern w:val="2"/>
          <w:sz w:val="24"/>
          <w:szCs w:val="24"/>
          <w:lang w:eastAsia="en-GB"/>
          <w14:ligatures w14:val="standardContextual"/>
        </w:rPr>
        <w:tab/>
      </w:r>
      <w:r>
        <w:rPr>
          <w:lang w:bidi="en-GB"/>
        </w:rPr>
        <w:t>Introduction</w:t>
      </w:r>
      <w:r>
        <w:tab/>
      </w:r>
      <w:r>
        <w:fldChar w:fldCharType="begin"/>
      </w:r>
      <w:r>
        <w:instrText xml:space="preserve"> PAGEREF _Toc218590564 \h </w:instrText>
      </w:r>
      <w:r>
        <w:fldChar w:fldCharType="separate"/>
      </w:r>
      <w:r w:rsidR="00DE5216">
        <w:t>19</w:t>
      </w:r>
      <w:r>
        <w:fldChar w:fldCharType="end"/>
      </w:r>
    </w:p>
    <w:p w14:paraId="59001168" w14:textId="5A6032DB" w:rsidR="00ED5B3D" w:rsidRDefault="00ED5B3D">
      <w:pPr>
        <w:pStyle w:val="TOC2"/>
        <w:rPr>
          <w:rFonts w:asciiTheme="minorHAnsi" w:eastAsiaTheme="minorEastAsia" w:hAnsiTheme="minorHAnsi"/>
          <w:kern w:val="2"/>
          <w:sz w:val="24"/>
          <w:szCs w:val="24"/>
          <w:lang w:eastAsia="en-GB"/>
          <w14:ligatures w14:val="standardContextual"/>
        </w:rPr>
      </w:pPr>
      <w:r>
        <w:t>8.2</w:t>
      </w:r>
      <w:r>
        <w:rPr>
          <w:rFonts w:asciiTheme="minorHAnsi" w:eastAsiaTheme="minorEastAsia" w:hAnsiTheme="minorHAnsi"/>
          <w:kern w:val="2"/>
          <w:sz w:val="24"/>
          <w:szCs w:val="24"/>
          <w:lang w:eastAsia="en-GB"/>
          <w14:ligatures w14:val="standardContextual"/>
        </w:rPr>
        <w:tab/>
      </w:r>
      <w:r>
        <w:rPr>
          <w:lang w:bidi="en-GB"/>
        </w:rPr>
        <w:t>The Offer Price</w:t>
      </w:r>
      <w:r>
        <w:tab/>
      </w:r>
      <w:r>
        <w:fldChar w:fldCharType="begin"/>
      </w:r>
      <w:r>
        <w:instrText xml:space="preserve"> PAGEREF _Toc218590565 \h </w:instrText>
      </w:r>
      <w:r>
        <w:fldChar w:fldCharType="separate"/>
      </w:r>
      <w:r w:rsidR="00DE5216">
        <w:t>19</w:t>
      </w:r>
      <w:r>
        <w:fldChar w:fldCharType="end"/>
      </w:r>
    </w:p>
    <w:p w14:paraId="72A8A29D" w14:textId="0F1E26D6" w:rsidR="00ED5B3D" w:rsidRDefault="00ED5B3D">
      <w:pPr>
        <w:pStyle w:val="TOC3"/>
        <w:rPr>
          <w:rFonts w:asciiTheme="minorHAnsi" w:eastAsiaTheme="minorEastAsia" w:hAnsiTheme="minorHAnsi"/>
          <w:kern w:val="2"/>
          <w:sz w:val="24"/>
          <w:szCs w:val="24"/>
          <w:lang w:eastAsia="en-GB"/>
          <w14:ligatures w14:val="standardContextual"/>
        </w:rPr>
      </w:pPr>
      <w:r>
        <w:t>8.2.1</w:t>
      </w:r>
      <w:r>
        <w:rPr>
          <w:rFonts w:asciiTheme="minorHAnsi" w:eastAsiaTheme="minorEastAsia" w:hAnsiTheme="minorHAnsi"/>
          <w:kern w:val="2"/>
          <w:sz w:val="24"/>
          <w:szCs w:val="24"/>
          <w:lang w:eastAsia="en-GB"/>
          <w14:ligatures w14:val="standardContextual"/>
        </w:rPr>
        <w:tab/>
      </w:r>
      <w:r>
        <w:rPr>
          <w:lang w:bidi="en-GB"/>
        </w:rPr>
        <w:t>Comparison against relevant historical prices</w:t>
      </w:r>
      <w:r>
        <w:tab/>
      </w:r>
      <w:r>
        <w:fldChar w:fldCharType="begin"/>
      </w:r>
      <w:r>
        <w:instrText xml:space="preserve"> PAGEREF _Toc218590566 \h </w:instrText>
      </w:r>
      <w:r>
        <w:fldChar w:fldCharType="separate"/>
      </w:r>
      <w:r w:rsidR="00DE5216">
        <w:t>19</w:t>
      </w:r>
      <w:r>
        <w:fldChar w:fldCharType="end"/>
      </w:r>
    </w:p>
    <w:p w14:paraId="4A734716" w14:textId="1A9E3987" w:rsidR="00ED5B3D" w:rsidRDefault="00ED5B3D">
      <w:pPr>
        <w:pStyle w:val="TOC2"/>
        <w:rPr>
          <w:rFonts w:asciiTheme="minorHAnsi" w:eastAsiaTheme="minorEastAsia" w:hAnsiTheme="minorHAnsi"/>
          <w:kern w:val="2"/>
          <w:sz w:val="24"/>
          <w:szCs w:val="24"/>
          <w:lang w:eastAsia="en-GB"/>
          <w14:ligatures w14:val="standardContextual"/>
        </w:rPr>
      </w:pPr>
      <w:r>
        <w:t>8.3</w:t>
      </w:r>
      <w:r>
        <w:rPr>
          <w:rFonts w:asciiTheme="minorHAnsi" w:eastAsiaTheme="minorEastAsia" w:hAnsiTheme="minorHAnsi"/>
          <w:kern w:val="2"/>
          <w:sz w:val="24"/>
          <w:szCs w:val="24"/>
          <w:lang w:eastAsia="en-GB"/>
          <w14:ligatures w14:val="standardContextual"/>
        </w:rPr>
        <w:tab/>
      </w:r>
      <w:r>
        <w:rPr>
          <w:lang w:bidi="en-GB"/>
        </w:rPr>
        <w:t>The Offer's impact on the interests of the Shareholders and the Company, including on employment</w:t>
      </w:r>
      <w:r>
        <w:tab/>
      </w:r>
      <w:r>
        <w:fldChar w:fldCharType="begin"/>
      </w:r>
      <w:r>
        <w:instrText xml:space="preserve"> PAGEREF _Toc218590567 \h </w:instrText>
      </w:r>
      <w:r>
        <w:fldChar w:fldCharType="separate"/>
      </w:r>
      <w:r w:rsidR="00DE5216">
        <w:t>20</w:t>
      </w:r>
      <w:r>
        <w:fldChar w:fldCharType="end"/>
      </w:r>
    </w:p>
    <w:p w14:paraId="437B001E" w14:textId="173C512C" w:rsidR="00ED5B3D" w:rsidRDefault="00ED5B3D">
      <w:pPr>
        <w:pStyle w:val="TOC3"/>
        <w:rPr>
          <w:rFonts w:asciiTheme="minorHAnsi" w:eastAsiaTheme="minorEastAsia" w:hAnsiTheme="minorHAnsi"/>
          <w:kern w:val="2"/>
          <w:sz w:val="24"/>
          <w:szCs w:val="24"/>
          <w:lang w:eastAsia="en-GB"/>
          <w14:ligatures w14:val="standardContextual"/>
        </w:rPr>
      </w:pPr>
      <w:r>
        <w:rPr>
          <w:lang w:bidi="en-GB"/>
        </w:rPr>
        <w:t>8.3.1</w:t>
      </w:r>
      <w:r>
        <w:rPr>
          <w:rFonts w:asciiTheme="minorHAnsi" w:eastAsiaTheme="minorEastAsia" w:hAnsiTheme="minorHAnsi"/>
          <w:kern w:val="2"/>
          <w:sz w:val="24"/>
          <w:szCs w:val="24"/>
          <w:lang w:eastAsia="en-GB"/>
          <w14:ligatures w14:val="standardContextual"/>
        </w:rPr>
        <w:tab/>
      </w:r>
      <w:r>
        <w:rPr>
          <w:lang w:bidi="en-GB"/>
        </w:rPr>
        <w:t>The Offeror's intentions expressed in the Offer Document</w:t>
      </w:r>
      <w:r>
        <w:tab/>
      </w:r>
      <w:r>
        <w:fldChar w:fldCharType="begin"/>
      </w:r>
      <w:r>
        <w:instrText xml:space="preserve"> PAGEREF _Toc218590568 \h </w:instrText>
      </w:r>
      <w:r>
        <w:fldChar w:fldCharType="separate"/>
      </w:r>
      <w:r w:rsidR="00DE5216">
        <w:t>20</w:t>
      </w:r>
      <w:r>
        <w:fldChar w:fldCharType="end"/>
      </w:r>
    </w:p>
    <w:p w14:paraId="60C052AB" w14:textId="044E6E54" w:rsidR="00ED5B3D" w:rsidRDefault="00ED5B3D">
      <w:pPr>
        <w:pStyle w:val="TOC4"/>
        <w:rPr>
          <w:rFonts w:asciiTheme="minorHAnsi" w:eastAsiaTheme="minorEastAsia" w:hAnsiTheme="minorHAnsi"/>
          <w:noProof/>
          <w:kern w:val="2"/>
          <w:sz w:val="24"/>
          <w:szCs w:val="24"/>
          <w:lang w:eastAsia="en-GB"/>
          <w14:ligatures w14:val="standardContextual"/>
        </w:rPr>
      </w:pPr>
      <w:r>
        <w:rPr>
          <w:noProof/>
          <w:lang w:bidi="en-GB"/>
        </w:rPr>
        <w:t>8.3.1.1</w:t>
      </w:r>
      <w:r>
        <w:rPr>
          <w:rFonts w:asciiTheme="minorHAnsi" w:eastAsiaTheme="minorEastAsia" w:hAnsiTheme="minorHAnsi"/>
          <w:noProof/>
          <w:kern w:val="2"/>
          <w:sz w:val="24"/>
          <w:szCs w:val="24"/>
          <w:lang w:eastAsia="en-GB"/>
          <w14:ligatures w14:val="standardContextual"/>
        </w:rPr>
        <w:tab/>
      </w:r>
      <w:r>
        <w:rPr>
          <w:noProof/>
          <w:lang w:bidi="en-GB"/>
        </w:rPr>
        <w:t xml:space="preserve">The Offeror's </w:t>
      </w:r>
      <w:r w:rsidRPr="00AE433D">
        <w:rPr>
          <w:rFonts w:cs="Times New Roman"/>
          <w:noProof/>
        </w:rPr>
        <w:t>background to the Offer and strategic plans</w:t>
      </w:r>
      <w:r>
        <w:rPr>
          <w:noProof/>
        </w:rPr>
        <w:tab/>
      </w:r>
      <w:r>
        <w:rPr>
          <w:noProof/>
        </w:rPr>
        <w:fldChar w:fldCharType="begin"/>
      </w:r>
      <w:r>
        <w:rPr>
          <w:noProof/>
        </w:rPr>
        <w:instrText xml:space="preserve"> PAGEREF _Toc218590569 \h </w:instrText>
      </w:r>
      <w:r>
        <w:rPr>
          <w:noProof/>
        </w:rPr>
      </w:r>
      <w:r>
        <w:rPr>
          <w:noProof/>
        </w:rPr>
        <w:fldChar w:fldCharType="separate"/>
      </w:r>
      <w:r w:rsidR="00DE5216">
        <w:rPr>
          <w:noProof/>
        </w:rPr>
        <w:t>20</w:t>
      </w:r>
      <w:r>
        <w:rPr>
          <w:noProof/>
        </w:rPr>
        <w:fldChar w:fldCharType="end"/>
      </w:r>
    </w:p>
    <w:p w14:paraId="4D3046CF" w14:textId="0C25D3C3" w:rsidR="00ED5B3D" w:rsidRDefault="00ED5B3D">
      <w:pPr>
        <w:pStyle w:val="TOC4"/>
        <w:rPr>
          <w:rFonts w:asciiTheme="minorHAnsi" w:eastAsiaTheme="minorEastAsia" w:hAnsiTheme="minorHAnsi"/>
          <w:noProof/>
          <w:kern w:val="2"/>
          <w:sz w:val="24"/>
          <w:szCs w:val="24"/>
          <w:lang w:eastAsia="en-GB"/>
          <w14:ligatures w14:val="standardContextual"/>
        </w:rPr>
      </w:pPr>
      <w:r>
        <w:rPr>
          <w:noProof/>
          <w:lang w:bidi="en-GB"/>
        </w:rPr>
        <w:t>8.3.1.2</w:t>
      </w:r>
      <w:r>
        <w:rPr>
          <w:rFonts w:asciiTheme="minorHAnsi" w:eastAsiaTheme="minorEastAsia" w:hAnsiTheme="minorHAnsi"/>
          <w:noProof/>
          <w:kern w:val="2"/>
          <w:sz w:val="24"/>
          <w:szCs w:val="24"/>
          <w:lang w:eastAsia="en-GB"/>
          <w14:ligatures w14:val="standardContextual"/>
        </w:rPr>
        <w:tab/>
      </w:r>
      <w:r>
        <w:rPr>
          <w:noProof/>
          <w:lang w:bidi="en-GB"/>
        </w:rPr>
        <w:t xml:space="preserve">The Offeror's intentions regarding the Group's </w:t>
      </w:r>
      <w:r w:rsidRPr="00AE433D">
        <w:rPr>
          <w:rFonts w:cs="Times New Roman"/>
          <w:noProof/>
        </w:rPr>
        <w:t>employees and employment conditions and registered office and principal parts of business</w:t>
      </w:r>
      <w:r>
        <w:rPr>
          <w:noProof/>
        </w:rPr>
        <w:tab/>
      </w:r>
      <w:r>
        <w:rPr>
          <w:noProof/>
        </w:rPr>
        <w:fldChar w:fldCharType="begin"/>
      </w:r>
      <w:r>
        <w:rPr>
          <w:noProof/>
        </w:rPr>
        <w:instrText xml:space="preserve"> PAGEREF _Toc218590570 \h </w:instrText>
      </w:r>
      <w:r>
        <w:rPr>
          <w:noProof/>
        </w:rPr>
      </w:r>
      <w:r>
        <w:rPr>
          <w:noProof/>
        </w:rPr>
        <w:fldChar w:fldCharType="separate"/>
      </w:r>
      <w:r w:rsidR="00DE5216">
        <w:rPr>
          <w:noProof/>
        </w:rPr>
        <w:t>22</w:t>
      </w:r>
      <w:r>
        <w:rPr>
          <w:noProof/>
        </w:rPr>
        <w:fldChar w:fldCharType="end"/>
      </w:r>
    </w:p>
    <w:p w14:paraId="50194120" w14:textId="14A1C9F0" w:rsidR="00ED5B3D" w:rsidRDefault="00ED5B3D">
      <w:pPr>
        <w:pStyle w:val="TOC4"/>
        <w:rPr>
          <w:rFonts w:asciiTheme="minorHAnsi" w:eastAsiaTheme="minorEastAsia" w:hAnsiTheme="minorHAnsi"/>
          <w:noProof/>
          <w:kern w:val="2"/>
          <w:sz w:val="24"/>
          <w:szCs w:val="24"/>
          <w:lang w:eastAsia="en-GB"/>
          <w14:ligatures w14:val="standardContextual"/>
        </w:rPr>
      </w:pPr>
      <w:r>
        <w:rPr>
          <w:noProof/>
          <w:lang w:bidi="en-GB"/>
        </w:rPr>
        <w:t>8.3.1.3</w:t>
      </w:r>
      <w:r>
        <w:rPr>
          <w:rFonts w:asciiTheme="minorHAnsi" w:eastAsiaTheme="minorEastAsia" w:hAnsiTheme="minorHAnsi"/>
          <w:noProof/>
          <w:kern w:val="2"/>
          <w:sz w:val="24"/>
          <w:szCs w:val="24"/>
          <w:lang w:eastAsia="en-GB"/>
          <w14:ligatures w14:val="standardContextual"/>
        </w:rPr>
        <w:tab/>
      </w:r>
      <w:r>
        <w:rPr>
          <w:noProof/>
        </w:rPr>
        <w:t xml:space="preserve">The Offeror's intentions regarding </w:t>
      </w:r>
      <w:r>
        <w:rPr>
          <w:noProof/>
          <w:lang w:bidi="en-GB"/>
        </w:rPr>
        <w:t xml:space="preserve">changes </w:t>
      </w:r>
      <w:r w:rsidRPr="00AE433D">
        <w:rPr>
          <w:rFonts w:cs="Times New Roman"/>
          <w:noProof/>
        </w:rPr>
        <w:t>to the management and the Board of Directors</w:t>
      </w:r>
      <w:r>
        <w:rPr>
          <w:noProof/>
        </w:rPr>
        <w:tab/>
      </w:r>
      <w:r>
        <w:rPr>
          <w:noProof/>
        </w:rPr>
        <w:fldChar w:fldCharType="begin"/>
      </w:r>
      <w:r>
        <w:rPr>
          <w:noProof/>
        </w:rPr>
        <w:instrText xml:space="preserve"> PAGEREF _Toc218590571 \h </w:instrText>
      </w:r>
      <w:r>
        <w:rPr>
          <w:noProof/>
        </w:rPr>
      </w:r>
      <w:r>
        <w:rPr>
          <w:noProof/>
        </w:rPr>
        <w:fldChar w:fldCharType="separate"/>
      </w:r>
      <w:r w:rsidR="00DE5216">
        <w:rPr>
          <w:noProof/>
        </w:rPr>
        <w:t>22</w:t>
      </w:r>
      <w:r>
        <w:rPr>
          <w:noProof/>
        </w:rPr>
        <w:fldChar w:fldCharType="end"/>
      </w:r>
    </w:p>
    <w:p w14:paraId="73E43EDD" w14:textId="5341DE7C" w:rsidR="00ED5B3D" w:rsidRDefault="00ED5B3D">
      <w:pPr>
        <w:pStyle w:val="TOC4"/>
        <w:rPr>
          <w:rFonts w:asciiTheme="minorHAnsi" w:eastAsiaTheme="minorEastAsia" w:hAnsiTheme="minorHAnsi"/>
          <w:noProof/>
          <w:kern w:val="2"/>
          <w:sz w:val="24"/>
          <w:szCs w:val="24"/>
          <w:lang w:eastAsia="en-GB"/>
          <w14:ligatures w14:val="standardContextual"/>
        </w:rPr>
      </w:pPr>
      <w:r>
        <w:rPr>
          <w:noProof/>
          <w:lang w:bidi="en-GB"/>
        </w:rPr>
        <w:t>8.3.1.4</w:t>
      </w:r>
      <w:r>
        <w:rPr>
          <w:rFonts w:asciiTheme="minorHAnsi" w:eastAsiaTheme="minorEastAsia" w:hAnsiTheme="minorHAnsi"/>
          <w:noProof/>
          <w:kern w:val="2"/>
          <w:sz w:val="24"/>
          <w:szCs w:val="24"/>
          <w:lang w:eastAsia="en-GB"/>
          <w14:ligatures w14:val="standardContextual"/>
        </w:rPr>
        <w:tab/>
      </w:r>
      <w:r>
        <w:rPr>
          <w:noProof/>
        </w:rPr>
        <w:t xml:space="preserve">The Offeror's intentions regarding </w:t>
      </w:r>
      <w:r>
        <w:rPr>
          <w:noProof/>
          <w:lang w:bidi="en-GB"/>
        </w:rPr>
        <w:t>distribution of funds</w:t>
      </w:r>
      <w:r>
        <w:rPr>
          <w:noProof/>
        </w:rPr>
        <w:tab/>
      </w:r>
      <w:r>
        <w:rPr>
          <w:noProof/>
        </w:rPr>
        <w:fldChar w:fldCharType="begin"/>
      </w:r>
      <w:r>
        <w:rPr>
          <w:noProof/>
        </w:rPr>
        <w:instrText xml:space="preserve"> PAGEREF _Toc218590572 \h </w:instrText>
      </w:r>
      <w:r>
        <w:rPr>
          <w:noProof/>
        </w:rPr>
      </w:r>
      <w:r>
        <w:rPr>
          <w:noProof/>
        </w:rPr>
        <w:fldChar w:fldCharType="separate"/>
      </w:r>
      <w:r w:rsidR="00DE5216">
        <w:rPr>
          <w:noProof/>
        </w:rPr>
        <w:t>23</w:t>
      </w:r>
      <w:r>
        <w:rPr>
          <w:noProof/>
        </w:rPr>
        <w:fldChar w:fldCharType="end"/>
      </w:r>
    </w:p>
    <w:p w14:paraId="164CA71D" w14:textId="4428DC01" w:rsidR="00ED5B3D" w:rsidRDefault="00ED5B3D">
      <w:pPr>
        <w:pStyle w:val="TOC4"/>
        <w:rPr>
          <w:rFonts w:asciiTheme="minorHAnsi" w:eastAsiaTheme="minorEastAsia" w:hAnsiTheme="minorHAnsi"/>
          <w:noProof/>
          <w:kern w:val="2"/>
          <w:sz w:val="24"/>
          <w:szCs w:val="24"/>
          <w:lang w:eastAsia="en-GB"/>
          <w14:ligatures w14:val="standardContextual"/>
        </w:rPr>
      </w:pPr>
      <w:r>
        <w:rPr>
          <w:noProof/>
        </w:rPr>
        <w:t>8.3.1.5</w:t>
      </w:r>
      <w:r>
        <w:rPr>
          <w:rFonts w:asciiTheme="minorHAnsi" w:eastAsiaTheme="minorEastAsia" w:hAnsiTheme="minorHAnsi"/>
          <w:noProof/>
          <w:kern w:val="2"/>
          <w:sz w:val="24"/>
          <w:szCs w:val="24"/>
          <w:lang w:eastAsia="en-GB"/>
          <w14:ligatures w14:val="standardContextual"/>
        </w:rPr>
        <w:tab/>
      </w:r>
      <w:r>
        <w:rPr>
          <w:noProof/>
        </w:rPr>
        <w:t>The Offeror's intentions regarding Compulsory Acquisition</w:t>
      </w:r>
      <w:r>
        <w:rPr>
          <w:noProof/>
        </w:rPr>
        <w:tab/>
      </w:r>
      <w:r>
        <w:rPr>
          <w:noProof/>
        </w:rPr>
        <w:fldChar w:fldCharType="begin"/>
      </w:r>
      <w:r>
        <w:rPr>
          <w:noProof/>
        </w:rPr>
        <w:instrText xml:space="preserve"> PAGEREF _Toc218590573 \h </w:instrText>
      </w:r>
      <w:r>
        <w:rPr>
          <w:noProof/>
        </w:rPr>
      </w:r>
      <w:r>
        <w:rPr>
          <w:noProof/>
        </w:rPr>
        <w:fldChar w:fldCharType="separate"/>
      </w:r>
      <w:r w:rsidR="00DE5216">
        <w:rPr>
          <w:noProof/>
        </w:rPr>
        <w:t>24</w:t>
      </w:r>
      <w:r>
        <w:rPr>
          <w:noProof/>
        </w:rPr>
        <w:fldChar w:fldCharType="end"/>
      </w:r>
    </w:p>
    <w:p w14:paraId="15B3BCB5" w14:textId="2F11FB48" w:rsidR="00ED5B3D" w:rsidRDefault="00ED5B3D">
      <w:pPr>
        <w:pStyle w:val="TOC4"/>
        <w:rPr>
          <w:rFonts w:asciiTheme="minorHAnsi" w:eastAsiaTheme="minorEastAsia" w:hAnsiTheme="minorHAnsi"/>
          <w:noProof/>
          <w:kern w:val="2"/>
          <w:sz w:val="24"/>
          <w:szCs w:val="24"/>
          <w:lang w:eastAsia="en-GB"/>
          <w14:ligatures w14:val="standardContextual"/>
        </w:rPr>
      </w:pPr>
      <w:r>
        <w:rPr>
          <w:noProof/>
        </w:rPr>
        <w:t>8.3.1.6</w:t>
      </w:r>
      <w:r>
        <w:rPr>
          <w:rFonts w:asciiTheme="minorHAnsi" w:eastAsiaTheme="minorEastAsia" w:hAnsiTheme="minorHAnsi"/>
          <w:noProof/>
          <w:kern w:val="2"/>
          <w:sz w:val="24"/>
          <w:szCs w:val="24"/>
          <w:lang w:eastAsia="en-GB"/>
          <w14:ligatures w14:val="standardContextual"/>
        </w:rPr>
        <w:tab/>
      </w:r>
      <w:r>
        <w:rPr>
          <w:noProof/>
        </w:rPr>
        <w:t>The Offeror's intentions regarding Delisting</w:t>
      </w:r>
      <w:r>
        <w:rPr>
          <w:noProof/>
        </w:rPr>
        <w:tab/>
      </w:r>
      <w:r>
        <w:rPr>
          <w:noProof/>
        </w:rPr>
        <w:fldChar w:fldCharType="begin"/>
      </w:r>
      <w:r>
        <w:rPr>
          <w:noProof/>
        </w:rPr>
        <w:instrText xml:space="preserve"> PAGEREF _Toc218590574 \h </w:instrText>
      </w:r>
      <w:r>
        <w:rPr>
          <w:noProof/>
        </w:rPr>
      </w:r>
      <w:r>
        <w:rPr>
          <w:noProof/>
        </w:rPr>
        <w:fldChar w:fldCharType="separate"/>
      </w:r>
      <w:r w:rsidR="00DE5216">
        <w:rPr>
          <w:noProof/>
        </w:rPr>
        <w:t>25</w:t>
      </w:r>
      <w:r>
        <w:rPr>
          <w:noProof/>
        </w:rPr>
        <w:fldChar w:fldCharType="end"/>
      </w:r>
    </w:p>
    <w:p w14:paraId="2B5B35EF" w14:textId="7112C43A" w:rsidR="00ED5B3D" w:rsidRDefault="00ED5B3D">
      <w:pPr>
        <w:pStyle w:val="TOC4"/>
        <w:rPr>
          <w:rFonts w:asciiTheme="minorHAnsi" w:eastAsiaTheme="minorEastAsia" w:hAnsiTheme="minorHAnsi"/>
          <w:noProof/>
          <w:kern w:val="2"/>
          <w:sz w:val="24"/>
          <w:szCs w:val="24"/>
          <w:lang w:eastAsia="en-GB"/>
          <w14:ligatures w14:val="standardContextual"/>
        </w:rPr>
      </w:pPr>
      <w:r>
        <w:rPr>
          <w:noProof/>
        </w:rPr>
        <w:t>8.3.1.7</w:t>
      </w:r>
      <w:r>
        <w:rPr>
          <w:rFonts w:asciiTheme="minorHAnsi" w:eastAsiaTheme="minorEastAsia" w:hAnsiTheme="minorHAnsi"/>
          <w:noProof/>
          <w:kern w:val="2"/>
          <w:sz w:val="24"/>
          <w:szCs w:val="24"/>
          <w:lang w:eastAsia="en-GB"/>
          <w14:ligatures w14:val="standardContextual"/>
        </w:rPr>
        <w:tab/>
      </w:r>
      <w:r>
        <w:rPr>
          <w:noProof/>
        </w:rPr>
        <w:t xml:space="preserve">The Offeror's financing </w:t>
      </w:r>
      <w:r w:rsidRPr="00AE433D">
        <w:rPr>
          <w:rFonts w:cs="Times New Roman"/>
          <w:noProof/>
        </w:rPr>
        <w:t>of the Offer</w:t>
      </w:r>
      <w:r>
        <w:rPr>
          <w:noProof/>
        </w:rPr>
        <w:tab/>
      </w:r>
      <w:r>
        <w:rPr>
          <w:noProof/>
        </w:rPr>
        <w:fldChar w:fldCharType="begin"/>
      </w:r>
      <w:r>
        <w:rPr>
          <w:noProof/>
        </w:rPr>
        <w:instrText xml:space="preserve"> PAGEREF _Toc218590575 \h </w:instrText>
      </w:r>
      <w:r>
        <w:rPr>
          <w:noProof/>
        </w:rPr>
      </w:r>
      <w:r>
        <w:rPr>
          <w:noProof/>
        </w:rPr>
        <w:fldChar w:fldCharType="separate"/>
      </w:r>
      <w:r w:rsidR="00DE5216">
        <w:rPr>
          <w:noProof/>
        </w:rPr>
        <w:t>26</w:t>
      </w:r>
      <w:r>
        <w:rPr>
          <w:noProof/>
        </w:rPr>
        <w:fldChar w:fldCharType="end"/>
      </w:r>
    </w:p>
    <w:p w14:paraId="6530E4EB" w14:textId="0589A464" w:rsidR="00ED5B3D" w:rsidRDefault="00ED5B3D">
      <w:pPr>
        <w:pStyle w:val="TOC2"/>
        <w:rPr>
          <w:rFonts w:asciiTheme="minorHAnsi" w:eastAsiaTheme="minorEastAsia" w:hAnsiTheme="minorHAnsi"/>
          <w:kern w:val="2"/>
          <w:sz w:val="24"/>
          <w:szCs w:val="24"/>
          <w:lang w:eastAsia="en-GB"/>
          <w14:ligatures w14:val="standardContextual"/>
        </w:rPr>
      </w:pPr>
      <w:r>
        <w:t>8.4</w:t>
      </w:r>
      <w:r>
        <w:rPr>
          <w:rFonts w:asciiTheme="minorHAnsi" w:eastAsiaTheme="minorEastAsia" w:hAnsiTheme="minorHAnsi"/>
          <w:kern w:val="2"/>
          <w:sz w:val="24"/>
          <w:szCs w:val="24"/>
          <w:lang w:eastAsia="en-GB"/>
          <w14:ligatures w14:val="standardContextual"/>
        </w:rPr>
        <w:tab/>
      </w:r>
      <w:r>
        <w:t>Terms and Conditions of the Offer other than the Offer Price</w:t>
      </w:r>
      <w:r>
        <w:tab/>
      </w:r>
      <w:r>
        <w:fldChar w:fldCharType="begin"/>
      </w:r>
      <w:r>
        <w:instrText xml:space="preserve"> PAGEREF _Toc218590576 \h </w:instrText>
      </w:r>
      <w:r>
        <w:fldChar w:fldCharType="separate"/>
      </w:r>
      <w:r w:rsidR="00DE5216">
        <w:t>26</w:t>
      </w:r>
      <w:r>
        <w:fldChar w:fldCharType="end"/>
      </w:r>
    </w:p>
    <w:p w14:paraId="1FCAF612" w14:textId="64C9F6F4" w:rsidR="00ED5B3D" w:rsidRDefault="00ED5B3D">
      <w:pPr>
        <w:pStyle w:val="TOC3"/>
        <w:rPr>
          <w:rFonts w:asciiTheme="minorHAnsi" w:eastAsiaTheme="minorEastAsia" w:hAnsiTheme="minorHAnsi"/>
          <w:kern w:val="2"/>
          <w:sz w:val="24"/>
          <w:szCs w:val="24"/>
          <w:lang w:eastAsia="en-GB"/>
          <w14:ligatures w14:val="standardContextual"/>
        </w:rPr>
      </w:pPr>
      <w:r>
        <w:t>8.4.1</w:t>
      </w:r>
      <w:r>
        <w:rPr>
          <w:rFonts w:asciiTheme="minorHAnsi" w:eastAsiaTheme="minorEastAsia" w:hAnsiTheme="minorHAnsi"/>
          <w:kern w:val="2"/>
          <w:sz w:val="24"/>
          <w:szCs w:val="24"/>
          <w:lang w:eastAsia="en-GB"/>
          <w14:ligatures w14:val="standardContextual"/>
        </w:rPr>
        <w:tab/>
      </w:r>
      <w:r>
        <w:t>Certainty of Completion of the Offer</w:t>
      </w:r>
      <w:r>
        <w:tab/>
      </w:r>
      <w:r>
        <w:fldChar w:fldCharType="begin"/>
      </w:r>
      <w:r>
        <w:instrText xml:space="preserve"> PAGEREF _Toc218590577 \h </w:instrText>
      </w:r>
      <w:r>
        <w:fldChar w:fldCharType="separate"/>
      </w:r>
      <w:r w:rsidR="00DE5216">
        <w:t>27</w:t>
      </w:r>
      <w:r>
        <w:fldChar w:fldCharType="end"/>
      </w:r>
    </w:p>
    <w:p w14:paraId="484EDD31" w14:textId="1A5D9895" w:rsidR="00ED5B3D" w:rsidRDefault="00ED5B3D">
      <w:pPr>
        <w:pStyle w:val="TOC2"/>
        <w:rPr>
          <w:rFonts w:asciiTheme="minorHAnsi" w:eastAsiaTheme="minorEastAsia" w:hAnsiTheme="minorHAnsi"/>
          <w:kern w:val="2"/>
          <w:sz w:val="24"/>
          <w:szCs w:val="24"/>
          <w:lang w:eastAsia="en-GB"/>
          <w14:ligatures w14:val="standardContextual"/>
        </w:rPr>
      </w:pPr>
      <w:r>
        <w:t>8.5</w:t>
      </w:r>
      <w:r>
        <w:rPr>
          <w:rFonts w:asciiTheme="minorHAnsi" w:eastAsiaTheme="minorEastAsia" w:hAnsiTheme="minorHAnsi"/>
          <w:kern w:val="2"/>
          <w:sz w:val="24"/>
          <w:szCs w:val="24"/>
          <w:lang w:eastAsia="en-GB"/>
          <w14:ligatures w14:val="standardContextual"/>
        </w:rPr>
        <w:tab/>
      </w:r>
      <w:r>
        <w:t>Ability to Respond to any Competing Offers or Other Alternative Transactions</w:t>
      </w:r>
      <w:r>
        <w:tab/>
      </w:r>
      <w:r>
        <w:fldChar w:fldCharType="begin"/>
      </w:r>
      <w:r>
        <w:instrText xml:space="preserve"> PAGEREF _Toc218590578 \h </w:instrText>
      </w:r>
      <w:r>
        <w:fldChar w:fldCharType="separate"/>
      </w:r>
      <w:r w:rsidR="00DE5216">
        <w:t>28</w:t>
      </w:r>
      <w:r>
        <w:fldChar w:fldCharType="end"/>
      </w:r>
    </w:p>
    <w:p w14:paraId="148873AD" w14:textId="5DEF76BD" w:rsidR="00ED5B3D" w:rsidRDefault="00ED5B3D">
      <w:pPr>
        <w:pStyle w:val="TOC2"/>
        <w:rPr>
          <w:rFonts w:asciiTheme="minorHAnsi" w:eastAsiaTheme="minorEastAsia" w:hAnsiTheme="minorHAnsi"/>
          <w:kern w:val="2"/>
          <w:sz w:val="24"/>
          <w:szCs w:val="24"/>
          <w:lang w:eastAsia="en-GB"/>
          <w14:ligatures w14:val="standardContextual"/>
        </w:rPr>
      </w:pPr>
      <w:r>
        <w:t>8.6</w:t>
      </w:r>
      <w:r>
        <w:rPr>
          <w:rFonts w:asciiTheme="minorHAnsi" w:eastAsiaTheme="minorEastAsia" w:hAnsiTheme="minorHAnsi"/>
          <w:kern w:val="2"/>
          <w:sz w:val="24"/>
          <w:szCs w:val="24"/>
          <w:lang w:eastAsia="en-GB"/>
          <w14:ligatures w14:val="standardContextual"/>
        </w:rPr>
        <w:tab/>
      </w:r>
      <w:r>
        <w:rPr>
          <w:lang w:bidi="en-GB"/>
        </w:rPr>
        <w:t>Advantages and Disadvantages to the Shareholders Accepting the Offer</w:t>
      </w:r>
      <w:r>
        <w:tab/>
      </w:r>
      <w:r>
        <w:fldChar w:fldCharType="begin"/>
      </w:r>
      <w:r>
        <w:instrText xml:space="preserve"> PAGEREF _Toc218590579 \h </w:instrText>
      </w:r>
      <w:r>
        <w:fldChar w:fldCharType="separate"/>
      </w:r>
      <w:r w:rsidR="00DE5216">
        <w:t>28</w:t>
      </w:r>
      <w:r>
        <w:fldChar w:fldCharType="end"/>
      </w:r>
    </w:p>
    <w:p w14:paraId="51CA6347" w14:textId="2D3CC577" w:rsidR="00ED5B3D" w:rsidRDefault="00ED5B3D">
      <w:pPr>
        <w:pStyle w:val="TOC3"/>
        <w:rPr>
          <w:rFonts w:asciiTheme="minorHAnsi" w:eastAsiaTheme="minorEastAsia" w:hAnsiTheme="minorHAnsi"/>
          <w:kern w:val="2"/>
          <w:sz w:val="24"/>
          <w:szCs w:val="24"/>
          <w:lang w:eastAsia="en-GB"/>
          <w14:ligatures w14:val="standardContextual"/>
        </w:rPr>
      </w:pPr>
      <w:r>
        <w:rPr>
          <w:lang w:bidi="en-GB"/>
        </w:rPr>
        <w:t>8.6.1</w:t>
      </w:r>
      <w:r>
        <w:rPr>
          <w:rFonts w:asciiTheme="minorHAnsi" w:eastAsiaTheme="minorEastAsia" w:hAnsiTheme="minorHAnsi"/>
          <w:kern w:val="2"/>
          <w:sz w:val="24"/>
          <w:szCs w:val="24"/>
          <w:lang w:eastAsia="en-GB"/>
          <w14:ligatures w14:val="standardContextual"/>
        </w:rPr>
        <w:tab/>
      </w:r>
      <w:r>
        <w:rPr>
          <w:lang w:bidi="en-GB"/>
        </w:rPr>
        <w:t>Advantages to the Shareholders</w:t>
      </w:r>
      <w:r>
        <w:tab/>
      </w:r>
      <w:r>
        <w:fldChar w:fldCharType="begin"/>
      </w:r>
      <w:r>
        <w:instrText xml:space="preserve"> PAGEREF _Toc218590580 \h </w:instrText>
      </w:r>
      <w:r>
        <w:fldChar w:fldCharType="separate"/>
      </w:r>
      <w:r w:rsidR="00DE5216">
        <w:t>29</w:t>
      </w:r>
      <w:r>
        <w:fldChar w:fldCharType="end"/>
      </w:r>
    </w:p>
    <w:p w14:paraId="5C4F73CE" w14:textId="5B65FD1D" w:rsidR="00ED5B3D" w:rsidRDefault="00ED5B3D">
      <w:pPr>
        <w:pStyle w:val="TOC3"/>
        <w:rPr>
          <w:rFonts w:asciiTheme="minorHAnsi" w:eastAsiaTheme="minorEastAsia" w:hAnsiTheme="minorHAnsi"/>
          <w:kern w:val="2"/>
          <w:sz w:val="24"/>
          <w:szCs w:val="24"/>
          <w:lang w:eastAsia="en-GB"/>
          <w14:ligatures w14:val="standardContextual"/>
        </w:rPr>
      </w:pPr>
      <w:r>
        <w:rPr>
          <w:lang w:bidi="en-GB"/>
        </w:rPr>
        <w:t>8.6.2</w:t>
      </w:r>
      <w:r>
        <w:rPr>
          <w:rFonts w:asciiTheme="minorHAnsi" w:eastAsiaTheme="minorEastAsia" w:hAnsiTheme="minorHAnsi"/>
          <w:kern w:val="2"/>
          <w:sz w:val="24"/>
          <w:szCs w:val="24"/>
          <w:lang w:eastAsia="en-GB"/>
          <w14:ligatures w14:val="standardContextual"/>
        </w:rPr>
        <w:tab/>
      </w:r>
      <w:r>
        <w:rPr>
          <w:lang w:bidi="en-GB"/>
        </w:rPr>
        <w:t>Disadvantages to the Shareholders</w:t>
      </w:r>
      <w:r>
        <w:tab/>
      </w:r>
      <w:r>
        <w:fldChar w:fldCharType="begin"/>
      </w:r>
      <w:r>
        <w:instrText xml:space="preserve"> PAGEREF _Toc218590581 \h </w:instrText>
      </w:r>
      <w:r>
        <w:fldChar w:fldCharType="separate"/>
      </w:r>
      <w:r w:rsidR="00DE5216">
        <w:t>29</w:t>
      </w:r>
      <w:r>
        <w:fldChar w:fldCharType="end"/>
      </w:r>
    </w:p>
    <w:p w14:paraId="6F1A9DF2" w14:textId="5118B2BC" w:rsidR="00ED5B3D" w:rsidRDefault="00ED5B3D">
      <w:pPr>
        <w:pStyle w:val="TOC2"/>
        <w:rPr>
          <w:rFonts w:asciiTheme="minorHAnsi" w:eastAsiaTheme="minorEastAsia" w:hAnsiTheme="minorHAnsi"/>
          <w:kern w:val="2"/>
          <w:sz w:val="24"/>
          <w:szCs w:val="24"/>
          <w:lang w:eastAsia="en-GB"/>
          <w14:ligatures w14:val="standardContextual"/>
        </w:rPr>
      </w:pPr>
      <w:r>
        <w:t>8.7</w:t>
      </w:r>
      <w:r>
        <w:rPr>
          <w:rFonts w:asciiTheme="minorHAnsi" w:eastAsiaTheme="minorEastAsia" w:hAnsiTheme="minorHAnsi"/>
          <w:kern w:val="2"/>
          <w:sz w:val="24"/>
          <w:szCs w:val="24"/>
          <w:lang w:eastAsia="en-GB"/>
          <w14:ligatures w14:val="standardContextual"/>
        </w:rPr>
        <w:tab/>
      </w:r>
      <w:r>
        <w:t>Potential Consequences for Shareholders not Accepting the Offer</w:t>
      </w:r>
      <w:r>
        <w:tab/>
      </w:r>
      <w:r>
        <w:fldChar w:fldCharType="begin"/>
      </w:r>
      <w:r>
        <w:instrText xml:space="preserve"> PAGEREF _Toc218590582 \h </w:instrText>
      </w:r>
      <w:r>
        <w:fldChar w:fldCharType="separate"/>
      </w:r>
      <w:r w:rsidR="00DE5216">
        <w:t>29</w:t>
      </w:r>
      <w:r>
        <w:fldChar w:fldCharType="end"/>
      </w:r>
    </w:p>
    <w:p w14:paraId="6B2A2D45" w14:textId="45CD7ED6" w:rsidR="00ED5B3D" w:rsidRDefault="00ED5B3D">
      <w:pPr>
        <w:pStyle w:val="TOC1"/>
        <w:rPr>
          <w:rFonts w:asciiTheme="minorHAnsi" w:eastAsiaTheme="minorEastAsia" w:hAnsiTheme="minorHAnsi"/>
          <w:b w:val="0"/>
          <w:caps w:val="0"/>
          <w:kern w:val="2"/>
          <w:sz w:val="24"/>
          <w:szCs w:val="24"/>
          <w:lang w:eastAsia="en-GB"/>
          <w14:ligatures w14:val="standardContextual"/>
        </w:rPr>
      </w:pPr>
      <w:r>
        <w:lastRenderedPageBreak/>
        <w:t>9.</w:t>
      </w:r>
      <w:r>
        <w:rPr>
          <w:rFonts w:asciiTheme="minorHAnsi" w:eastAsiaTheme="minorEastAsia" w:hAnsiTheme="minorHAnsi"/>
          <w:b w:val="0"/>
          <w:caps w:val="0"/>
          <w:kern w:val="2"/>
          <w:sz w:val="24"/>
          <w:szCs w:val="24"/>
          <w:lang w:eastAsia="en-GB"/>
          <w14:ligatures w14:val="standardContextual"/>
        </w:rPr>
        <w:tab/>
      </w:r>
      <w:r>
        <w:rPr>
          <w:lang w:bidi="en-GB"/>
        </w:rPr>
        <w:t>Information about certain ownership interests etc.</w:t>
      </w:r>
      <w:r>
        <w:tab/>
      </w:r>
      <w:r>
        <w:fldChar w:fldCharType="begin"/>
      </w:r>
      <w:r>
        <w:instrText xml:space="preserve"> PAGEREF _Toc218590583 \h </w:instrText>
      </w:r>
      <w:r>
        <w:fldChar w:fldCharType="separate"/>
      </w:r>
      <w:r w:rsidR="00DE5216">
        <w:t>32</w:t>
      </w:r>
      <w:r>
        <w:fldChar w:fldCharType="end"/>
      </w:r>
    </w:p>
    <w:p w14:paraId="4C17A0AF" w14:textId="29F9C6B8" w:rsidR="00ED5B3D" w:rsidRDefault="00ED5B3D">
      <w:pPr>
        <w:pStyle w:val="TOC2"/>
        <w:rPr>
          <w:rFonts w:asciiTheme="minorHAnsi" w:eastAsiaTheme="minorEastAsia" w:hAnsiTheme="minorHAnsi"/>
          <w:kern w:val="2"/>
          <w:sz w:val="24"/>
          <w:szCs w:val="24"/>
          <w:lang w:eastAsia="en-GB"/>
          <w14:ligatures w14:val="standardContextual"/>
        </w:rPr>
      </w:pPr>
      <w:r>
        <w:t>9.1</w:t>
      </w:r>
      <w:r>
        <w:rPr>
          <w:rFonts w:asciiTheme="minorHAnsi" w:eastAsiaTheme="minorEastAsia" w:hAnsiTheme="minorHAnsi"/>
          <w:kern w:val="2"/>
          <w:sz w:val="24"/>
          <w:szCs w:val="24"/>
          <w:lang w:eastAsia="en-GB"/>
          <w14:ligatures w14:val="standardContextual"/>
        </w:rPr>
        <w:tab/>
      </w:r>
      <w:r>
        <w:rPr>
          <w:lang w:bidi="en-GB"/>
        </w:rPr>
        <w:t>Ownership Interests held by the Board of Directors and Executive Management</w:t>
      </w:r>
      <w:r>
        <w:tab/>
      </w:r>
      <w:r>
        <w:fldChar w:fldCharType="begin"/>
      </w:r>
      <w:r>
        <w:instrText xml:space="preserve"> PAGEREF _Toc218590584 \h </w:instrText>
      </w:r>
      <w:r>
        <w:fldChar w:fldCharType="separate"/>
      </w:r>
      <w:r w:rsidR="00DE5216">
        <w:t>32</w:t>
      </w:r>
      <w:r>
        <w:fldChar w:fldCharType="end"/>
      </w:r>
    </w:p>
    <w:p w14:paraId="417C33B7" w14:textId="0C76DC4A" w:rsidR="00ED5B3D" w:rsidRDefault="00ED5B3D">
      <w:pPr>
        <w:pStyle w:val="TOC2"/>
        <w:rPr>
          <w:rFonts w:asciiTheme="minorHAnsi" w:eastAsiaTheme="minorEastAsia" w:hAnsiTheme="minorHAnsi"/>
          <w:kern w:val="2"/>
          <w:sz w:val="24"/>
          <w:szCs w:val="24"/>
          <w:lang w:eastAsia="en-GB"/>
          <w14:ligatures w14:val="standardContextual"/>
        </w:rPr>
      </w:pPr>
      <w:r>
        <w:t>9.2</w:t>
      </w:r>
      <w:r>
        <w:rPr>
          <w:rFonts w:asciiTheme="minorHAnsi" w:eastAsiaTheme="minorEastAsia" w:hAnsiTheme="minorHAnsi"/>
          <w:kern w:val="2"/>
          <w:sz w:val="24"/>
          <w:szCs w:val="24"/>
          <w:lang w:eastAsia="en-GB"/>
          <w14:ligatures w14:val="standardContextual"/>
        </w:rPr>
        <w:tab/>
      </w:r>
      <w:r>
        <w:rPr>
          <w:lang w:bidi="en-GB"/>
        </w:rPr>
        <w:t>Equity instruments held by the Board of Directors and Executive Management</w:t>
      </w:r>
      <w:r>
        <w:tab/>
      </w:r>
      <w:r>
        <w:fldChar w:fldCharType="begin"/>
      </w:r>
      <w:r>
        <w:instrText xml:space="preserve"> PAGEREF _Toc218590585 \h </w:instrText>
      </w:r>
      <w:r>
        <w:fldChar w:fldCharType="separate"/>
      </w:r>
      <w:r w:rsidR="00DE5216">
        <w:t>32</w:t>
      </w:r>
      <w:r>
        <w:fldChar w:fldCharType="end"/>
      </w:r>
    </w:p>
    <w:p w14:paraId="54D8BAA9" w14:textId="272C4819" w:rsidR="00ED5B3D" w:rsidRDefault="00ED5B3D">
      <w:pPr>
        <w:pStyle w:val="TOC2"/>
        <w:rPr>
          <w:rFonts w:asciiTheme="minorHAnsi" w:eastAsiaTheme="minorEastAsia" w:hAnsiTheme="minorHAnsi"/>
          <w:kern w:val="2"/>
          <w:sz w:val="24"/>
          <w:szCs w:val="24"/>
          <w:lang w:eastAsia="en-GB"/>
          <w14:ligatures w14:val="standardContextual"/>
        </w:rPr>
      </w:pPr>
      <w:r>
        <w:rPr>
          <w:lang w:bidi="en-GB"/>
        </w:rPr>
        <w:t>9.3</w:t>
      </w:r>
      <w:r>
        <w:rPr>
          <w:rFonts w:asciiTheme="minorHAnsi" w:eastAsiaTheme="minorEastAsia" w:hAnsiTheme="minorHAnsi"/>
          <w:kern w:val="2"/>
          <w:sz w:val="24"/>
          <w:szCs w:val="24"/>
          <w:lang w:eastAsia="en-GB"/>
          <w14:ligatures w14:val="standardContextual"/>
        </w:rPr>
        <w:tab/>
      </w:r>
      <w:r>
        <w:rPr>
          <w:lang w:bidi="en-GB"/>
        </w:rPr>
        <w:t>Bonus Payments</w:t>
      </w:r>
      <w:r>
        <w:tab/>
      </w:r>
      <w:r>
        <w:fldChar w:fldCharType="begin"/>
      </w:r>
      <w:r>
        <w:instrText xml:space="preserve"> PAGEREF _Toc218590586 \h </w:instrText>
      </w:r>
      <w:r>
        <w:fldChar w:fldCharType="separate"/>
      </w:r>
      <w:r w:rsidR="00DE5216">
        <w:t>32</w:t>
      </w:r>
      <w:r>
        <w:fldChar w:fldCharType="end"/>
      </w:r>
    </w:p>
    <w:p w14:paraId="197DD4AA" w14:textId="0E8953E1" w:rsidR="00ED5B3D" w:rsidRDefault="00ED5B3D">
      <w:pPr>
        <w:pStyle w:val="TOC1"/>
        <w:rPr>
          <w:rFonts w:asciiTheme="minorHAnsi" w:eastAsiaTheme="minorEastAsia" w:hAnsiTheme="minorHAnsi"/>
          <w:b w:val="0"/>
          <w:caps w:val="0"/>
          <w:kern w:val="2"/>
          <w:sz w:val="24"/>
          <w:szCs w:val="24"/>
          <w:lang w:eastAsia="en-GB"/>
          <w14:ligatures w14:val="standardContextual"/>
        </w:rPr>
      </w:pPr>
      <w:r>
        <w:t>10.</w:t>
      </w:r>
      <w:r>
        <w:rPr>
          <w:rFonts w:asciiTheme="minorHAnsi" w:eastAsiaTheme="minorEastAsia" w:hAnsiTheme="minorHAnsi"/>
          <w:b w:val="0"/>
          <w:caps w:val="0"/>
          <w:kern w:val="2"/>
          <w:sz w:val="24"/>
          <w:szCs w:val="24"/>
          <w:lang w:eastAsia="en-GB"/>
          <w14:ligatures w14:val="standardContextual"/>
        </w:rPr>
        <w:tab/>
      </w:r>
      <w:r>
        <w:t>miscellaneous</w:t>
      </w:r>
      <w:r>
        <w:tab/>
      </w:r>
      <w:r>
        <w:fldChar w:fldCharType="begin"/>
      </w:r>
      <w:r>
        <w:instrText xml:space="preserve"> PAGEREF _Toc218590587 \h </w:instrText>
      </w:r>
      <w:r>
        <w:fldChar w:fldCharType="separate"/>
      </w:r>
      <w:r w:rsidR="00DE5216">
        <w:t>33</w:t>
      </w:r>
      <w:r>
        <w:fldChar w:fldCharType="end"/>
      </w:r>
    </w:p>
    <w:p w14:paraId="0B544D7C" w14:textId="198B0708" w:rsidR="00ED5B3D" w:rsidRDefault="00ED5B3D">
      <w:pPr>
        <w:pStyle w:val="TOC2"/>
        <w:rPr>
          <w:rFonts w:asciiTheme="minorHAnsi" w:eastAsiaTheme="minorEastAsia" w:hAnsiTheme="minorHAnsi"/>
          <w:kern w:val="2"/>
          <w:sz w:val="24"/>
          <w:szCs w:val="24"/>
          <w:lang w:eastAsia="en-GB"/>
          <w14:ligatures w14:val="standardContextual"/>
        </w:rPr>
      </w:pPr>
      <w:r>
        <w:t>10.1</w:t>
      </w:r>
      <w:r>
        <w:rPr>
          <w:rFonts w:asciiTheme="minorHAnsi" w:eastAsiaTheme="minorEastAsia" w:hAnsiTheme="minorHAnsi"/>
          <w:kern w:val="2"/>
          <w:sz w:val="24"/>
          <w:szCs w:val="24"/>
          <w:lang w:eastAsia="en-GB"/>
          <w14:ligatures w14:val="standardContextual"/>
        </w:rPr>
        <w:tab/>
      </w:r>
      <w:r>
        <w:rPr>
          <w:lang w:bidi="en-GB"/>
        </w:rPr>
        <w:t>Applicable Law</w:t>
      </w:r>
      <w:r>
        <w:tab/>
      </w:r>
      <w:r>
        <w:fldChar w:fldCharType="begin"/>
      </w:r>
      <w:r>
        <w:instrText xml:space="preserve"> PAGEREF _Toc218590588 \h </w:instrText>
      </w:r>
      <w:r>
        <w:fldChar w:fldCharType="separate"/>
      </w:r>
      <w:r w:rsidR="00DE5216">
        <w:t>33</w:t>
      </w:r>
      <w:r>
        <w:fldChar w:fldCharType="end"/>
      </w:r>
    </w:p>
    <w:p w14:paraId="3C2D4BB7" w14:textId="6D9C2BDF" w:rsidR="00ED5B3D" w:rsidRDefault="00ED5B3D">
      <w:pPr>
        <w:pStyle w:val="TOC2"/>
        <w:rPr>
          <w:rFonts w:asciiTheme="minorHAnsi" w:eastAsiaTheme="minorEastAsia" w:hAnsiTheme="minorHAnsi"/>
          <w:kern w:val="2"/>
          <w:sz w:val="24"/>
          <w:szCs w:val="24"/>
          <w:lang w:eastAsia="en-GB"/>
          <w14:ligatures w14:val="standardContextual"/>
        </w:rPr>
      </w:pPr>
      <w:r>
        <w:t>10.2</w:t>
      </w:r>
      <w:r>
        <w:rPr>
          <w:rFonts w:asciiTheme="minorHAnsi" w:eastAsiaTheme="minorEastAsia" w:hAnsiTheme="minorHAnsi"/>
          <w:kern w:val="2"/>
          <w:sz w:val="24"/>
          <w:szCs w:val="24"/>
          <w:lang w:eastAsia="en-GB"/>
          <w14:ligatures w14:val="standardContextual"/>
        </w:rPr>
        <w:tab/>
      </w:r>
      <w:r>
        <w:t>Forward-Looking Statements</w:t>
      </w:r>
      <w:r>
        <w:tab/>
      </w:r>
      <w:r>
        <w:fldChar w:fldCharType="begin"/>
      </w:r>
      <w:r>
        <w:instrText xml:space="preserve"> PAGEREF _Toc218590589 \h </w:instrText>
      </w:r>
      <w:r>
        <w:fldChar w:fldCharType="separate"/>
      </w:r>
      <w:r w:rsidR="00DE5216">
        <w:t>33</w:t>
      </w:r>
      <w:r>
        <w:fldChar w:fldCharType="end"/>
      </w:r>
    </w:p>
    <w:p w14:paraId="30BE71C4" w14:textId="4BD25886" w:rsidR="00ED5B3D" w:rsidRDefault="00ED5B3D">
      <w:pPr>
        <w:pStyle w:val="TOC2"/>
        <w:rPr>
          <w:rFonts w:asciiTheme="minorHAnsi" w:eastAsiaTheme="minorEastAsia" w:hAnsiTheme="minorHAnsi"/>
          <w:kern w:val="2"/>
          <w:sz w:val="24"/>
          <w:szCs w:val="24"/>
          <w:lang w:eastAsia="en-GB"/>
          <w14:ligatures w14:val="standardContextual"/>
        </w:rPr>
      </w:pPr>
      <w:r>
        <w:t>10.3</w:t>
      </w:r>
      <w:r>
        <w:rPr>
          <w:rFonts w:asciiTheme="minorHAnsi" w:eastAsiaTheme="minorEastAsia" w:hAnsiTheme="minorHAnsi"/>
          <w:kern w:val="2"/>
          <w:sz w:val="24"/>
          <w:szCs w:val="24"/>
          <w:lang w:eastAsia="en-GB"/>
          <w14:ligatures w14:val="standardContextual"/>
        </w:rPr>
        <w:tab/>
      </w:r>
      <w:r>
        <w:t>Addressees of the Statement</w:t>
      </w:r>
      <w:r>
        <w:tab/>
      </w:r>
      <w:r>
        <w:fldChar w:fldCharType="begin"/>
      </w:r>
      <w:r>
        <w:instrText xml:space="preserve"> PAGEREF _Toc218590590 \h </w:instrText>
      </w:r>
      <w:r>
        <w:fldChar w:fldCharType="separate"/>
      </w:r>
      <w:r w:rsidR="00DE5216">
        <w:t>33</w:t>
      </w:r>
      <w:r>
        <w:fldChar w:fldCharType="end"/>
      </w:r>
    </w:p>
    <w:p w14:paraId="151F2E38" w14:textId="56D1D3BC" w:rsidR="00ED5B3D" w:rsidRDefault="00ED5B3D">
      <w:pPr>
        <w:pStyle w:val="TOC2"/>
        <w:rPr>
          <w:rFonts w:asciiTheme="minorHAnsi" w:eastAsiaTheme="minorEastAsia" w:hAnsiTheme="minorHAnsi"/>
          <w:kern w:val="2"/>
          <w:sz w:val="24"/>
          <w:szCs w:val="24"/>
          <w:lang w:eastAsia="en-GB"/>
          <w14:ligatures w14:val="standardContextual"/>
        </w:rPr>
      </w:pPr>
      <w:r>
        <w:t>10.4</w:t>
      </w:r>
      <w:r>
        <w:rPr>
          <w:rFonts w:asciiTheme="minorHAnsi" w:eastAsiaTheme="minorEastAsia" w:hAnsiTheme="minorHAnsi"/>
          <w:kern w:val="2"/>
          <w:sz w:val="24"/>
          <w:szCs w:val="24"/>
          <w:lang w:eastAsia="en-GB"/>
          <w14:ligatures w14:val="standardContextual"/>
        </w:rPr>
        <w:tab/>
      </w:r>
      <w:r>
        <w:t>Advisers</w:t>
      </w:r>
      <w:r>
        <w:tab/>
      </w:r>
      <w:r>
        <w:fldChar w:fldCharType="begin"/>
      </w:r>
      <w:r>
        <w:instrText xml:space="preserve"> PAGEREF _Toc218590591 \h </w:instrText>
      </w:r>
      <w:r>
        <w:fldChar w:fldCharType="separate"/>
      </w:r>
      <w:r w:rsidR="00DE5216">
        <w:t>33</w:t>
      </w:r>
      <w:r>
        <w:fldChar w:fldCharType="end"/>
      </w:r>
    </w:p>
    <w:p w14:paraId="683CCECB" w14:textId="116E3D5D" w:rsidR="00ED5B3D" w:rsidRDefault="00ED5B3D">
      <w:pPr>
        <w:pStyle w:val="TOC2"/>
        <w:rPr>
          <w:rFonts w:asciiTheme="minorHAnsi" w:eastAsiaTheme="minorEastAsia" w:hAnsiTheme="minorHAnsi"/>
          <w:kern w:val="2"/>
          <w:sz w:val="24"/>
          <w:szCs w:val="24"/>
          <w:lang w:eastAsia="en-GB"/>
          <w14:ligatures w14:val="standardContextual"/>
        </w:rPr>
      </w:pPr>
      <w:r>
        <w:t>10.5</w:t>
      </w:r>
      <w:r>
        <w:rPr>
          <w:rFonts w:asciiTheme="minorHAnsi" w:eastAsiaTheme="minorEastAsia" w:hAnsiTheme="minorHAnsi"/>
          <w:kern w:val="2"/>
          <w:sz w:val="24"/>
          <w:szCs w:val="24"/>
          <w:lang w:eastAsia="en-GB"/>
          <w14:ligatures w14:val="standardContextual"/>
        </w:rPr>
        <w:tab/>
      </w:r>
      <w:r>
        <w:t>Disclaimers</w:t>
      </w:r>
      <w:r>
        <w:tab/>
      </w:r>
      <w:r>
        <w:fldChar w:fldCharType="begin"/>
      </w:r>
      <w:r>
        <w:instrText xml:space="preserve"> PAGEREF _Toc218590592 \h </w:instrText>
      </w:r>
      <w:r>
        <w:fldChar w:fldCharType="separate"/>
      </w:r>
      <w:r w:rsidR="00DE5216">
        <w:t>33</w:t>
      </w:r>
      <w:r>
        <w:fldChar w:fldCharType="end"/>
      </w:r>
    </w:p>
    <w:p w14:paraId="7FD62147" w14:textId="7D8A1823" w:rsidR="00ED5B3D" w:rsidRDefault="00ED5B3D">
      <w:pPr>
        <w:pStyle w:val="TOC2"/>
        <w:rPr>
          <w:rFonts w:asciiTheme="minorHAnsi" w:eastAsiaTheme="minorEastAsia" w:hAnsiTheme="minorHAnsi"/>
          <w:kern w:val="2"/>
          <w:sz w:val="24"/>
          <w:szCs w:val="24"/>
          <w:lang w:eastAsia="en-GB"/>
          <w14:ligatures w14:val="standardContextual"/>
        </w:rPr>
      </w:pPr>
      <w:r>
        <w:t>10.6</w:t>
      </w:r>
      <w:r>
        <w:rPr>
          <w:rFonts w:asciiTheme="minorHAnsi" w:eastAsiaTheme="minorEastAsia" w:hAnsiTheme="minorHAnsi"/>
          <w:kern w:val="2"/>
          <w:sz w:val="24"/>
          <w:szCs w:val="24"/>
          <w:lang w:eastAsia="en-GB"/>
          <w14:ligatures w14:val="standardContextual"/>
        </w:rPr>
        <w:tab/>
      </w:r>
      <w:r>
        <w:rPr>
          <w:lang w:bidi="en-GB"/>
        </w:rPr>
        <w:t>Sources of Information and References</w:t>
      </w:r>
      <w:r>
        <w:tab/>
      </w:r>
      <w:r>
        <w:fldChar w:fldCharType="begin"/>
      </w:r>
      <w:r>
        <w:instrText xml:space="preserve"> PAGEREF _Toc218590593 \h </w:instrText>
      </w:r>
      <w:r>
        <w:fldChar w:fldCharType="separate"/>
      </w:r>
      <w:r w:rsidR="00DE5216">
        <w:t>33</w:t>
      </w:r>
      <w:r>
        <w:fldChar w:fldCharType="end"/>
      </w:r>
    </w:p>
    <w:p w14:paraId="32B509D0" w14:textId="54C79156" w:rsidR="00C409D1" w:rsidRPr="003B74E0" w:rsidRDefault="00C409D1">
      <w:r w:rsidRPr="003B74E0">
        <w:fldChar w:fldCharType="end"/>
      </w:r>
    </w:p>
    <w:p w14:paraId="1B9AFB8B" w14:textId="77777777" w:rsidR="00C409D1" w:rsidRPr="003B74E0" w:rsidRDefault="00C409D1">
      <w:pPr>
        <w:spacing w:after="160" w:line="259" w:lineRule="auto"/>
      </w:pPr>
    </w:p>
    <w:p w14:paraId="331DBA17" w14:textId="77777777" w:rsidR="00C409D1" w:rsidRPr="003B74E0" w:rsidRDefault="00C409D1" w:rsidP="00C409D1">
      <w:pPr>
        <w:spacing w:after="160" w:line="259" w:lineRule="auto"/>
        <w:rPr>
          <w:b/>
        </w:rPr>
      </w:pPr>
      <w:r w:rsidRPr="003B74E0">
        <w:rPr>
          <w:b/>
          <w:lang w:bidi="en-GB"/>
        </w:rPr>
        <w:t>APPENDICES</w:t>
      </w:r>
    </w:p>
    <w:p w14:paraId="1678CB9D" w14:textId="6EBB88F3" w:rsidR="00C409D1" w:rsidRPr="003B74E0" w:rsidRDefault="00C409D1" w:rsidP="00C409D1">
      <w:pPr>
        <w:spacing w:after="160" w:line="259" w:lineRule="auto"/>
        <w:rPr>
          <w:lang w:bidi="en-GB"/>
        </w:rPr>
      </w:pPr>
      <w:r w:rsidRPr="003B74E0">
        <w:rPr>
          <w:lang w:bidi="en-GB"/>
        </w:rPr>
        <w:t>Appendix 1</w:t>
      </w:r>
      <w:r w:rsidRPr="003B74E0">
        <w:rPr>
          <w:lang w:bidi="en-GB"/>
        </w:rPr>
        <w:tab/>
      </w:r>
      <w:r w:rsidR="00FF784C" w:rsidRPr="003B74E0">
        <w:rPr>
          <w:lang w:bidi="en-GB"/>
        </w:rPr>
        <w:t>Equity instruments</w:t>
      </w:r>
      <w:r w:rsidRPr="003B74E0">
        <w:rPr>
          <w:lang w:bidi="en-GB"/>
        </w:rPr>
        <w:t xml:space="preserve"> held by the </w:t>
      </w:r>
      <w:r w:rsidR="00B86488" w:rsidRPr="003B74E0">
        <w:rPr>
          <w:lang w:bidi="en-GB"/>
        </w:rPr>
        <w:t>Board of Directors</w:t>
      </w:r>
    </w:p>
    <w:p w14:paraId="332815E9" w14:textId="6E53D53F" w:rsidR="00C409D1" w:rsidRPr="003B74E0" w:rsidRDefault="00C409D1" w:rsidP="00C409D1">
      <w:pPr>
        <w:spacing w:after="160" w:line="259" w:lineRule="auto"/>
        <w:rPr>
          <w:lang w:bidi="en-GB"/>
        </w:rPr>
      </w:pPr>
      <w:r w:rsidRPr="003B74E0">
        <w:rPr>
          <w:lang w:bidi="en-GB"/>
        </w:rPr>
        <w:t>Appendix 2</w:t>
      </w:r>
      <w:r w:rsidRPr="003B74E0">
        <w:rPr>
          <w:lang w:bidi="en-GB"/>
        </w:rPr>
        <w:tab/>
      </w:r>
      <w:r w:rsidR="00FF784C" w:rsidRPr="003B74E0">
        <w:rPr>
          <w:lang w:bidi="en-GB"/>
        </w:rPr>
        <w:t>Equity instruments</w:t>
      </w:r>
      <w:r w:rsidRPr="003B74E0">
        <w:rPr>
          <w:lang w:bidi="en-GB"/>
        </w:rPr>
        <w:t xml:space="preserve"> held by the Executive Management</w:t>
      </w:r>
    </w:p>
    <w:p w14:paraId="77472D0C" w14:textId="6C33D5B9" w:rsidR="00C409D1" w:rsidRPr="003B74E0" w:rsidRDefault="00C409D1">
      <w:pPr>
        <w:spacing w:after="160" w:line="259" w:lineRule="auto"/>
      </w:pPr>
      <w:r w:rsidRPr="003B74E0">
        <w:br w:type="page"/>
      </w:r>
    </w:p>
    <w:p w14:paraId="230BED24" w14:textId="6FB8BDBA" w:rsidR="00C409D1" w:rsidRPr="003B74E0" w:rsidRDefault="00C409D1" w:rsidP="00A05058">
      <w:pPr>
        <w:pStyle w:val="DSHeadingUnnumbered1"/>
        <w:jc w:val="both"/>
        <w:rPr>
          <w:lang w:bidi="en-GB"/>
        </w:rPr>
      </w:pPr>
      <w:r w:rsidRPr="003B74E0">
        <w:rPr>
          <w:lang w:bidi="en-GB"/>
        </w:rPr>
        <w:lastRenderedPageBreak/>
        <w:t xml:space="preserve">STATEMENT OF </w:t>
      </w:r>
      <w:r w:rsidR="00C108B5">
        <w:t>7 January 2026</w:t>
      </w:r>
      <w:r w:rsidRPr="003B74E0">
        <w:rPr>
          <w:lang w:bidi="en-GB"/>
        </w:rPr>
        <w:t xml:space="preserve"> BY THE </w:t>
      </w:r>
      <w:r w:rsidR="00B86488" w:rsidRPr="003B74E0">
        <w:rPr>
          <w:lang w:bidi="en-GB"/>
        </w:rPr>
        <w:t>BOARD OF DIRECTORS</w:t>
      </w:r>
      <w:r w:rsidRPr="003B74E0">
        <w:rPr>
          <w:lang w:bidi="en-GB"/>
        </w:rPr>
        <w:t xml:space="preserve"> OF </w:t>
      </w:r>
      <w:r w:rsidR="006E6CF2" w:rsidRPr="003B74E0">
        <w:rPr>
          <w:lang w:bidi="en-GB"/>
        </w:rPr>
        <w:t>Nilfisk Holding</w:t>
      </w:r>
      <w:r w:rsidR="00DF0F94" w:rsidRPr="003B74E0">
        <w:rPr>
          <w:lang w:bidi="en-GB"/>
        </w:rPr>
        <w:t xml:space="preserve"> a/s</w:t>
      </w:r>
      <w:r w:rsidRPr="003B74E0">
        <w:rPr>
          <w:lang w:bidi="en-GB"/>
        </w:rPr>
        <w:t xml:space="preserve"> </w:t>
      </w:r>
    </w:p>
    <w:p w14:paraId="1B953E12" w14:textId="65DEA5FB" w:rsidR="00C409D1" w:rsidRPr="003B74E0" w:rsidRDefault="00C409D1" w:rsidP="00A05058">
      <w:pPr>
        <w:pStyle w:val="Heading1"/>
        <w:jc w:val="both"/>
      </w:pPr>
      <w:bookmarkStart w:id="0" w:name="_Toc194440301"/>
      <w:bookmarkStart w:id="1" w:name="_Toc218590546"/>
      <w:bookmarkStart w:id="2" w:name="_Hlk194411879"/>
      <w:r w:rsidRPr="003B74E0">
        <w:rPr>
          <w:lang w:bidi="en-GB"/>
        </w:rPr>
        <w:t>Introduction</w:t>
      </w:r>
      <w:bookmarkEnd w:id="0"/>
      <w:bookmarkEnd w:id="1"/>
      <w:r w:rsidR="00624173" w:rsidRPr="003B74E0">
        <w:rPr>
          <w:lang w:bidi="en-GB"/>
        </w:rPr>
        <w:t xml:space="preserve"> </w:t>
      </w:r>
    </w:p>
    <w:p w14:paraId="477AF0A9" w14:textId="77777777" w:rsidR="00C409D1" w:rsidRPr="003B74E0" w:rsidRDefault="00C409D1" w:rsidP="00A05058">
      <w:pPr>
        <w:pStyle w:val="Heading2"/>
        <w:jc w:val="both"/>
      </w:pPr>
      <w:bookmarkStart w:id="3" w:name="_Ref462403744"/>
      <w:bookmarkStart w:id="4" w:name="_Ref194227109"/>
      <w:bookmarkStart w:id="5" w:name="_Toc194440302"/>
      <w:bookmarkStart w:id="6" w:name="_Toc218590547"/>
      <w:r w:rsidRPr="003B74E0">
        <w:rPr>
          <w:lang w:bidi="en-GB"/>
        </w:rPr>
        <w:t>Summary of the Offer</w:t>
      </w:r>
      <w:bookmarkEnd w:id="3"/>
      <w:bookmarkEnd w:id="4"/>
      <w:bookmarkEnd w:id="5"/>
      <w:bookmarkEnd w:id="6"/>
    </w:p>
    <w:bookmarkEnd w:id="2"/>
    <w:p w14:paraId="67A6F00D" w14:textId="1476A81E" w:rsidR="00BB7DFD" w:rsidRPr="003B74E0" w:rsidRDefault="00C409D1" w:rsidP="00933736">
      <w:pPr>
        <w:pStyle w:val="DSBodyTextIndent1"/>
        <w:jc w:val="both"/>
      </w:pPr>
      <w:r w:rsidRPr="003B74E0">
        <w:t xml:space="preserve">On </w:t>
      </w:r>
      <w:r w:rsidR="00980256">
        <w:t>11 December 2025</w:t>
      </w:r>
      <w:r w:rsidRPr="003B74E0">
        <w:t xml:space="preserve">, </w:t>
      </w:r>
      <w:r w:rsidR="006B26F8" w:rsidRPr="003B74E0">
        <w:t>Freudenberg Home and Cleaning Solutions GmbH</w:t>
      </w:r>
      <w:r w:rsidRPr="003B74E0">
        <w:t xml:space="preserve">, a company incorporated under </w:t>
      </w:r>
      <w:r w:rsidR="00640353" w:rsidRPr="003B74E0">
        <w:t xml:space="preserve">the laws of </w:t>
      </w:r>
      <w:r w:rsidR="00583CA5" w:rsidRPr="003B74E0">
        <w:t>Germany</w:t>
      </w:r>
      <w:r w:rsidRPr="003B74E0">
        <w:t xml:space="preserve">, with company registration number </w:t>
      </w:r>
      <w:proofErr w:type="spellStart"/>
      <w:r w:rsidR="000359D5" w:rsidRPr="003B74E0">
        <w:t>HRB</w:t>
      </w:r>
      <w:proofErr w:type="spellEnd"/>
      <w:r w:rsidR="000359D5" w:rsidRPr="003B74E0">
        <w:t xml:space="preserve"> 431930 </w:t>
      </w:r>
      <w:r w:rsidRPr="003B74E0">
        <w:t xml:space="preserve">and having its registered address at </w:t>
      </w:r>
      <w:proofErr w:type="spellStart"/>
      <w:r w:rsidR="000B5BBE" w:rsidRPr="003B74E0">
        <w:t>Im</w:t>
      </w:r>
      <w:proofErr w:type="spellEnd"/>
      <w:r w:rsidR="000B5BBE" w:rsidRPr="003B74E0">
        <w:t xml:space="preserve"> </w:t>
      </w:r>
      <w:proofErr w:type="spellStart"/>
      <w:r w:rsidR="000B5BBE" w:rsidRPr="003B74E0">
        <w:t>Technologiepark</w:t>
      </w:r>
      <w:proofErr w:type="spellEnd"/>
      <w:r w:rsidR="000B5BBE" w:rsidRPr="003B74E0">
        <w:t xml:space="preserve"> 19, DE-69469 Weinheim, Germany</w:t>
      </w:r>
      <w:r w:rsidRPr="003B74E0">
        <w:t>,</w:t>
      </w:r>
      <w:r w:rsidR="00152126" w:rsidRPr="003B74E0">
        <w:t xml:space="preserve"> </w:t>
      </w:r>
      <w:r w:rsidRPr="003B74E0">
        <w:t>(</w:t>
      </w:r>
      <w:r w:rsidR="00A470E8" w:rsidRPr="003B74E0">
        <w:t xml:space="preserve">the </w:t>
      </w:r>
      <w:r w:rsidR="00A470E8" w:rsidRPr="003B74E0">
        <w:rPr>
          <w:b/>
          <w:bCs/>
        </w:rPr>
        <w:t>Offeror</w:t>
      </w:r>
      <w:r w:rsidRPr="003B74E0">
        <w:t xml:space="preserve">), </w:t>
      </w:r>
      <w:r w:rsidR="00A470E8" w:rsidRPr="003B74E0">
        <w:t>announ</w:t>
      </w:r>
      <w:r w:rsidR="008B39E5" w:rsidRPr="003B74E0">
        <w:t>c</w:t>
      </w:r>
      <w:r w:rsidR="00A470E8" w:rsidRPr="003B74E0">
        <w:t xml:space="preserve">ed its decision to make a voluntary </w:t>
      </w:r>
      <w:r w:rsidR="0086690E" w:rsidRPr="003B74E0">
        <w:t xml:space="preserve">all-cash </w:t>
      </w:r>
      <w:r w:rsidR="00A470E8" w:rsidRPr="003B74E0">
        <w:t>public takeover off</w:t>
      </w:r>
      <w:r w:rsidR="0086690E" w:rsidRPr="003B74E0">
        <w:t xml:space="preserve">er (the </w:t>
      </w:r>
      <w:r w:rsidR="0086690E" w:rsidRPr="003B74E0">
        <w:rPr>
          <w:b/>
          <w:bCs/>
        </w:rPr>
        <w:t>Offer</w:t>
      </w:r>
      <w:r w:rsidR="0086690E" w:rsidRPr="003B74E0">
        <w:t xml:space="preserve">) for the shares (the </w:t>
      </w:r>
      <w:r w:rsidR="0086690E" w:rsidRPr="003B74E0">
        <w:rPr>
          <w:b/>
          <w:bCs/>
        </w:rPr>
        <w:t>Shares</w:t>
      </w:r>
      <w:r w:rsidR="0086690E" w:rsidRPr="003B74E0">
        <w:t xml:space="preserve">) of </w:t>
      </w:r>
      <w:r w:rsidR="006E6CF2" w:rsidRPr="003B74E0">
        <w:t>Nilfisk Holding</w:t>
      </w:r>
      <w:r w:rsidR="00F6113D" w:rsidRPr="003B74E0">
        <w:t xml:space="preserve"> A/S</w:t>
      </w:r>
      <w:r w:rsidR="00BB7DFD" w:rsidRPr="003B74E0">
        <w:t xml:space="preserve">, a company incorporated </w:t>
      </w:r>
      <w:r w:rsidR="00640353" w:rsidRPr="003B74E0">
        <w:t>under the laws of Denmark</w:t>
      </w:r>
      <w:r w:rsidR="00BB7DFD" w:rsidRPr="003B74E0">
        <w:t xml:space="preserve">, with company registration number (CVR) </w:t>
      </w:r>
      <w:r w:rsidR="00B16271" w:rsidRPr="003B74E0">
        <w:t>38998870</w:t>
      </w:r>
      <w:r w:rsidR="00BB7DFD" w:rsidRPr="003B74E0">
        <w:t xml:space="preserve"> and having its registered address at </w:t>
      </w:r>
      <w:proofErr w:type="spellStart"/>
      <w:r w:rsidR="00B16271" w:rsidRPr="003B74E0">
        <w:t>Marmorvej</w:t>
      </w:r>
      <w:proofErr w:type="spellEnd"/>
      <w:r w:rsidR="00B16271" w:rsidRPr="003B74E0">
        <w:t xml:space="preserve"> 8</w:t>
      </w:r>
      <w:r w:rsidR="00BB7DFD" w:rsidRPr="003B74E0">
        <w:t>,</w:t>
      </w:r>
      <w:r w:rsidR="00F6113D" w:rsidRPr="003B74E0">
        <w:t xml:space="preserve"> </w:t>
      </w:r>
      <w:r w:rsidR="00515CB3" w:rsidRPr="003B74E0">
        <w:t>2100 København Ø</w:t>
      </w:r>
      <w:r w:rsidR="00F6113D" w:rsidRPr="003B74E0">
        <w:t>,</w:t>
      </w:r>
      <w:r w:rsidR="00BB7DFD" w:rsidRPr="003B74E0">
        <w:t xml:space="preserve"> Denmark (</w:t>
      </w:r>
      <w:r w:rsidR="006E6CF2" w:rsidRPr="003B74E0">
        <w:rPr>
          <w:b/>
          <w:bCs/>
        </w:rPr>
        <w:t xml:space="preserve">Nilfisk </w:t>
      </w:r>
      <w:r w:rsidR="00BB7DFD" w:rsidRPr="003B74E0">
        <w:t xml:space="preserve">or the </w:t>
      </w:r>
      <w:r w:rsidR="00BB7DFD" w:rsidRPr="003B74E0">
        <w:rPr>
          <w:b/>
        </w:rPr>
        <w:t>Company</w:t>
      </w:r>
      <w:r w:rsidR="00BB7DFD" w:rsidRPr="003B74E0">
        <w:t xml:space="preserve"> and, together with its consolidated, direct or indirect, subsidiaries, the</w:t>
      </w:r>
      <w:r w:rsidR="00BB7DFD" w:rsidRPr="003B74E0">
        <w:rPr>
          <w:b/>
          <w:bCs/>
        </w:rPr>
        <w:t xml:space="preserve"> </w:t>
      </w:r>
      <w:r w:rsidR="00BB7DFD" w:rsidRPr="003B74E0">
        <w:rPr>
          <w:b/>
        </w:rPr>
        <w:t>Group</w:t>
      </w:r>
      <w:r w:rsidR="00BB7DFD" w:rsidRPr="003B74E0">
        <w:t xml:space="preserve">), excluding any Shares owned by </w:t>
      </w:r>
      <w:r w:rsidR="000A0B9F" w:rsidRPr="00E55F7D">
        <w:t>the Offeror</w:t>
      </w:r>
      <w:r w:rsidR="00F6113D" w:rsidRPr="00E55F7D">
        <w:t>, if</w:t>
      </w:r>
      <w:r w:rsidR="00F6113D" w:rsidRPr="003B74E0">
        <w:t xml:space="preserve"> any,</w:t>
      </w:r>
      <w:r w:rsidR="00BB7DFD" w:rsidRPr="003B74E0">
        <w:t xml:space="preserve"> or by </w:t>
      </w:r>
      <w:r w:rsidR="008B39E5" w:rsidRPr="003B74E0">
        <w:t>the Group</w:t>
      </w:r>
      <w:r w:rsidR="00BB7DFD" w:rsidRPr="003B74E0">
        <w:t xml:space="preserve"> (as treasury shares) (the </w:t>
      </w:r>
      <w:r w:rsidR="00BB7DFD" w:rsidRPr="003B74E0">
        <w:rPr>
          <w:b/>
          <w:bCs/>
        </w:rPr>
        <w:t>Treasury Shares</w:t>
      </w:r>
      <w:r w:rsidR="00BB7DFD" w:rsidRPr="003B74E0">
        <w:t>). The Shares are admitted to trading and official listing on Nasdaq Copenhagen A/S (</w:t>
      </w:r>
      <w:r w:rsidR="00BB7DFD" w:rsidRPr="003B74E0">
        <w:rPr>
          <w:b/>
          <w:bCs/>
        </w:rPr>
        <w:t>Nasdaq Copenhagen</w:t>
      </w:r>
      <w:r w:rsidR="00BB7DFD" w:rsidRPr="003B74E0">
        <w:t>).</w:t>
      </w:r>
    </w:p>
    <w:p w14:paraId="691D9ABA" w14:textId="77777777" w:rsidR="00FE2468" w:rsidRPr="003B74E0" w:rsidRDefault="00FE2468" w:rsidP="00A05058">
      <w:pPr>
        <w:pStyle w:val="DSBodyTextIndent1"/>
        <w:jc w:val="both"/>
      </w:pPr>
    </w:p>
    <w:p w14:paraId="528090F0" w14:textId="6F987B72" w:rsidR="00FE2468" w:rsidRPr="003B74E0" w:rsidRDefault="00FE2468" w:rsidP="00A05058">
      <w:pPr>
        <w:pStyle w:val="DSBodyTextIndent1"/>
        <w:jc w:val="both"/>
      </w:pPr>
      <w:r w:rsidRPr="003B74E0">
        <w:t xml:space="preserve">The Offer is made </w:t>
      </w:r>
      <w:r w:rsidRPr="003B74E0">
        <w:rPr>
          <w:i/>
        </w:rPr>
        <w:t>inter alia</w:t>
      </w:r>
      <w:r w:rsidRPr="003B74E0">
        <w:t xml:space="preserve"> pursuant to an agreement between the Offeror and the Company dated </w:t>
      </w:r>
      <w:r w:rsidR="00980256">
        <w:t>11 December 2025</w:t>
      </w:r>
      <w:r w:rsidRPr="003B74E0">
        <w:t xml:space="preserve"> (the </w:t>
      </w:r>
      <w:r w:rsidRPr="003B74E0">
        <w:rPr>
          <w:b/>
        </w:rPr>
        <w:t>Announcement Agreement</w:t>
      </w:r>
      <w:r w:rsidRPr="003B74E0">
        <w:t>).</w:t>
      </w:r>
    </w:p>
    <w:p w14:paraId="2912F40F" w14:textId="77777777" w:rsidR="00C409D1" w:rsidRPr="003B74E0" w:rsidRDefault="00C409D1" w:rsidP="00A05058">
      <w:pPr>
        <w:pStyle w:val="DSBodyTextIndent1"/>
        <w:ind w:left="0"/>
        <w:jc w:val="both"/>
      </w:pPr>
    </w:p>
    <w:p w14:paraId="032290BE" w14:textId="2B328A3A" w:rsidR="00C409D1" w:rsidRPr="003B74E0" w:rsidRDefault="00C409D1" w:rsidP="00A05058">
      <w:pPr>
        <w:pStyle w:val="DSBodyTextIndent1"/>
        <w:jc w:val="both"/>
      </w:pPr>
      <w:r w:rsidRPr="003B74E0">
        <w:t>The Offer is</w:t>
      </w:r>
      <w:r w:rsidR="00FE2468" w:rsidRPr="003B74E0">
        <w:t xml:space="preserve"> further</w:t>
      </w:r>
      <w:r w:rsidRPr="003B74E0">
        <w:t xml:space="preserve"> made in accordance with and subject to Danish law, </w:t>
      </w:r>
      <w:r w:rsidR="0019276C" w:rsidRPr="003B74E0">
        <w:t>including</w:t>
      </w:r>
      <w:r w:rsidRPr="003B74E0">
        <w:t xml:space="preserve"> the Danish Capital Markets Act (in Danish: </w:t>
      </w:r>
      <w:proofErr w:type="spellStart"/>
      <w:r w:rsidRPr="003B74E0">
        <w:rPr>
          <w:i/>
          <w:iCs/>
        </w:rPr>
        <w:t>Kapitalmarkedsloven</w:t>
      </w:r>
      <w:proofErr w:type="spellEnd"/>
      <w:r w:rsidRPr="003B74E0">
        <w:t xml:space="preserve">, Consolidated Act </w:t>
      </w:r>
      <w:r w:rsidR="001744F1" w:rsidRPr="003B74E0">
        <w:t>N</w:t>
      </w:r>
      <w:r w:rsidRPr="003B74E0">
        <w:t xml:space="preserve">o. </w:t>
      </w:r>
      <w:r w:rsidR="00C50897">
        <w:t>1493</w:t>
      </w:r>
      <w:r w:rsidR="00CE59C4" w:rsidRPr="003B74E0">
        <w:t xml:space="preserve"> of </w:t>
      </w:r>
      <w:r w:rsidR="00C50897">
        <w:t xml:space="preserve">18 November </w:t>
      </w:r>
      <w:r w:rsidR="00CE59C4" w:rsidRPr="003B74E0">
        <w:t>2025</w:t>
      </w:r>
      <w:r w:rsidRPr="003B74E0">
        <w:t xml:space="preserve">, as amended, the </w:t>
      </w:r>
      <w:r w:rsidRPr="003B74E0">
        <w:rPr>
          <w:b/>
        </w:rPr>
        <w:t>Capital Markets Act</w:t>
      </w:r>
      <w:r w:rsidRPr="003B74E0">
        <w:t xml:space="preserve">) and the Danish Executive Order on Takeover Offers (in Danish: </w:t>
      </w:r>
      <w:proofErr w:type="spellStart"/>
      <w:r w:rsidRPr="003B74E0">
        <w:rPr>
          <w:i/>
          <w:iCs/>
        </w:rPr>
        <w:t>Bekendtgørelse</w:t>
      </w:r>
      <w:proofErr w:type="spellEnd"/>
      <w:r w:rsidRPr="003B74E0">
        <w:rPr>
          <w:i/>
          <w:iCs/>
        </w:rPr>
        <w:t xml:space="preserve"> om </w:t>
      </w:r>
      <w:proofErr w:type="spellStart"/>
      <w:r w:rsidRPr="003B74E0">
        <w:rPr>
          <w:i/>
          <w:iCs/>
        </w:rPr>
        <w:t>overtagelsestilbud</w:t>
      </w:r>
      <w:proofErr w:type="spellEnd"/>
      <w:r w:rsidRPr="003B74E0">
        <w:t xml:space="preserve">, Executive Order </w:t>
      </w:r>
      <w:r w:rsidR="001744F1" w:rsidRPr="003B74E0">
        <w:t>N</w:t>
      </w:r>
      <w:r w:rsidRPr="003B74E0">
        <w:t xml:space="preserve">o. </w:t>
      </w:r>
      <w:r w:rsidR="00902FFA" w:rsidRPr="003B74E0">
        <w:t>614 of 2 June 2025</w:t>
      </w:r>
      <w:r w:rsidRPr="003B74E0">
        <w:t xml:space="preserve">, the </w:t>
      </w:r>
      <w:r w:rsidRPr="003B74E0">
        <w:rPr>
          <w:b/>
        </w:rPr>
        <w:t>Takeover Order</w:t>
      </w:r>
      <w:r w:rsidRPr="003B74E0">
        <w:t>)</w:t>
      </w:r>
      <w:r w:rsidR="00CA119E" w:rsidRPr="003B74E0">
        <w:t xml:space="preserve"> on terms and conditions set out in</w:t>
      </w:r>
      <w:r w:rsidRPr="003B74E0">
        <w:t xml:space="preserve"> </w:t>
      </w:r>
      <w:r w:rsidR="00300B8F" w:rsidRPr="003B74E0">
        <w:t xml:space="preserve">the </w:t>
      </w:r>
      <w:r w:rsidR="00860EA5" w:rsidRPr="003B74E0">
        <w:t>o</w:t>
      </w:r>
      <w:r w:rsidR="00CA119E" w:rsidRPr="003B74E0">
        <w:t xml:space="preserve">ffer </w:t>
      </w:r>
      <w:r w:rsidR="00860EA5" w:rsidRPr="003B74E0">
        <w:t>d</w:t>
      </w:r>
      <w:r w:rsidR="00CA119E" w:rsidRPr="003B74E0">
        <w:t xml:space="preserve">ocument </w:t>
      </w:r>
      <w:r w:rsidR="00860EA5" w:rsidRPr="003B74E0">
        <w:t>(</w:t>
      </w:r>
      <w:r w:rsidRPr="003B74E0">
        <w:t xml:space="preserve">the </w:t>
      </w:r>
      <w:r w:rsidRPr="003B74E0">
        <w:rPr>
          <w:b/>
        </w:rPr>
        <w:t>Offer Document</w:t>
      </w:r>
      <w:r w:rsidR="00860EA5" w:rsidRPr="003B74E0">
        <w:t>)</w:t>
      </w:r>
      <w:r w:rsidR="00DE240E" w:rsidRPr="003B74E0">
        <w:rPr>
          <w:vertAlign w:val="superscript"/>
        </w:rPr>
        <w:t xml:space="preserve"> </w:t>
      </w:r>
      <w:r w:rsidRPr="003B74E0">
        <w:t xml:space="preserve">approved by the Danish Financial Supervisory Authority (the </w:t>
      </w:r>
      <w:r w:rsidRPr="003B74E0">
        <w:rPr>
          <w:b/>
          <w:bCs/>
        </w:rPr>
        <w:t>Danish FSA</w:t>
      </w:r>
      <w:r w:rsidRPr="003B74E0">
        <w:t>)</w:t>
      </w:r>
      <w:r w:rsidR="00860EA5" w:rsidRPr="003B74E0">
        <w:t xml:space="preserve"> and published by the Offeror on </w:t>
      </w:r>
      <w:r w:rsidR="00C108B5">
        <w:t>7 January 2026</w:t>
      </w:r>
      <w:r w:rsidRPr="003B74E0">
        <w:t>.</w:t>
      </w:r>
      <w:r w:rsidR="00921D3C" w:rsidRPr="003B74E0">
        <w:t xml:space="preserve"> </w:t>
      </w:r>
    </w:p>
    <w:p w14:paraId="1F3EC2EA" w14:textId="77777777" w:rsidR="00C15483" w:rsidRPr="003B74E0" w:rsidRDefault="00C15483" w:rsidP="00A05058">
      <w:pPr>
        <w:pStyle w:val="DSBodyTextIndent1"/>
        <w:jc w:val="both"/>
      </w:pPr>
    </w:p>
    <w:p w14:paraId="18F3C77B" w14:textId="06BDFD96" w:rsidR="00444CEF" w:rsidRPr="003B74E0" w:rsidRDefault="00152126" w:rsidP="00A05058">
      <w:pPr>
        <w:pStyle w:val="DSBodyTextIndent1"/>
        <w:jc w:val="both"/>
      </w:pPr>
      <w:r w:rsidRPr="003B74E0">
        <w:t>In the Offer</w:t>
      </w:r>
      <w:r w:rsidR="00C409D1" w:rsidRPr="003B74E0">
        <w:t xml:space="preserve">, </w:t>
      </w:r>
      <w:r w:rsidRPr="003B74E0">
        <w:t xml:space="preserve">the Offeror </w:t>
      </w:r>
      <w:r w:rsidR="00C409D1" w:rsidRPr="003B74E0">
        <w:t xml:space="preserve">offers </w:t>
      </w:r>
      <w:r w:rsidR="003A7C39" w:rsidRPr="003B74E0">
        <w:t xml:space="preserve">the shareholders of the Company (the </w:t>
      </w:r>
      <w:r w:rsidR="003A7C39" w:rsidRPr="003B74E0">
        <w:rPr>
          <w:b/>
          <w:bCs/>
        </w:rPr>
        <w:t>Shareholders</w:t>
      </w:r>
      <w:r w:rsidR="003A7C39" w:rsidRPr="003B74E0">
        <w:t xml:space="preserve">) </w:t>
      </w:r>
      <w:r w:rsidR="00C409D1" w:rsidRPr="003B74E0">
        <w:t xml:space="preserve">a cash consideration of DKK </w:t>
      </w:r>
      <w:r w:rsidR="00060FC3">
        <w:t>140</w:t>
      </w:r>
      <w:r w:rsidR="00060FC3" w:rsidRPr="003B74E0">
        <w:t xml:space="preserve"> </w:t>
      </w:r>
      <w:r w:rsidR="00C409D1" w:rsidRPr="003B74E0">
        <w:t xml:space="preserve">per share of nominally DKK </w:t>
      </w:r>
      <w:r w:rsidR="00C876DD" w:rsidRPr="003B74E0">
        <w:t>20</w:t>
      </w:r>
      <w:r w:rsidR="00C409D1" w:rsidRPr="003B74E0">
        <w:t xml:space="preserve"> (the </w:t>
      </w:r>
      <w:r w:rsidR="00C409D1" w:rsidRPr="003B74E0">
        <w:rPr>
          <w:b/>
          <w:bCs/>
        </w:rPr>
        <w:t>Offer Price</w:t>
      </w:r>
      <w:r w:rsidR="00C409D1" w:rsidRPr="003B74E0">
        <w:t>)</w:t>
      </w:r>
      <w:r w:rsidR="00C409D1" w:rsidRPr="006A3934">
        <w:t xml:space="preserve">, subject to </w:t>
      </w:r>
      <w:bookmarkStart w:id="7" w:name="_Hlk215867165"/>
      <w:r w:rsidR="00C409D1" w:rsidRPr="006A3934">
        <w:t>any adjustment for dividends or other distributions declared or paid to the Shareholders prior to completion of the Offer as described in the Offer Document</w:t>
      </w:r>
      <w:bookmarkEnd w:id="7"/>
      <w:r w:rsidR="00C409D1" w:rsidRPr="006A3934">
        <w:t>.</w:t>
      </w:r>
      <w:r w:rsidR="00444CEF" w:rsidRPr="003B74E0">
        <w:t xml:space="preserve"> </w:t>
      </w:r>
    </w:p>
    <w:p w14:paraId="7DD70A12" w14:textId="77777777" w:rsidR="00C409D1" w:rsidRPr="003B74E0" w:rsidRDefault="00C409D1" w:rsidP="00A05058">
      <w:pPr>
        <w:pStyle w:val="DSBodyTextIndent1"/>
        <w:jc w:val="both"/>
      </w:pPr>
      <w:bookmarkStart w:id="8" w:name="_9kMHG5YVt4666GPZQ6uzAsffrvfjzr6M6y7BA"/>
    </w:p>
    <w:bookmarkEnd w:id="8"/>
    <w:p w14:paraId="5024F39F" w14:textId="53E02946" w:rsidR="00143675" w:rsidRPr="003B74E0" w:rsidRDefault="002C6357" w:rsidP="00A05058">
      <w:pPr>
        <w:pStyle w:val="NormalIndent"/>
        <w:jc w:val="both"/>
        <w:rPr>
          <w:bCs/>
        </w:rPr>
      </w:pPr>
      <w:proofErr w:type="spellStart"/>
      <w:r w:rsidRPr="003B74E0">
        <w:t>KIRKBI</w:t>
      </w:r>
      <w:proofErr w:type="spellEnd"/>
      <w:r w:rsidRPr="003B74E0">
        <w:t xml:space="preserve"> </w:t>
      </w:r>
      <w:r w:rsidR="00847218" w:rsidRPr="003B74E0">
        <w:t xml:space="preserve">Invest </w:t>
      </w:r>
      <w:r w:rsidRPr="003B74E0">
        <w:t>A/S</w:t>
      </w:r>
      <w:r w:rsidR="00847218" w:rsidRPr="003B74E0">
        <w:t xml:space="preserve">, </w:t>
      </w:r>
      <w:r w:rsidR="00847218" w:rsidRPr="006A3934">
        <w:t>Ferd AS</w:t>
      </w:r>
      <w:r w:rsidR="00494B07">
        <w:t xml:space="preserve">, </w:t>
      </w:r>
      <w:r w:rsidR="00432A8A">
        <w:t xml:space="preserve">and </w:t>
      </w:r>
      <w:proofErr w:type="spellStart"/>
      <w:r w:rsidR="00847218" w:rsidRPr="006A3934">
        <w:t>PrimeStone</w:t>
      </w:r>
      <w:proofErr w:type="spellEnd"/>
      <w:r w:rsidR="00847218" w:rsidRPr="006A3934">
        <w:t xml:space="preserve"> Capital LLP</w:t>
      </w:r>
      <w:r w:rsidR="000F582E">
        <w:t xml:space="preserve"> (</w:t>
      </w:r>
      <w:proofErr w:type="spellStart"/>
      <w:r w:rsidR="000F582E" w:rsidRPr="00D92B75">
        <w:t>Prime</w:t>
      </w:r>
      <w:r w:rsidR="000F582E">
        <w:t>S</w:t>
      </w:r>
      <w:r w:rsidR="000F582E" w:rsidRPr="00D92B75">
        <w:t>tone</w:t>
      </w:r>
      <w:proofErr w:type="spellEnd"/>
      <w:r w:rsidR="000F582E" w:rsidRPr="00D92B75">
        <w:t xml:space="preserve"> Capital Irish </w:t>
      </w:r>
      <w:proofErr w:type="spellStart"/>
      <w:r w:rsidR="000F582E" w:rsidRPr="00D92B75">
        <w:t>Hold</w:t>
      </w:r>
      <w:r w:rsidR="000F582E">
        <w:t>C</w:t>
      </w:r>
      <w:r w:rsidR="000F582E" w:rsidRPr="00D92B75">
        <w:t>o</w:t>
      </w:r>
      <w:proofErr w:type="spellEnd"/>
      <w:r w:rsidR="000F582E" w:rsidRPr="00D92B75">
        <w:t xml:space="preserve"> Designated Activity Company</w:t>
      </w:r>
      <w:r w:rsidR="000F582E">
        <w:t>)</w:t>
      </w:r>
      <w:r w:rsidRPr="006A3934">
        <w:t xml:space="preserve"> </w:t>
      </w:r>
      <w:r w:rsidR="00452E43" w:rsidRPr="006A3934">
        <w:t xml:space="preserve">(collectively, the </w:t>
      </w:r>
      <w:r w:rsidR="00452E43" w:rsidRPr="006A3934">
        <w:rPr>
          <w:b/>
          <w:bCs/>
        </w:rPr>
        <w:t>Major Shareholders</w:t>
      </w:r>
      <w:r w:rsidR="00452E43" w:rsidRPr="006A3934">
        <w:t xml:space="preserve">) </w:t>
      </w:r>
      <w:r w:rsidR="00FF28AC" w:rsidRPr="006A3934">
        <w:t>together with</w:t>
      </w:r>
      <w:r w:rsidR="00452E43" w:rsidRPr="006A3934">
        <w:t xml:space="preserve"> </w:t>
      </w:r>
      <w:bookmarkStart w:id="9" w:name="OpenAt"/>
      <w:r w:rsidR="00452E43" w:rsidRPr="006A3934">
        <w:t xml:space="preserve">those </w:t>
      </w:r>
      <w:r w:rsidR="00D60D5A" w:rsidRPr="006A3934">
        <w:t>member</w:t>
      </w:r>
      <w:bookmarkEnd w:id="9"/>
      <w:r w:rsidR="00D60D5A" w:rsidRPr="006A3934">
        <w:t xml:space="preserve">s of the </w:t>
      </w:r>
      <w:r w:rsidR="00850C2A" w:rsidRPr="006A3934">
        <w:t xml:space="preserve">Company's </w:t>
      </w:r>
      <w:r w:rsidR="00A375A9" w:rsidRPr="006A3934">
        <w:t xml:space="preserve">board of directors (the </w:t>
      </w:r>
      <w:r w:rsidR="00DC4944" w:rsidRPr="006A3934">
        <w:rPr>
          <w:b/>
          <w:bCs/>
        </w:rPr>
        <w:t>Board of Directors</w:t>
      </w:r>
      <w:r w:rsidR="00A375A9" w:rsidRPr="006A3934">
        <w:t>)</w:t>
      </w:r>
      <w:r w:rsidR="00850C2A" w:rsidRPr="006A3934">
        <w:t xml:space="preserve"> and </w:t>
      </w:r>
      <w:r w:rsidR="00A375A9" w:rsidRPr="006A3934">
        <w:t>the exec</w:t>
      </w:r>
      <w:r w:rsidR="005775A4" w:rsidRPr="006A3934">
        <w:t>u</w:t>
      </w:r>
      <w:r w:rsidR="00A375A9" w:rsidRPr="006A3934">
        <w:t xml:space="preserve">tive management (the </w:t>
      </w:r>
      <w:r w:rsidR="00C665B3" w:rsidRPr="006A3934">
        <w:rPr>
          <w:b/>
          <w:bCs/>
        </w:rPr>
        <w:t>E</w:t>
      </w:r>
      <w:r w:rsidR="00850C2A" w:rsidRPr="006A3934">
        <w:rPr>
          <w:b/>
          <w:bCs/>
        </w:rPr>
        <w:t xml:space="preserve">xecutive </w:t>
      </w:r>
      <w:r w:rsidR="00C665B3" w:rsidRPr="006A3934">
        <w:rPr>
          <w:b/>
          <w:bCs/>
        </w:rPr>
        <w:t>M</w:t>
      </w:r>
      <w:r w:rsidR="00850C2A" w:rsidRPr="006A3934">
        <w:rPr>
          <w:b/>
          <w:bCs/>
        </w:rPr>
        <w:t>anagement</w:t>
      </w:r>
      <w:r w:rsidR="00A375A9" w:rsidRPr="006A3934">
        <w:t>)</w:t>
      </w:r>
      <w:r w:rsidR="00850C2A" w:rsidRPr="006A3934">
        <w:t xml:space="preserve"> </w:t>
      </w:r>
      <w:r w:rsidR="00452E43" w:rsidRPr="006A3934">
        <w:t xml:space="preserve">who hold Shares </w:t>
      </w:r>
      <w:r w:rsidR="00850C2A" w:rsidRPr="006A3934">
        <w:t>have</w:t>
      </w:r>
      <w:r w:rsidR="00FF3C04" w:rsidRPr="006A3934">
        <w:t xml:space="preserve"> signed irrevocable undertaking</w:t>
      </w:r>
      <w:r w:rsidR="0058450F" w:rsidRPr="006A3934">
        <w:t>s</w:t>
      </w:r>
      <w:r w:rsidR="00CB2613" w:rsidRPr="006A3934">
        <w:t xml:space="preserve"> (</w:t>
      </w:r>
      <w:r w:rsidR="00F6113D" w:rsidRPr="006A3934">
        <w:t>jointly,</w:t>
      </w:r>
      <w:r w:rsidR="00CB2613" w:rsidRPr="006A3934">
        <w:t xml:space="preserve"> the </w:t>
      </w:r>
      <w:r w:rsidR="00CB2613" w:rsidRPr="006A3934">
        <w:rPr>
          <w:b/>
        </w:rPr>
        <w:t>Irrevocable Undertakings</w:t>
      </w:r>
      <w:r w:rsidR="00CB2613" w:rsidRPr="006A3934">
        <w:t>)</w:t>
      </w:r>
      <w:r w:rsidR="00CF2743" w:rsidRPr="006A3934">
        <w:t xml:space="preserve">, pursuant to which, among others, </w:t>
      </w:r>
      <w:r w:rsidR="0001148C" w:rsidRPr="006A3934">
        <w:t xml:space="preserve">the Major Shareholders and </w:t>
      </w:r>
      <w:r w:rsidR="00CF2743" w:rsidRPr="006A3934">
        <w:t>th</w:t>
      </w:r>
      <w:r w:rsidR="0001148C" w:rsidRPr="006A3934">
        <w:t>os</w:t>
      </w:r>
      <w:r w:rsidR="00CF2743" w:rsidRPr="006A3934">
        <w:t xml:space="preserve">e members of the </w:t>
      </w:r>
      <w:r w:rsidR="00DC4944" w:rsidRPr="006A3934">
        <w:t>Board of Directors</w:t>
      </w:r>
      <w:r w:rsidR="00CF2743" w:rsidRPr="006A3934">
        <w:t xml:space="preserve"> and the Executive Management </w:t>
      </w:r>
      <w:r w:rsidR="0001148C" w:rsidRPr="006A3934">
        <w:t xml:space="preserve">who hold Shares </w:t>
      </w:r>
      <w:r w:rsidR="00CB2613" w:rsidRPr="006A3934">
        <w:t>have agreed</w:t>
      </w:r>
      <w:r w:rsidR="000C6F72" w:rsidRPr="006A3934">
        <w:t xml:space="preserve"> </w:t>
      </w:r>
      <w:r w:rsidR="00143675" w:rsidRPr="006A3934">
        <w:rPr>
          <w:bCs/>
        </w:rPr>
        <w:t>to tender all of their Shares</w:t>
      </w:r>
      <w:r w:rsidR="005E361A" w:rsidRPr="006A3934">
        <w:rPr>
          <w:bCs/>
        </w:rPr>
        <w:t xml:space="preserve"> into the Offer</w:t>
      </w:r>
      <w:r w:rsidR="000C6F72" w:rsidRPr="006A3934">
        <w:rPr>
          <w:bCs/>
        </w:rPr>
        <w:t xml:space="preserve"> </w:t>
      </w:r>
      <w:r w:rsidR="000C6F72" w:rsidRPr="006A3934">
        <w:t xml:space="preserve">subject to certain conditions, including that the Irrevocable Undertakings shall lapse if, among others, </w:t>
      </w:r>
      <w:r w:rsidR="000C6F72" w:rsidRPr="0026368D">
        <w:t>if a third party announces a</w:t>
      </w:r>
      <w:r w:rsidR="00BA0383">
        <w:t xml:space="preserve">n alternative transaction in which the total consideration </w:t>
      </w:r>
      <w:r w:rsidR="009755F4">
        <w:t xml:space="preserve">offered to </w:t>
      </w:r>
      <w:r w:rsidR="00E752BE" w:rsidRPr="00E752BE">
        <w:t>Shareholders exceeds the Offer Price (as adjusted for any dividends or other distributions declared or paid to the Shareholders prior to completion of the Offer as described in the Offer Documen</w:t>
      </w:r>
      <w:r w:rsidR="003A7F0F">
        <w:t>t</w:t>
      </w:r>
      <w:r w:rsidR="00E752BE" w:rsidRPr="00E752BE">
        <w:t xml:space="preserve">) by at least ten (10) per cent, provided that the Offeror does not match or exceed such superior alternative transaction within </w:t>
      </w:r>
      <w:r w:rsidR="00494B07">
        <w:t>ten (</w:t>
      </w:r>
      <w:r w:rsidR="00F1703D">
        <w:t>10</w:t>
      </w:r>
      <w:r w:rsidR="00494B07">
        <w:t>)</w:t>
      </w:r>
      <w:r w:rsidR="00E752BE" w:rsidRPr="00E752BE">
        <w:t xml:space="preserve"> business days of the announcement thereof.</w:t>
      </w:r>
    </w:p>
    <w:p w14:paraId="000DCCA1" w14:textId="77777777" w:rsidR="00C409D1" w:rsidRPr="003B74E0" w:rsidRDefault="00C409D1" w:rsidP="00A05058">
      <w:pPr>
        <w:pStyle w:val="DSBodyTextIndent1"/>
        <w:ind w:left="0"/>
        <w:jc w:val="both"/>
      </w:pPr>
    </w:p>
    <w:p w14:paraId="4280BB33" w14:textId="3A5B1802" w:rsidR="0012148F" w:rsidRPr="003B74E0" w:rsidRDefault="0012148F" w:rsidP="00C57394">
      <w:pPr>
        <w:pStyle w:val="DSBodyTextIndent1"/>
        <w:jc w:val="both"/>
      </w:pPr>
      <w:r w:rsidRPr="003B74E0">
        <w:t>The Offer can be accepted in</w:t>
      </w:r>
      <w:bookmarkStart w:id="10" w:name="_9kMIH5YVt4666FHSLz25BvqAgVz1EDx5EAG"/>
      <w:bookmarkStart w:id="11" w:name="_9kMIH5YVt4666GNXLz25BvqAgVz1EDx5EAG"/>
      <w:r w:rsidRPr="003B74E0">
        <w:t xml:space="preserve"> the period from and </w:t>
      </w:r>
      <w:bookmarkEnd w:id="10"/>
      <w:bookmarkEnd w:id="11"/>
      <w:r w:rsidRPr="003B74E0">
        <w:t xml:space="preserve">including </w:t>
      </w:r>
      <w:r w:rsidR="007B7A1E">
        <w:t>7 January 2026</w:t>
      </w:r>
      <w:r w:rsidRPr="003B74E0">
        <w:t xml:space="preserve"> to and including </w:t>
      </w:r>
      <w:r w:rsidR="00DA0B34">
        <w:t>18 February 2026</w:t>
      </w:r>
      <w:r w:rsidRPr="003B74E0">
        <w:t xml:space="preserve"> </w:t>
      </w:r>
      <w:r w:rsidR="004439B5">
        <w:t>at</w:t>
      </w:r>
      <w:r w:rsidRPr="003B74E0">
        <w:t xml:space="preserve"> </w:t>
      </w:r>
      <w:r w:rsidR="00512977" w:rsidRPr="006A3934">
        <w:t>23:59</w:t>
      </w:r>
      <w:r w:rsidRPr="006A3934">
        <w:t xml:space="preserve"> </w:t>
      </w:r>
      <w:r w:rsidR="002C2EA7" w:rsidRPr="006A3934">
        <w:t>(CET)</w:t>
      </w:r>
      <w:r w:rsidR="002C2EA7" w:rsidRPr="003B74E0">
        <w:t xml:space="preserve"> </w:t>
      </w:r>
      <w:r w:rsidRPr="003B74E0">
        <w:t xml:space="preserve">(the </w:t>
      </w:r>
      <w:r w:rsidRPr="003B74E0">
        <w:rPr>
          <w:b/>
          <w:bCs/>
        </w:rPr>
        <w:t>Offer Period</w:t>
      </w:r>
      <w:r w:rsidRPr="003B74E0">
        <w:t>) subject t</w:t>
      </w:r>
      <w:bookmarkStart w:id="12" w:name="_9kMKJ5YVt39A79IgKiiv"/>
      <w:bookmarkStart w:id="13" w:name="_9kMKJ5YVt3AB7AAXKiiv"/>
      <w:r w:rsidRPr="003B74E0">
        <w:t>o any</w:t>
      </w:r>
      <w:bookmarkEnd w:id="12"/>
      <w:bookmarkEnd w:id="13"/>
      <w:r w:rsidRPr="003B74E0">
        <w:t xml:space="preserve"> extensions as decided in accordance with the Offer Do</w:t>
      </w:r>
      <w:bookmarkStart w:id="14" w:name="_9kMLK5YVt39A79IgKiiv"/>
      <w:bookmarkStart w:id="15" w:name="_9kMLK5YVt3AB7AAXKiiv"/>
      <w:r w:rsidRPr="003B74E0">
        <w:t>cumen</w:t>
      </w:r>
      <w:bookmarkEnd w:id="14"/>
      <w:bookmarkEnd w:id="15"/>
      <w:r w:rsidRPr="003B74E0">
        <w:t xml:space="preserve">t. </w:t>
      </w:r>
    </w:p>
    <w:p w14:paraId="531C417F" w14:textId="77777777" w:rsidR="00C409D1" w:rsidRPr="003B74E0" w:rsidRDefault="00C409D1" w:rsidP="00A05058">
      <w:pPr>
        <w:pStyle w:val="DSBodyTextIndent1"/>
        <w:jc w:val="both"/>
        <w:rPr>
          <w:rFonts w:asciiTheme="minorHAnsi" w:hAnsiTheme="minorHAnsi" w:cstheme="minorHAnsi"/>
        </w:rPr>
      </w:pPr>
    </w:p>
    <w:p w14:paraId="49E96E37" w14:textId="028BF012" w:rsidR="00F82D08" w:rsidRPr="003B74E0" w:rsidRDefault="00F82D08" w:rsidP="00F82D08">
      <w:pPr>
        <w:pStyle w:val="DSBodyTextIndent1"/>
        <w:jc w:val="both"/>
      </w:pPr>
      <w:r w:rsidRPr="003B74E0">
        <w:lastRenderedPageBreak/>
        <w:t xml:space="preserve">The Offeror will announce the preliminary result of the Offer no later than </w:t>
      </w:r>
      <w:r w:rsidR="00D022A2" w:rsidRPr="003B74E0">
        <w:t>18</w:t>
      </w:r>
      <w:r w:rsidRPr="003B74E0">
        <w:t xml:space="preserve"> hours after expiry of the Offer Period. Such announcement will include the preliminary result of the Offer and a statement of whether the Offer will be extended, withdrawn or Completed</w:t>
      </w:r>
      <w:r w:rsidR="006211B5" w:rsidRPr="003B74E0">
        <w:t xml:space="preserve"> </w:t>
      </w:r>
      <w:r w:rsidR="006211B5" w:rsidRPr="003B74E0">
        <w:rPr>
          <w:rFonts w:asciiTheme="minorHAnsi" w:hAnsiTheme="minorHAnsi" w:cstheme="minorHAnsi"/>
        </w:rPr>
        <w:t>(as defined below)</w:t>
      </w:r>
      <w:r w:rsidRPr="003B74E0">
        <w:t xml:space="preserve">. If the Offeror in its announcement of the preliminary result of the Offer has announced that the Offer will be Completed, the Offeror will announce the final result of the Offer within </w:t>
      </w:r>
      <w:r w:rsidR="00D022A2" w:rsidRPr="003B74E0">
        <w:t>three (3)</w:t>
      </w:r>
      <w:r w:rsidRPr="003B74E0">
        <w:t xml:space="preserve"> business days after </w:t>
      </w:r>
      <w:r w:rsidR="00A10400">
        <w:t>the end of the Offer Period</w:t>
      </w:r>
      <w:r w:rsidR="00FE53B5">
        <w:t xml:space="preserve"> </w:t>
      </w:r>
      <w:r w:rsidR="00C14D9E">
        <w:t xml:space="preserve">(the </w:t>
      </w:r>
      <w:r w:rsidR="00C14D9E">
        <w:rPr>
          <w:b/>
          <w:bCs/>
        </w:rPr>
        <w:t>Final Results Announcement</w:t>
      </w:r>
      <w:r w:rsidR="00C14D9E" w:rsidRPr="00C14D9E">
        <w:t>)</w:t>
      </w:r>
      <w:r w:rsidRPr="00C14D9E">
        <w:t>.</w:t>
      </w:r>
    </w:p>
    <w:p w14:paraId="5B5BA85E" w14:textId="77777777" w:rsidR="00F82D08" w:rsidRPr="003B74E0" w:rsidRDefault="00F82D08" w:rsidP="00F82D08">
      <w:pPr>
        <w:pStyle w:val="DSBodyTextIndent1"/>
        <w:jc w:val="both"/>
      </w:pPr>
    </w:p>
    <w:p w14:paraId="14B59357" w14:textId="23EAC48C" w:rsidR="008B39E5" w:rsidRPr="003B74E0" w:rsidRDefault="000A4360" w:rsidP="00A05058">
      <w:pPr>
        <w:pStyle w:val="NormalIndent"/>
        <w:jc w:val="both"/>
        <w:rPr>
          <w:rFonts w:asciiTheme="minorHAnsi" w:hAnsiTheme="minorHAnsi" w:cstheme="minorHAnsi"/>
        </w:rPr>
      </w:pPr>
      <w:r w:rsidRPr="003B74E0">
        <w:t>Completion of the Offer (</w:t>
      </w:r>
      <w:r w:rsidRPr="003B74E0">
        <w:rPr>
          <w:b/>
          <w:bCs/>
        </w:rPr>
        <w:t xml:space="preserve">Completion, </w:t>
      </w:r>
      <w:r w:rsidRPr="003B74E0">
        <w:t xml:space="preserve">as defined in the Offer Document) </w:t>
      </w:r>
      <w:r w:rsidR="002D5A55" w:rsidRPr="003B74E0">
        <w:rPr>
          <w:rFonts w:asciiTheme="minorHAnsi" w:hAnsiTheme="minorHAnsi" w:cstheme="minorHAnsi"/>
        </w:rPr>
        <w:t xml:space="preserve">is subject to certain conditions precedent (the </w:t>
      </w:r>
      <w:r w:rsidR="002D5A55" w:rsidRPr="003B74E0">
        <w:rPr>
          <w:rFonts w:asciiTheme="minorHAnsi" w:hAnsiTheme="minorHAnsi" w:cstheme="minorHAnsi"/>
          <w:b/>
        </w:rPr>
        <w:t>Conditions</w:t>
      </w:r>
      <w:r w:rsidR="002D5A55" w:rsidRPr="003B74E0">
        <w:rPr>
          <w:rFonts w:asciiTheme="minorHAnsi" w:hAnsiTheme="minorHAnsi" w:cstheme="minorHAnsi"/>
        </w:rPr>
        <w:t>) being satisfied</w:t>
      </w:r>
      <w:r w:rsidR="00F6113D" w:rsidRPr="003B74E0">
        <w:rPr>
          <w:rFonts w:asciiTheme="minorHAnsi" w:hAnsiTheme="minorHAnsi" w:cstheme="minorHAnsi"/>
        </w:rPr>
        <w:t xml:space="preserve">, or, to the extent permitted by the Announcement Agreement, waived or amended in writing by the Offeror </w:t>
      </w:r>
      <w:r w:rsidR="002D5A55" w:rsidRPr="003B74E0">
        <w:rPr>
          <w:rFonts w:asciiTheme="minorHAnsi" w:hAnsiTheme="minorHAnsi" w:cstheme="minorHAnsi"/>
        </w:rPr>
        <w:t xml:space="preserve">prior to </w:t>
      </w:r>
      <w:r w:rsidR="00E10F6E">
        <w:rPr>
          <w:rFonts w:asciiTheme="minorHAnsi" w:hAnsiTheme="minorHAnsi" w:cstheme="minorHAnsi"/>
        </w:rPr>
        <w:t>the Offeror's</w:t>
      </w:r>
      <w:r w:rsidR="00E10F6E" w:rsidRPr="00E10F6E">
        <w:rPr>
          <w:rFonts w:asciiTheme="minorHAnsi" w:hAnsiTheme="minorHAnsi" w:cstheme="minorHAnsi"/>
        </w:rPr>
        <w:t xml:space="preserve"> announcement of the final result of </w:t>
      </w:r>
      <w:r w:rsidR="005C425E" w:rsidRPr="00E10F6E">
        <w:rPr>
          <w:rFonts w:asciiTheme="minorHAnsi" w:hAnsiTheme="minorHAnsi" w:cstheme="minorHAnsi"/>
        </w:rPr>
        <w:t xml:space="preserve">the Offer </w:t>
      </w:r>
      <w:r w:rsidR="00E10F6E" w:rsidRPr="00E10F6E">
        <w:rPr>
          <w:rFonts w:asciiTheme="minorHAnsi" w:hAnsiTheme="minorHAnsi" w:cstheme="minorHAnsi"/>
        </w:rPr>
        <w:t>in accordance with Section 21(3) of the Takeover Order</w:t>
      </w:r>
      <w:r w:rsidR="00F6113D" w:rsidRPr="003B74E0">
        <w:rPr>
          <w:rFonts w:asciiTheme="minorHAnsi" w:hAnsiTheme="minorHAnsi" w:cstheme="minorHAnsi"/>
        </w:rPr>
        <w:t xml:space="preserve">. </w:t>
      </w:r>
    </w:p>
    <w:p w14:paraId="426C8CDA" w14:textId="77777777" w:rsidR="008B39E5" w:rsidRPr="003B74E0" w:rsidRDefault="008B39E5" w:rsidP="00A05058">
      <w:pPr>
        <w:pStyle w:val="NormalIndent"/>
        <w:jc w:val="both"/>
        <w:rPr>
          <w:rFonts w:asciiTheme="minorHAnsi" w:hAnsiTheme="minorHAnsi" w:cstheme="minorHAnsi"/>
        </w:rPr>
      </w:pPr>
    </w:p>
    <w:p w14:paraId="48DD3F9F" w14:textId="1D830605" w:rsidR="00517991" w:rsidRPr="003B74E0" w:rsidRDefault="002D5A55" w:rsidP="003C572D">
      <w:pPr>
        <w:pStyle w:val="NormalIndent"/>
        <w:jc w:val="both"/>
      </w:pPr>
      <w:r w:rsidRPr="003C572D">
        <w:t xml:space="preserve">The Conditions are set out in section </w:t>
      </w:r>
      <w:r w:rsidR="00BC3973" w:rsidRPr="003C572D">
        <w:t>4.9</w:t>
      </w:r>
      <w:r w:rsidR="000E7B7D" w:rsidRPr="003C572D">
        <w:t xml:space="preserve"> </w:t>
      </w:r>
      <w:r w:rsidRPr="003C572D">
        <w:t>of the Offer Document and include</w:t>
      </w:r>
      <w:r w:rsidR="00AC4EA2" w:rsidRPr="003C572D">
        <w:t xml:space="preserve"> </w:t>
      </w:r>
      <w:r w:rsidR="001978A4" w:rsidRPr="003B74E0">
        <w:t>(</w:t>
      </w:r>
      <w:r w:rsidR="00AC4EA2" w:rsidRPr="003B74E0">
        <w:t>a</w:t>
      </w:r>
      <w:r w:rsidR="001978A4" w:rsidRPr="003B74E0">
        <w:t xml:space="preserve">) </w:t>
      </w:r>
      <w:r w:rsidR="00AC4EA2" w:rsidRPr="003B74E0">
        <w:t>t</w:t>
      </w:r>
      <w:r w:rsidR="001978A4" w:rsidRPr="003B74E0">
        <w:t>he Offeror owning</w:t>
      </w:r>
      <w:r w:rsidR="00F1703D">
        <w:t>,</w:t>
      </w:r>
      <w:r w:rsidR="001978A4" w:rsidRPr="003B74E0">
        <w:t xml:space="preserve"> or having received valid acceptances from Shareholders (such valid acceptances not subsequently validly withdrawn) with respect to</w:t>
      </w:r>
      <w:r w:rsidR="00F1703D">
        <w:t>,</w:t>
      </w:r>
      <w:r w:rsidR="001978A4" w:rsidRPr="003B74E0">
        <w:t xml:space="preserve"> Shares representing </w:t>
      </w:r>
      <w:r w:rsidR="008A1A24">
        <w:t>at least</w:t>
      </w:r>
      <w:r w:rsidR="001978A4" w:rsidRPr="003B74E0">
        <w:t xml:space="preserve"> </w:t>
      </w:r>
      <w:r w:rsidR="00A00253">
        <w:t xml:space="preserve">ninety </w:t>
      </w:r>
      <w:r w:rsidR="00137749">
        <w:t>(90)</w:t>
      </w:r>
      <w:r w:rsidR="00A00253" w:rsidRPr="003B74E0">
        <w:t xml:space="preserve"> </w:t>
      </w:r>
      <w:r w:rsidR="001978A4" w:rsidRPr="003B74E0">
        <w:t>per cent of all Shares</w:t>
      </w:r>
      <w:r w:rsidR="00137749">
        <w:t xml:space="preserve"> plus one (1) Share</w:t>
      </w:r>
      <w:r w:rsidR="001978A4" w:rsidRPr="003B74E0">
        <w:t xml:space="preserve"> (excluding Treasury Shares)</w:t>
      </w:r>
      <w:r w:rsidR="00C25AA7" w:rsidRPr="003B74E0">
        <w:t>,</w:t>
      </w:r>
      <w:r w:rsidR="00582FB2" w:rsidRPr="003B74E0">
        <w:t xml:space="preserve"> </w:t>
      </w:r>
      <w:r w:rsidR="001978A4" w:rsidRPr="003B74E0">
        <w:t>(</w:t>
      </w:r>
      <w:r w:rsidR="00C25AA7" w:rsidRPr="003B74E0">
        <w:t>b</w:t>
      </w:r>
      <w:r w:rsidR="001978A4" w:rsidRPr="003B74E0">
        <w:t xml:space="preserve">) </w:t>
      </w:r>
      <w:r w:rsidR="00C25AA7" w:rsidRPr="003B74E0">
        <w:t>a</w:t>
      </w:r>
      <w:r w:rsidR="001978A4" w:rsidRPr="003B74E0">
        <w:t xml:space="preserve">ll notifications to and approvals, clearances, waivers and notices from the </w:t>
      </w:r>
      <w:r w:rsidR="00741B28" w:rsidRPr="00741B28">
        <w:t xml:space="preserve">U.S. Federal Trade Commission </w:t>
      </w:r>
      <w:r w:rsidR="00494B07">
        <w:t>and</w:t>
      </w:r>
      <w:r w:rsidR="00741B28" w:rsidRPr="00741B28">
        <w:t>/or U.S. Department of Justice, the European Commission, the Australian Competition and Consumer Commission</w:t>
      </w:r>
      <w:r w:rsidR="005A772D">
        <w:t>,</w:t>
      </w:r>
      <w:r w:rsidR="00741B28" w:rsidRPr="00741B28">
        <w:t xml:space="preserve"> and the Turkish Competition Authority </w:t>
      </w:r>
      <w:r w:rsidR="005A772D">
        <w:t>as well as</w:t>
      </w:r>
      <w:r w:rsidR="002835AC">
        <w:t xml:space="preserve"> the</w:t>
      </w:r>
      <w:r w:rsidR="00494B07">
        <w:t xml:space="preserve"> European Commission with respect to </w:t>
      </w:r>
      <w:r w:rsidR="002835AC">
        <w:t xml:space="preserve">foreign subsidies regulation </w:t>
      </w:r>
      <w:r w:rsidR="001978A4" w:rsidRPr="003B74E0">
        <w:t>hav</w:t>
      </w:r>
      <w:r w:rsidR="00C25AA7" w:rsidRPr="003B74E0">
        <w:t>ing</w:t>
      </w:r>
      <w:r w:rsidR="001978A4" w:rsidRPr="003B74E0">
        <w:t xml:space="preserve"> been made or granted, as relevant, and/or any applicable waiting period in respect of such notifications </w:t>
      </w:r>
      <w:r w:rsidR="00C25AA7" w:rsidRPr="003B74E0">
        <w:t>having</w:t>
      </w:r>
      <w:r w:rsidR="001978A4" w:rsidRPr="003B74E0">
        <w:t xml:space="preserve"> expired or been terminated</w:t>
      </w:r>
      <w:r w:rsidR="00C25AA7" w:rsidRPr="003B74E0">
        <w:t>,</w:t>
      </w:r>
      <w:r w:rsidR="00582FB2" w:rsidRPr="003B74E0">
        <w:t xml:space="preserve"> </w:t>
      </w:r>
      <w:r w:rsidR="00C856E0" w:rsidRPr="003B74E0">
        <w:t xml:space="preserve">(c) the </w:t>
      </w:r>
      <w:r w:rsidR="001F5FEE" w:rsidRPr="003B74E0">
        <w:t>Board of Directors not having committed (including having communicated an intention to do the following) any act or omission that would constitute an Adverse Recommendation Change</w:t>
      </w:r>
      <w:r w:rsidR="0022162E">
        <w:t xml:space="preserve"> </w:t>
      </w:r>
      <w:r w:rsidR="0022162E" w:rsidRPr="003B74E0">
        <w:rPr>
          <w:lang w:bidi="en-GB"/>
        </w:rPr>
        <w:t>(as defined in the Offer Document)</w:t>
      </w:r>
      <w:r w:rsidR="00582FB2" w:rsidRPr="003B74E0">
        <w:t xml:space="preserve">, </w:t>
      </w:r>
      <w:r w:rsidR="005E07A1" w:rsidRPr="003B74E0">
        <w:t xml:space="preserve">(d) </w:t>
      </w:r>
      <w:r w:rsidR="001978A4" w:rsidRPr="003B74E0">
        <w:t xml:space="preserve">no Material Adverse Change </w:t>
      </w:r>
      <w:r w:rsidR="00FE53B5">
        <w:t xml:space="preserve">(as defined in the Offer Document) </w:t>
      </w:r>
      <w:r w:rsidR="001978A4" w:rsidRPr="003B74E0">
        <w:t>having occurred</w:t>
      </w:r>
      <w:r w:rsidR="00517991" w:rsidRPr="003B74E0">
        <w:t>,</w:t>
      </w:r>
      <w:r w:rsidR="0011291D" w:rsidRPr="003B74E0">
        <w:t xml:space="preserve"> and </w:t>
      </w:r>
      <w:r w:rsidR="005E07A1" w:rsidRPr="003C572D">
        <w:t xml:space="preserve">(e) </w:t>
      </w:r>
      <w:r w:rsidR="00517991" w:rsidRPr="003C572D">
        <w:t>certain other customary conditions.</w:t>
      </w:r>
    </w:p>
    <w:p w14:paraId="00293B86" w14:textId="77777777" w:rsidR="00517991" w:rsidRPr="003B74E0" w:rsidRDefault="00517991" w:rsidP="001978A4"/>
    <w:p w14:paraId="7C839593" w14:textId="7A730CE9" w:rsidR="008B39E5" w:rsidRPr="003B74E0" w:rsidRDefault="00C409D1" w:rsidP="00A05058">
      <w:pPr>
        <w:pStyle w:val="DSBodyTextIndent1"/>
        <w:jc w:val="both"/>
      </w:pPr>
      <w:r w:rsidRPr="003B74E0">
        <w:t xml:space="preserve">The Conditions are reproduced as in the Offer Document in section </w:t>
      </w:r>
      <w:r w:rsidR="001365B6" w:rsidRPr="003B74E0">
        <w:fldChar w:fldCharType="begin"/>
      </w:r>
      <w:r w:rsidR="001365B6" w:rsidRPr="003B74E0">
        <w:instrText xml:space="preserve"> REF _Ref215698487 \r \h </w:instrText>
      </w:r>
      <w:r w:rsidR="001365B6" w:rsidRPr="003B74E0">
        <w:fldChar w:fldCharType="separate"/>
      </w:r>
      <w:r w:rsidR="00DE5216">
        <w:t>8.4.1</w:t>
      </w:r>
      <w:r w:rsidR="001365B6" w:rsidRPr="003B74E0">
        <w:fldChar w:fldCharType="end"/>
      </w:r>
      <w:r w:rsidRPr="003B74E0">
        <w:t xml:space="preserve"> below and reference is made to the Offer Document for the definitions applied. </w:t>
      </w:r>
    </w:p>
    <w:p w14:paraId="3BB1A5A5" w14:textId="77777777" w:rsidR="008B39E5" w:rsidRPr="003B74E0" w:rsidRDefault="008B39E5" w:rsidP="00A05058">
      <w:pPr>
        <w:pStyle w:val="DSBodyTextIndent1"/>
        <w:jc w:val="both"/>
        <w:rPr>
          <w:rFonts w:asciiTheme="minorHAnsi" w:hAnsiTheme="minorHAnsi" w:cstheme="minorHAnsi"/>
        </w:rPr>
      </w:pPr>
    </w:p>
    <w:p w14:paraId="05D0BB3F" w14:textId="69CA0D4A" w:rsidR="00DB522B" w:rsidRPr="003B74E0" w:rsidRDefault="009479FF" w:rsidP="00DB522B">
      <w:pPr>
        <w:pStyle w:val="DSBodyTextIndent1"/>
        <w:jc w:val="both"/>
        <w:rPr>
          <w:rFonts w:asciiTheme="minorHAnsi" w:hAnsiTheme="minorHAnsi" w:cstheme="minorHAnsi"/>
        </w:rPr>
      </w:pPr>
      <w:r w:rsidRPr="003B74E0">
        <w:rPr>
          <w:rFonts w:asciiTheme="minorHAnsi" w:hAnsiTheme="minorHAnsi" w:cstheme="minorHAnsi"/>
        </w:rPr>
        <w:t xml:space="preserve">The Offeror reserves the right to withdraw </w:t>
      </w:r>
      <w:r w:rsidR="00422358" w:rsidRPr="003B74E0">
        <w:rPr>
          <w:rFonts w:asciiTheme="minorHAnsi" w:hAnsiTheme="minorHAnsi" w:cstheme="minorHAnsi"/>
        </w:rPr>
        <w:t xml:space="preserve">or </w:t>
      </w:r>
      <w:r w:rsidRPr="003B74E0">
        <w:rPr>
          <w:rFonts w:asciiTheme="minorHAnsi" w:hAnsiTheme="minorHAnsi" w:cstheme="minorHAnsi"/>
        </w:rPr>
        <w:t xml:space="preserve">terminate the Offer </w:t>
      </w:r>
      <w:r w:rsidR="00DB522B" w:rsidRPr="003B74E0">
        <w:rPr>
          <w:rFonts w:asciiTheme="minorHAnsi" w:hAnsiTheme="minorHAnsi" w:cstheme="minorHAnsi"/>
        </w:rPr>
        <w:t>if (</w:t>
      </w:r>
      <w:proofErr w:type="spellStart"/>
      <w:r w:rsidR="00DB522B" w:rsidRPr="003B74E0">
        <w:rPr>
          <w:rFonts w:asciiTheme="minorHAnsi" w:hAnsiTheme="minorHAnsi" w:cstheme="minorHAnsi"/>
        </w:rPr>
        <w:t>i</w:t>
      </w:r>
      <w:proofErr w:type="spellEnd"/>
      <w:r w:rsidR="00DB522B" w:rsidRPr="003B74E0">
        <w:rPr>
          <w:rFonts w:asciiTheme="minorHAnsi" w:hAnsiTheme="minorHAnsi" w:cstheme="minorHAnsi"/>
        </w:rPr>
        <w:t xml:space="preserve">) one or more of the Conditions has become incapable of being satisfied by the Final Results Announcement, provided, however, that the obligation of the Offeror to extend the Offer Period </w:t>
      </w:r>
      <w:r w:rsidR="003049F1" w:rsidRPr="003B74E0">
        <w:rPr>
          <w:rFonts w:asciiTheme="minorHAnsi" w:hAnsiTheme="minorHAnsi" w:cstheme="minorHAnsi"/>
        </w:rPr>
        <w:t>if one or more of the Regulatory Conditions (as defined below) have not been satisfied, waived or amended at the expiry of an Offer Period</w:t>
      </w:r>
      <w:r w:rsidR="00591501" w:rsidRPr="003B74E0">
        <w:rPr>
          <w:rFonts w:asciiTheme="minorHAnsi" w:hAnsiTheme="minorHAnsi" w:cstheme="minorHAnsi"/>
        </w:rPr>
        <w:t xml:space="preserve"> </w:t>
      </w:r>
      <w:r w:rsidR="00DB522B" w:rsidRPr="003B74E0">
        <w:rPr>
          <w:rFonts w:asciiTheme="minorHAnsi" w:hAnsiTheme="minorHAnsi" w:cstheme="minorHAnsi"/>
        </w:rPr>
        <w:t>does not apply; and/or (ii) in case of the Conditions set out in items (</w:t>
      </w:r>
      <w:r w:rsidR="00AF4EDA">
        <w:rPr>
          <w:rFonts w:asciiTheme="minorHAnsi" w:hAnsiTheme="minorHAnsi" w:cstheme="minorHAnsi"/>
        </w:rPr>
        <w:t>D</w:t>
      </w:r>
      <w:r w:rsidR="00DB522B" w:rsidRPr="003B74E0">
        <w:rPr>
          <w:rFonts w:asciiTheme="minorHAnsi" w:hAnsiTheme="minorHAnsi" w:cstheme="minorHAnsi"/>
        </w:rPr>
        <w:t>) to (</w:t>
      </w:r>
      <w:r w:rsidR="00AF4EDA">
        <w:rPr>
          <w:rFonts w:asciiTheme="minorHAnsi" w:hAnsiTheme="minorHAnsi" w:cstheme="minorHAnsi"/>
        </w:rPr>
        <w:t>K</w:t>
      </w:r>
      <w:r w:rsidR="00DB522B" w:rsidRPr="003B74E0">
        <w:rPr>
          <w:rFonts w:asciiTheme="minorHAnsi" w:hAnsiTheme="minorHAnsi" w:cstheme="minorHAnsi"/>
        </w:rPr>
        <w:t xml:space="preserve">) of </w:t>
      </w:r>
      <w:r w:rsidR="00516FAF" w:rsidRPr="003B74E0">
        <w:rPr>
          <w:rFonts w:asciiTheme="minorHAnsi" w:hAnsiTheme="minorHAnsi" w:cstheme="minorHAnsi"/>
        </w:rPr>
        <w:t>section 4.9 of the Offer Document</w:t>
      </w:r>
      <w:r w:rsidR="00DB522B" w:rsidRPr="003B74E0">
        <w:rPr>
          <w:rFonts w:asciiTheme="minorHAnsi" w:hAnsiTheme="minorHAnsi" w:cstheme="minorHAnsi"/>
        </w:rPr>
        <w:t>, if the event or circumstance contemplated by such Condition has occurred.</w:t>
      </w:r>
    </w:p>
    <w:p w14:paraId="54431FD2" w14:textId="77777777" w:rsidR="00587C87" w:rsidRPr="003B74E0" w:rsidRDefault="00587C87" w:rsidP="00516DB7">
      <w:pPr>
        <w:pStyle w:val="NormalIndent"/>
        <w:jc w:val="both"/>
      </w:pPr>
    </w:p>
    <w:p w14:paraId="3C11A40E" w14:textId="36F6266E" w:rsidR="00C409D1" w:rsidRPr="003B74E0" w:rsidRDefault="00C409D1" w:rsidP="00516DB7">
      <w:pPr>
        <w:pStyle w:val="NormalIndent"/>
        <w:jc w:val="both"/>
      </w:pPr>
      <w:r w:rsidRPr="003B74E0">
        <w:t xml:space="preserve">As stated in the Offer Document, it is </w:t>
      </w:r>
      <w:r w:rsidR="00AD7148" w:rsidRPr="003B74E0">
        <w:t>the Offeror's</w:t>
      </w:r>
      <w:r w:rsidRPr="003B74E0">
        <w:t xml:space="preserve"> intention to </w:t>
      </w:r>
      <w:r w:rsidR="002E27C4">
        <w:t>initiate</w:t>
      </w:r>
      <w:r w:rsidR="00810C72">
        <w:t xml:space="preserve"> and complete</w:t>
      </w:r>
      <w:r w:rsidR="002E27C4">
        <w:t xml:space="preserve"> a compulsory acquisition of </w:t>
      </w:r>
      <w:r w:rsidR="000C6F65">
        <w:t xml:space="preserve">any Shares held by Shareholders </w:t>
      </w:r>
      <w:r w:rsidR="0034131C">
        <w:t xml:space="preserve">following Completion of the Offer </w:t>
      </w:r>
      <w:r w:rsidR="000C6F65">
        <w:t xml:space="preserve">and </w:t>
      </w:r>
      <w:r w:rsidRPr="003B74E0">
        <w:t xml:space="preserve">seek the Shares removed from trading and official listing on Nasdaq Copenhagen following Completion of the Offer. </w:t>
      </w:r>
    </w:p>
    <w:p w14:paraId="095573A0" w14:textId="77777777" w:rsidR="00C409D1" w:rsidRPr="003B74E0" w:rsidRDefault="00C409D1" w:rsidP="00A05058">
      <w:pPr>
        <w:pStyle w:val="Heading2"/>
        <w:jc w:val="both"/>
      </w:pPr>
      <w:bookmarkStart w:id="16" w:name="_Toc194440303"/>
      <w:bookmarkStart w:id="17" w:name="_Toc218590548"/>
      <w:r w:rsidRPr="003B74E0">
        <w:rPr>
          <w:lang w:bidi="en-GB"/>
        </w:rPr>
        <w:t>Purpose of the Statement</w:t>
      </w:r>
      <w:bookmarkEnd w:id="16"/>
      <w:bookmarkEnd w:id="17"/>
    </w:p>
    <w:p w14:paraId="6B8B1C2E" w14:textId="41BDBF8C" w:rsidR="00256DBF" w:rsidRPr="003B74E0" w:rsidRDefault="003437FA" w:rsidP="00256DBF">
      <w:pPr>
        <w:pStyle w:val="NormalIndent"/>
        <w:jc w:val="both"/>
        <w:rPr>
          <w:lang w:bidi="en-GB"/>
        </w:rPr>
      </w:pPr>
      <w:bookmarkStart w:id="18" w:name="_Ref461701386"/>
      <w:r w:rsidRPr="003B74E0">
        <w:rPr>
          <w:lang w:bidi="en-GB"/>
        </w:rPr>
        <w:t xml:space="preserve">This statement (the </w:t>
      </w:r>
      <w:r w:rsidRPr="003B74E0">
        <w:rPr>
          <w:b/>
          <w:bCs/>
          <w:lang w:bidi="en-GB"/>
        </w:rPr>
        <w:t>Statement</w:t>
      </w:r>
      <w:r w:rsidRPr="003B74E0">
        <w:rPr>
          <w:lang w:bidi="en-GB"/>
        </w:rPr>
        <w:t xml:space="preserve">) is issued by the </w:t>
      </w:r>
      <w:r w:rsidR="00DC4944" w:rsidRPr="003B74E0">
        <w:rPr>
          <w:lang w:bidi="en-GB"/>
        </w:rPr>
        <w:t>Board of Directors</w:t>
      </w:r>
      <w:r w:rsidR="00EC44A2" w:rsidRPr="003B74E0">
        <w:rPr>
          <w:lang w:bidi="en-GB"/>
        </w:rPr>
        <w:t xml:space="preserve"> </w:t>
      </w:r>
      <w:r w:rsidRPr="003B74E0">
        <w:rPr>
          <w:lang w:bidi="en-GB"/>
        </w:rPr>
        <w:t xml:space="preserve">for the purpose of complying with its obligations set out in </w:t>
      </w:r>
      <w:r w:rsidR="00F6113D" w:rsidRPr="003B74E0">
        <w:rPr>
          <w:lang w:bidi="en-GB"/>
        </w:rPr>
        <w:t>S</w:t>
      </w:r>
      <w:r w:rsidRPr="003B74E0">
        <w:rPr>
          <w:lang w:bidi="en-GB"/>
        </w:rPr>
        <w:t>ection 2</w:t>
      </w:r>
      <w:r w:rsidR="00902FFA" w:rsidRPr="003B74E0">
        <w:rPr>
          <w:lang w:bidi="en-GB"/>
        </w:rPr>
        <w:t>3</w:t>
      </w:r>
      <w:r w:rsidRPr="003B74E0">
        <w:rPr>
          <w:lang w:bidi="en-GB"/>
        </w:rPr>
        <w:t xml:space="preserve"> of the </w:t>
      </w:r>
      <w:r w:rsidR="00765F00" w:rsidRPr="003B74E0">
        <w:rPr>
          <w:lang w:bidi="en-GB"/>
        </w:rPr>
        <w:t>Takeover</w:t>
      </w:r>
      <w:r w:rsidRPr="003B74E0">
        <w:rPr>
          <w:lang w:bidi="en-GB"/>
        </w:rPr>
        <w:t xml:space="preserve"> Order according to which the </w:t>
      </w:r>
      <w:r w:rsidR="003F150E" w:rsidRPr="003B74E0">
        <w:rPr>
          <w:lang w:bidi="en-GB"/>
        </w:rPr>
        <w:t>board of</w:t>
      </w:r>
      <w:r w:rsidRPr="003B74E0">
        <w:rPr>
          <w:lang w:bidi="en-GB"/>
        </w:rPr>
        <w:t xml:space="preserve"> directors of a Danish listed company for which a public takeover offer is made must issue a statement explaining the </w:t>
      </w:r>
      <w:r w:rsidR="003F150E" w:rsidRPr="003B74E0">
        <w:rPr>
          <w:lang w:bidi="en-GB"/>
        </w:rPr>
        <w:t>board of</w:t>
      </w:r>
      <w:r w:rsidRPr="003B74E0">
        <w:rPr>
          <w:lang w:bidi="en-GB"/>
        </w:rPr>
        <w:t xml:space="preserve"> directors' view on the offer, the reasons for such view, including its view on the consequences of the offer for all of the company’s interests</w:t>
      </w:r>
      <w:r w:rsidRPr="003B74E0">
        <w:rPr>
          <w:b/>
          <w:bCs/>
          <w:lang w:bidi="en-GB"/>
        </w:rPr>
        <w:t xml:space="preserve"> </w:t>
      </w:r>
      <w:r w:rsidRPr="003B74E0">
        <w:rPr>
          <w:lang w:bidi="en-GB"/>
        </w:rPr>
        <w:t>and the offeror’s strategic plans with the target company and their likely consequences for employment and for the establishments of the company.</w:t>
      </w:r>
      <w:r w:rsidR="00256DBF" w:rsidRPr="003B74E0">
        <w:rPr>
          <w:lang w:bidi="en-GB"/>
        </w:rPr>
        <w:br w:type="page"/>
      </w:r>
    </w:p>
    <w:p w14:paraId="5DCFF3B7" w14:textId="77777777" w:rsidR="00C409D1" w:rsidRPr="003B74E0" w:rsidRDefault="00C409D1" w:rsidP="00A05058">
      <w:pPr>
        <w:pStyle w:val="Heading1"/>
        <w:jc w:val="both"/>
        <w:rPr>
          <w:lang w:bidi="en-GB"/>
        </w:rPr>
      </w:pPr>
      <w:bookmarkStart w:id="19" w:name="_Ref134693911"/>
      <w:bookmarkStart w:id="20" w:name="_Toc194440304"/>
      <w:bookmarkStart w:id="21" w:name="_Toc218590549"/>
      <w:r w:rsidRPr="003B74E0">
        <w:rPr>
          <w:lang w:bidi="en-GB"/>
        </w:rPr>
        <w:lastRenderedPageBreak/>
        <w:t>Conclusion</w:t>
      </w:r>
      <w:bookmarkEnd w:id="18"/>
      <w:bookmarkEnd w:id="19"/>
      <w:bookmarkEnd w:id="20"/>
      <w:bookmarkEnd w:id="21"/>
    </w:p>
    <w:p w14:paraId="7AED50FA" w14:textId="78FD0136" w:rsidR="000D0D6C" w:rsidRDefault="000D0D6C" w:rsidP="00A05058">
      <w:pPr>
        <w:pStyle w:val="NormalIndent"/>
        <w:jc w:val="both"/>
        <w:rPr>
          <w:lang w:bidi="en-GB"/>
        </w:rPr>
      </w:pPr>
      <w:r w:rsidRPr="003B74E0">
        <w:rPr>
          <w:lang w:bidi="en-GB"/>
        </w:rPr>
        <w:t xml:space="preserve">Based on the analysis of the Offer set forth in this Statement and taking into consideration the advantages and disadvantages of the Offer to the Shareholders, the </w:t>
      </w:r>
      <w:r w:rsidR="00DC4944" w:rsidRPr="003B74E0">
        <w:rPr>
          <w:lang w:bidi="en-GB"/>
        </w:rPr>
        <w:t>Board of Directors</w:t>
      </w:r>
      <w:r w:rsidRPr="003B74E0">
        <w:rPr>
          <w:lang w:bidi="en-GB"/>
        </w:rPr>
        <w:t xml:space="preserve"> has unanimously decided to recommend the Shareholders to accept the Offer.</w:t>
      </w:r>
    </w:p>
    <w:p w14:paraId="5D3BAF35" w14:textId="77777777" w:rsidR="00DD6B70" w:rsidRDefault="00DD6B70" w:rsidP="00A05058">
      <w:pPr>
        <w:pStyle w:val="NormalIndent"/>
        <w:jc w:val="both"/>
        <w:rPr>
          <w:lang w:bidi="en-GB"/>
        </w:rPr>
      </w:pPr>
    </w:p>
    <w:p w14:paraId="70FA5E9A" w14:textId="7956C3E4" w:rsidR="00DD6B70" w:rsidRDefault="00DD6B70" w:rsidP="00A05058">
      <w:pPr>
        <w:pStyle w:val="NormalIndent"/>
        <w:jc w:val="both"/>
        <w:rPr>
          <w:lang w:bidi="en-GB"/>
        </w:rPr>
      </w:pPr>
      <w:r>
        <w:rPr>
          <w:lang w:bidi="en-GB"/>
        </w:rPr>
        <w:t xml:space="preserve">In reaching this conclusion, the Board of Directors has, </w:t>
      </w:r>
      <w:r w:rsidRPr="003B74E0">
        <w:rPr>
          <w:lang w:bidi="en-GB"/>
        </w:rPr>
        <w:t>among</w:t>
      </w:r>
      <w:r>
        <w:rPr>
          <w:lang w:bidi="en-GB"/>
        </w:rPr>
        <w:t>st</w:t>
      </w:r>
      <w:r w:rsidRPr="003B74E0">
        <w:rPr>
          <w:lang w:bidi="en-GB"/>
        </w:rPr>
        <w:t xml:space="preserve"> other</w:t>
      </w:r>
      <w:r>
        <w:rPr>
          <w:lang w:bidi="en-GB"/>
        </w:rPr>
        <w:t>s</w:t>
      </w:r>
      <w:r w:rsidRPr="003B74E0">
        <w:rPr>
          <w:lang w:bidi="en-GB"/>
        </w:rPr>
        <w:t>,</w:t>
      </w:r>
      <w:r>
        <w:rPr>
          <w:lang w:bidi="en-GB"/>
        </w:rPr>
        <w:t xml:space="preserve"> considered the following: </w:t>
      </w:r>
    </w:p>
    <w:p w14:paraId="481AC1DC" w14:textId="77777777" w:rsidR="00DD6B70" w:rsidRDefault="00DD6B70" w:rsidP="00A05058">
      <w:pPr>
        <w:pStyle w:val="NormalIndent"/>
        <w:jc w:val="both"/>
        <w:rPr>
          <w:lang w:bidi="en-GB"/>
        </w:rPr>
      </w:pPr>
    </w:p>
    <w:p w14:paraId="26263D28" w14:textId="223990B8" w:rsidR="00DD6B70" w:rsidRPr="00483259" w:rsidRDefault="00DD6B70" w:rsidP="00DD6B70">
      <w:pPr>
        <w:pStyle w:val="NormalIndent"/>
        <w:numPr>
          <w:ilvl w:val="0"/>
          <w:numId w:val="48"/>
        </w:numPr>
        <w:rPr>
          <w:lang w:bidi="en-GB"/>
        </w:rPr>
      </w:pPr>
      <w:r w:rsidRPr="00483259">
        <w:rPr>
          <w:lang w:bidi="en-GB"/>
        </w:rPr>
        <w:t xml:space="preserve">The Board of Directors has conducted a broad </w:t>
      </w:r>
      <w:r w:rsidR="009E5B16" w:rsidRPr="00483259">
        <w:rPr>
          <w:lang w:bidi="en-GB"/>
        </w:rPr>
        <w:t>competit</w:t>
      </w:r>
      <w:r w:rsidR="009B47C8">
        <w:rPr>
          <w:lang w:bidi="en-GB"/>
        </w:rPr>
        <w:t>i</w:t>
      </w:r>
      <w:r w:rsidR="009E5B16" w:rsidRPr="00483259">
        <w:rPr>
          <w:lang w:bidi="en-GB"/>
        </w:rPr>
        <w:t xml:space="preserve">ve </w:t>
      </w:r>
      <w:r w:rsidRPr="00483259">
        <w:rPr>
          <w:lang w:bidi="en-GB"/>
        </w:rPr>
        <w:t>sales process actively exploring the potential interest of a range of strategic and financial parties in a transaction concerning the Company. Based on the final offers</w:t>
      </w:r>
      <w:r w:rsidR="00904226" w:rsidRPr="00483259">
        <w:rPr>
          <w:lang w:bidi="en-GB"/>
        </w:rPr>
        <w:t xml:space="preserve"> obtained</w:t>
      </w:r>
      <w:r w:rsidRPr="00483259">
        <w:rPr>
          <w:lang w:bidi="en-GB"/>
        </w:rPr>
        <w:t xml:space="preserve">, the Board of Directors </w:t>
      </w:r>
      <w:r w:rsidR="00904226" w:rsidRPr="00483259">
        <w:rPr>
          <w:lang w:bidi="en-GB"/>
        </w:rPr>
        <w:t xml:space="preserve">subsequently </w:t>
      </w:r>
      <w:r w:rsidRPr="00483259">
        <w:rPr>
          <w:lang w:bidi="en-GB"/>
        </w:rPr>
        <w:t>engaged in further negotiations with the parties that had submitted a final offer. The Board of Directors, assisted by its advisers, was able to improve the terms of the Offer from the Offeror. The Offer is the most attractive final offer that the Company has received in connection with the process.</w:t>
      </w:r>
      <w:r w:rsidR="003A7F0F" w:rsidRPr="00483259">
        <w:rPr>
          <w:lang w:bidi="en-GB"/>
        </w:rPr>
        <w:t xml:space="preserve"> Please refer to section </w:t>
      </w:r>
      <w:r w:rsidR="003A7F0F" w:rsidRPr="00483259">
        <w:rPr>
          <w:lang w:bidi="en-GB"/>
        </w:rPr>
        <w:fldChar w:fldCharType="begin"/>
      </w:r>
      <w:r w:rsidR="003A7F0F" w:rsidRPr="00483259">
        <w:rPr>
          <w:lang w:bidi="en-GB"/>
        </w:rPr>
        <w:instrText xml:space="preserve"> REF _Ref206831235 \r \h </w:instrText>
      </w:r>
      <w:r w:rsidR="003A7F0F" w:rsidRPr="00483259">
        <w:rPr>
          <w:lang w:bidi="en-GB"/>
        </w:rPr>
      </w:r>
      <w:r w:rsidR="003A7F0F" w:rsidRPr="00483259">
        <w:rPr>
          <w:lang w:bidi="en-GB"/>
        </w:rPr>
        <w:fldChar w:fldCharType="separate"/>
      </w:r>
      <w:r w:rsidR="00DE5216">
        <w:rPr>
          <w:lang w:bidi="en-GB"/>
        </w:rPr>
        <w:t>7</w:t>
      </w:r>
      <w:r w:rsidR="003A7F0F" w:rsidRPr="00483259">
        <w:rPr>
          <w:lang w:bidi="en-GB"/>
        </w:rPr>
        <w:fldChar w:fldCharType="end"/>
      </w:r>
      <w:r w:rsidR="003A7F0F" w:rsidRPr="00483259">
        <w:rPr>
          <w:lang w:bidi="en-GB"/>
        </w:rPr>
        <w:t xml:space="preserve"> below for further information on events and the process leading up to the Offer.</w:t>
      </w:r>
    </w:p>
    <w:p w14:paraId="69FC45C4" w14:textId="77777777" w:rsidR="00DD6B70" w:rsidRPr="00DD6B70" w:rsidRDefault="00DD6B70" w:rsidP="00DD6B70">
      <w:pPr>
        <w:pStyle w:val="NormalIndent"/>
        <w:ind w:left="1571"/>
        <w:rPr>
          <w:lang w:bidi="en-GB"/>
        </w:rPr>
      </w:pPr>
    </w:p>
    <w:p w14:paraId="10C027E7" w14:textId="44CE14DD" w:rsidR="00DD6B70" w:rsidRDefault="00DD6B70" w:rsidP="003D7040">
      <w:pPr>
        <w:pStyle w:val="NormalIndent"/>
        <w:numPr>
          <w:ilvl w:val="0"/>
          <w:numId w:val="48"/>
        </w:numPr>
        <w:rPr>
          <w:lang w:bidi="en-GB"/>
        </w:rPr>
      </w:pPr>
      <w:r w:rsidRPr="00DD6B70">
        <w:rPr>
          <w:lang w:bidi="en-GB"/>
        </w:rPr>
        <w:t>The Offer Price represents an attractive price</w:t>
      </w:r>
      <w:r w:rsidR="004C4593">
        <w:rPr>
          <w:lang w:bidi="en-GB"/>
        </w:rPr>
        <w:t>, corresponding to a premium of 35.9%, 39.8%, 30.1%, 35.9%, and 42.3%, respectively,</w:t>
      </w:r>
      <w:r w:rsidRPr="00DD6B70">
        <w:rPr>
          <w:lang w:bidi="en-GB"/>
        </w:rPr>
        <w:t xml:space="preserve"> as compared to the </w:t>
      </w:r>
      <w:r>
        <w:rPr>
          <w:lang w:bidi="en-GB"/>
        </w:rPr>
        <w:t xml:space="preserve">last day of trading prior to the announcement of the Offer as well the one, three, six, and twelve months volume-weighted average </w:t>
      </w:r>
      <w:r w:rsidRPr="00DD6B70">
        <w:rPr>
          <w:lang w:bidi="en-GB"/>
        </w:rPr>
        <w:t xml:space="preserve">trading prices of the Shares with a high degree of price certainty for </w:t>
      </w:r>
      <w:r w:rsidR="00B144B7">
        <w:rPr>
          <w:lang w:bidi="en-GB"/>
        </w:rPr>
        <w:t>S</w:t>
      </w:r>
      <w:r w:rsidRPr="00DD6B70">
        <w:rPr>
          <w:lang w:bidi="en-GB"/>
        </w:rPr>
        <w:t>hareholders.</w:t>
      </w:r>
      <w:r w:rsidR="003A7F0F">
        <w:rPr>
          <w:lang w:bidi="en-GB"/>
        </w:rPr>
        <w:t xml:space="preserve"> </w:t>
      </w:r>
      <w:r w:rsidR="003A7F0F" w:rsidRPr="003B74E0">
        <w:rPr>
          <w:lang w:bidi="en-GB"/>
        </w:rPr>
        <w:t xml:space="preserve">Please refer to section </w:t>
      </w:r>
      <w:r w:rsidR="003A7F0F">
        <w:rPr>
          <w:lang w:bidi="en-GB"/>
        </w:rPr>
        <w:fldChar w:fldCharType="begin"/>
      </w:r>
      <w:r w:rsidR="003A7F0F">
        <w:rPr>
          <w:lang w:bidi="en-GB"/>
        </w:rPr>
        <w:instrText xml:space="preserve"> REF _Ref194075176 \r \h </w:instrText>
      </w:r>
      <w:r w:rsidR="003A7F0F">
        <w:rPr>
          <w:lang w:bidi="en-GB"/>
        </w:rPr>
      </w:r>
      <w:r w:rsidR="003A7F0F">
        <w:rPr>
          <w:lang w:bidi="en-GB"/>
        </w:rPr>
        <w:fldChar w:fldCharType="separate"/>
      </w:r>
      <w:r w:rsidR="00DE5216">
        <w:rPr>
          <w:lang w:bidi="en-GB"/>
        </w:rPr>
        <w:t>8.2.1</w:t>
      </w:r>
      <w:r w:rsidR="003A7F0F">
        <w:rPr>
          <w:lang w:bidi="en-GB"/>
        </w:rPr>
        <w:fldChar w:fldCharType="end"/>
      </w:r>
      <w:r w:rsidR="003A7F0F" w:rsidRPr="003B74E0">
        <w:rPr>
          <w:lang w:bidi="en-GB"/>
        </w:rPr>
        <w:t xml:space="preserve"> below for further information regarding the </w:t>
      </w:r>
      <w:r w:rsidR="003A7F0F">
        <w:rPr>
          <w:lang w:bidi="en-GB"/>
        </w:rPr>
        <w:t>comparison against relevant historical prices of the Shares</w:t>
      </w:r>
      <w:r w:rsidR="003A7F0F" w:rsidRPr="003B74E0">
        <w:rPr>
          <w:lang w:bidi="en-GB"/>
        </w:rPr>
        <w:t>.</w:t>
      </w:r>
    </w:p>
    <w:p w14:paraId="1E357DC7" w14:textId="77777777" w:rsidR="00DD6B70" w:rsidRDefault="00DD6B70" w:rsidP="00DD6B70">
      <w:pPr>
        <w:pStyle w:val="NormalIndent"/>
        <w:ind w:left="1571"/>
        <w:rPr>
          <w:lang w:bidi="en-GB"/>
        </w:rPr>
      </w:pPr>
    </w:p>
    <w:p w14:paraId="15389754" w14:textId="61C7E495" w:rsidR="00F358F1" w:rsidRPr="003B74E0" w:rsidRDefault="00F358F1" w:rsidP="00DD6B70">
      <w:pPr>
        <w:pStyle w:val="NormalIndent"/>
        <w:numPr>
          <w:ilvl w:val="0"/>
          <w:numId w:val="48"/>
        </w:numPr>
        <w:rPr>
          <w:lang w:bidi="en-GB"/>
        </w:rPr>
      </w:pPr>
      <w:r w:rsidRPr="003B74E0">
        <w:rPr>
          <w:lang w:bidi="en-GB"/>
        </w:rPr>
        <w:t xml:space="preserve">The assessment of the financial merits of the Offer </w:t>
      </w:r>
      <w:r w:rsidR="00DD6B70">
        <w:rPr>
          <w:lang w:bidi="en-GB"/>
        </w:rPr>
        <w:t xml:space="preserve">has </w:t>
      </w:r>
      <w:r w:rsidRPr="003B74E0">
        <w:rPr>
          <w:lang w:bidi="en-GB"/>
        </w:rPr>
        <w:t>t</w:t>
      </w:r>
      <w:r w:rsidR="00DD6B70">
        <w:rPr>
          <w:lang w:bidi="en-GB"/>
        </w:rPr>
        <w:t>aken</w:t>
      </w:r>
      <w:r w:rsidRPr="003B74E0">
        <w:rPr>
          <w:lang w:bidi="en-GB"/>
        </w:rPr>
        <w:t xml:space="preserve"> into account, among</w:t>
      </w:r>
      <w:r w:rsidR="00DD6B70">
        <w:rPr>
          <w:lang w:bidi="en-GB"/>
        </w:rPr>
        <w:t>st</w:t>
      </w:r>
      <w:r w:rsidRPr="003B74E0">
        <w:rPr>
          <w:lang w:bidi="en-GB"/>
        </w:rPr>
        <w:t xml:space="preserve"> other</w:t>
      </w:r>
      <w:r w:rsidR="00DD6B70">
        <w:rPr>
          <w:lang w:bidi="en-GB"/>
        </w:rPr>
        <w:t>s</w:t>
      </w:r>
      <w:r w:rsidRPr="003B74E0">
        <w:rPr>
          <w:lang w:bidi="en-GB"/>
        </w:rPr>
        <w:t xml:space="preserve">, </w:t>
      </w:r>
      <w:r w:rsidR="00743168" w:rsidRPr="003B74E0">
        <w:rPr>
          <w:lang w:bidi="en-GB"/>
        </w:rPr>
        <w:t>a</w:t>
      </w:r>
      <w:r w:rsidRPr="003B74E0">
        <w:rPr>
          <w:lang w:bidi="en-GB"/>
        </w:rPr>
        <w:t xml:space="preserve"> written opinion</w:t>
      </w:r>
      <w:r w:rsidR="006D70D7" w:rsidRPr="003B74E0">
        <w:rPr>
          <w:lang w:bidi="en-GB"/>
        </w:rPr>
        <w:t xml:space="preserve"> </w:t>
      </w:r>
      <w:r w:rsidRPr="003B74E0">
        <w:rPr>
          <w:lang w:bidi="en-GB"/>
        </w:rPr>
        <w:t xml:space="preserve">dated </w:t>
      </w:r>
      <w:r w:rsidR="00905346">
        <w:rPr>
          <w:lang w:bidi="en-GB"/>
        </w:rPr>
        <w:t>10 December 2025</w:t>
      </w:r>
      <w:r w:rsidRPr="003B74E0">
        <w:rPr>
          <w:lang w:bidi="en-GB"/>
        </w:rPr>
        <w:t xml:space="preserve"> </w:t>
      </w:r>
      <w:r w:rsidR="00476C2F" w:rsidRPr="003B74E0">
        <w:rPr>
          <w:lang w:bidi="en-GB"/>
        </w:rPr>
        <w:t xml:space="preserve">(the </w:t>
      </w:r>
      <w:r w:rsidR="00476C2F" w:rsidRPr="00DD6B70">
        <w:rPr>
          <w:b/>
          <w:bCs/>
          <w:lang w:bidi="en-GB"/>
        </w:rPr>
        <w:t>Fairness Opinion</w:t>
      </w:r>
      <w:r w:rsidR="00476C2F" w:rsidRPr="003B74E0">
        <w:rPr>
          <w:lang w:bidi="en-GB"/>
        </w:rPr>
        <w:t xml:space="preserve">) </w:t>
      </w:r>
      <w:r w:rsidRPr="003B74E0">
        <w:rPr>
          <w:lang w:bidi="en-GB"/>
        </w:rPr>
        <w:t xml:space="preserve">from </w:t>
      </w:r>
      <w:r w:rsidR="000B71B9" w:rsidRPr="003B74E0">
        <w:t xml:space="preserve">DNB Carnegie Investment Bank, filial </w:t>
      </w:r>
      <w:proofErr w:type="spellStart"/>
      <w:r w:rsidR="000B71B9" w:rsidRPr="003B74E0">
        <w:t>af</w:t>
      </w:r>
      <w:proofErr w:type="spellEnd"/>
      <w:r w:rsidR="000B71B9" w:rsidRPr="003B74E0">
        <w:t xml:space="preserve"> DNB Carnegie Investment Bank AB (</w:t>
      </w:r>
      <w:proofErr w:type="spellStart"/>
      <w:r w:rsidR="000B71B9" w:rsidRPr="003B74E0">
        <w:t>publ</w:t>
      </w:r>
      <w:proofErr w:type="spellEnd"/>
      <w:r w:rsidR="000B71B9" w:rsidRPr="003B74E0">
        <w:t>), Sverige</w:t>
      </w:r>
      <w:r w:rsidRPr="003B74E0">
        <w:t xml:space="preserve"> (</w:t>
      </w:r>
      <w:r w:rsidR="00BB426A" w:rsidRPr="00DD6B70">
        <w:rPr>
          <w:b/>
          <w:bCs/>
        </w:rPr>
        <w:t>DNB Carnegie</w:t>
      </w:r>
      <w:r w:rsidRPr="003B74E0">
        <w:t xml:space="preserve">), </w:t>
      </w:r>
      <w:r w:rsidRPr="003B74E0">
        <w:rPr>
          <w:lang w:bidi="en-GB"/>
        </w:rPr>
        <w:t xml:space="preserve">that, as of such date and based on and subject to the various assumptions made, procedures followed, matters considered and limitations and qualifications on the reviews undertaken by </w:t>
      </w:r>
      <w:r w:rsidR="00225933" w:rsidRPr="003B74E0">
        <w:rPr>
          <w:lang w:bidi="en-GB"/>
        </w:rPr>
        <w:t>DNB Carnegie</w:t>
      </w:r>
      <w:r w:rsidRPr="003B74E0">
        <w:rPr>
          <w:lang w:bidi="en-GB"/>
        </w:rPr>
        <w:t xml:space="preserve">, as set forth in the written opinion, the Offer </w:t>
      </w:r>
      <w:r w:rsidR="00F1703D">
        <w:rPr>
          <w:lang w:bidi="en-GB"/>
        </w:rPr>
        <w:t>is</w:t>
      </w:r>
      <w:r w:rsidRPr="003B74E0">
        <w:rPr>
          <w:lang w:bidi="en-GB"/>
        </w:rPr>
        <w:t>, from a financial point of view,</w:t>
      </w:r>
      <w:r w:rsidR="00586F62">
        <w:rPr>
          <w:lang w:bidi="en-GB"/>
        </w:rPr>
        <w:t xml:space="preserve"> fair</w:t>
      </w:r>
      <w:r w:rsidRPr="003B74E0">
        <w:rPr>
          <w:lang w:bidi="en-GB"/>
        </w:rPr>
        <w:t xml:space="preserve"> to the Shareholders. Please refer to section </w:t>
      </w:r>
      <w:r w:rsidR="0085678D">
        <w:rPr>
          <w:lang w:bidi="en-GB"/>
        </w:rPr>
        <w:fldChar w:fldCharType="begin"/>
      </w:r>
      <w:r w:rsidR="0085678D">
        <w:rPr>
          <w:lang w:bidi="en-GB"/>
        </w:rPr>
        <w:instrText xml:space="preserve"> REF _Ref216246704 \r \h </w:instrText>
      </w:r>
      <w:r w:rsidR="0085678D">
        <w:rPr>
          <w:lang w:bidi="en-GB"/>
        </w:rPr>
      </w:r>
      <w:r w:rsidR="0085678D">
        <w:rPr>
          <w:lang w:bidi="en-GB"/>
        </w:rPr>
        <w:fldChar w:fldCharType="separate"/>
      </w:r>
      <w:r w:rsidR="00DE5216">
        <w:rPr>
          <w:lang w:bidi="en-GB"/>
        </w:rPr>
        <w:t>4.5</w:t>
      </w:r>
      <w:r w:rsidR="0085678D">
        <w:rPr>
          <w:lang w:bidi="en-GB"/>
        </w:rPr>
        <w:fldChar w:fldCharType="end"/>
      </w:r>
      <w:r w:rsidRPr="003B74E0">
        <w:rPr>
          <w:lang w:bidi="en-GB"/>
        </w:rPr>
        <w:t xml:space="preserve"> below for further information regarding the Fairness Opinion.</w:t>
      </w:r>
    </w:p>
    <w:p w14:paraId="6DF2C5E5" w14:textId="74BD176D" w:rsidR="00C409D1" w:rsidRPr="003B74E0" w:rsidRDefault="00C409D1" w:rsidP="00D6299E">
      <w:pPr>
        <w:pStyle w:val="DSBodyTextIndent1"/>
        <w:jc w:val="both"/>
      </w:pPr>
    </w:p>
    <w:p w14:paraId="5891983A" w14:textId="77777777" w:rsidR="00846A09" w:rsidRPr="003B74E0" w:rsidRDefault="00846A09" w:rsidP="00846A09">
      <w:pPr>
        <w:pStyle w:val="DSBodyTextIndent1"/>
        <w:jc w:val="both"/>
      </w:pPr>
      <w:r w:rsidRPr="003B74E0">
        <w:t>The conclusion above should be read in conjunction with the full Statement and after the Shareholders having</w:t>
      </w:r>
    </w:p>
    <w:p w14:paraId="02799BE7" w14:textId="6489DC29" w:rsidR="00846A09" w:rsidRPr="003B74E0" w:rsidRDefault="00846A09" w:rsidP="00846A09">
      <w:pPr>
        <w:pStyle w:val="DSBodyTextIndent1"/>
        <w:jc w:val="both"/>
      </w:pPr>
      <w:r w:rsidRPr="003B74E0">
        <w:t>carefully reviewed and assessed the terms and conditions of the Offer set out in the Offer Document.</w:t>
      </w:r>
    </w:p>
    <w:p w14:paraId="12A22375" w14:textId="77777777" w:rsidR="000D0D6C" w:rsidRPr="003B74E0" w:rsidRDefault="000D0D6C" w:rsidP="00A05058">
      <w:pPr>
        <w:pStyle w:val="NormalIndent"/>
        <w:jc w:val="both"/>
        <w:rPr>
          <w:lang w:bidi="en-GB"/>
        </w:rPr>
      </w:pPr>
    </w:p>
    <w:p w14:paraId="4DBEC5C5" w14:textId="77777777" w:rsidR="00184306" w:rsidRDefault="00184306">
      <w:pPr>
        <w:spacing w:after="160" w:line="259" w:lineRule="auto"/>
      </w:pPr>
      <w:r>
        <w:br w:type="page"/>
      </w:r>
    </w:p>
    <w:p w14:paraId="159ED97B" w14:textId="3EE0B64F" w:rsidR="00C409D1" w:rsidRPr="003B74E0" w:rsidRDefault="00C409D1" w:rsidP="00A05058">
      <w:pPr>
        <w:pStyle w:val="DSBodyTextIndent1"/>
        <w:jc w:val="both"/>
      </w:pPr>
      <w:r w:rsidRPr="003B74E0">
        <w:lastRenderedPageBreak/>
        <w:t>Copenhagen</w:t>
      </w:r>
      <w:r w:rsidR="00DA0B34">
        <w:t>, 7 January 2026</w:t>
      </w:r>
    </w:p>
    <w:p w14:paraId="0A09FDC2" w14:textId="77777777" w:rsidR="00C409D1" w:rsidRPr="003B74E0" w:rsidRDefault="00C409D1" w:rsidP="00A05058">
      <w:pPr>
        <w:pStyle w:val="DSBodyTextIndent1"/>
        <w:jc w:val="both"/>
      </w:pPr>
    </w:p>
    <w:p w14:paraId="072DC045" w14:textId="274E12BD" w:rsidR="007030FE" w:rsidRPr="003B74E0" w:rsidRDefault="00C409D1" w:rsidP="00F56E57">
      <w:pPr>
        <w:pStyle w:val="DSBodyTextIndent1"/>
        <w:jc w:val="both"/>
      </w:pPr>
      <w:r w:rsidRPr="003B74E0">
        <w:t xml:space="preserve">The </w:t>
      </w:r>
      <w:r w:rsidR="00B86488" w:rsidRPr="003B74E0">
        <w:t>Board of Directors</w:t>
      </w:r>
      <w:r w:rsidRPr="003B74E0">
        <w:t>,</w:t>
      </w:r>
    </w:p>
    <w:p w14:paraId="7FEBC3EE" w14:textId="77777777" w:rsidR="00F56E57" w:rsidRPr="003B74E0" w:rsidRDefault="00F56E57" w:rsidP="00284E3C">
      <w:pPr>
        <w:pStyle w:val="DSBodyTextIndent1"/>
      </w:pPr>
    </w:p>
    <w:p w14:paraId="77781F77" w14:textId="77777777" w:rsidR="00284E3C" w:rsidRPr="003B74E0" w:rsidRDefault="00284E3C" w:rsidP="00284E3C">
      <w:pPr>
        <w:pStyle w:val="DSBodyTextIndent1"/>
      </w:pPr>
    </w:p>
    <w:p w14:paraId="2BD2C213" w14:textId="77777777" w:rsidR="005312EB" w:rsidRPr="003B74E0" w:rsidRDefault="005312EB" w:rsidP="00284E3C">
      <w:pPr>
        <w:pStyle w:val="DSBodyTextIndent1"/>
      </w:pPr>
    </w:p>
    <w:p w14:paraId="441CE1BB" w14:textId="77777777" w:rsidR="00C409D1" w:rsidRPr="003B74E0" w:rsidRDefault="00C409D1" w:rsidP="00284E3C">
      <w:pPr>
        <w:pStyle w:val="DSBodyTextIndent1"/>
      </w:pPr>
      <w:r w:rsidRPr="003B74E0">
        <w:t>______________________</w:t>
      </w:r>
      <w:r w:rsidRPr="003B74E0">
        <w:tab/>
        <w:t>______________________</w:t>
      </w:r>
      <w:r w:rsidRPr="003B74E0">
        <w:tab/>
      </w:r>
    </w:p>
    <w:p w14:paraId="468BFCD5" w14:textId="70A2117D" w:rsidR="00F6113D" w:rsidRPr="003B74E0" w:rsidRDefault="00682816" w:rsidP="00284E3C">
      <w:pPr>
        <w:pStyle w:val="DSBodyTextIndent1"/>
      </w:pPr>
      <w:r w:rsidRPr="003B74E0">
        <w:t>Göran Peter Nilsson</w:t>
      </w:r>
      <w:r w:rsidR="00DC6B5E" w:rsidRPr="003B74E0">
        <w:tab/>
      </w:r>
      <w:r w:rsidR="00F6113D" w:rsidRPr="003B74E0">
        <w:tab/>
      </w:r>
      <w:r w:rsidR="005D58E7" w:rsidRPr="003B74E0">
        <w:t xml:space="preserve">Are </w:t>
      </w:r>
      <w:proofErr w:type="spellStart"/>
      <w:r w:rsidR="005D58E7" w:rsidRPr="003B74E0">
        <w:t>Dragesund</w:t>
      </w:r>
      <w:proofErr w:type="spellEnd"/>
    </w:p>
    <w:p w14:paraId="230C88FE" w14:textId="27E881BE" w:rsidR="00C409D1" w:rsidRPr="003B74E0" w:rsidRDefault="00F6113D" w:rsidP="00284E3C">
      <w:pPr>
        <w:pStyle w:val="DSBodyTextIndent1"/>
      </w:pPr>
      <w:r w:rsidRPr="003B74E0">
        <w:t>Chairman</w:t>
      </w:r>
      <w:r w:rsidR="00C409D1" w:rsidRPr="003B74E0">
        <w:tab/>
      </w:r>
      <w:r w:rsidRPr="003B74E0">
        <w:tab/>
        <w:t>Vice chairman</w:t>
      </w:r>
      <w:r w:rsidR="00C409D1" w:rsidRPr="003B74E0">
        <w:tab/>
      </w:r>
    </w:p>
    <w:p w14:paraId="32F04BBF" w14:textId="77777777" w:rsidR="00C409D1" w:rsidRPr="003B74E0" w:rsidRDefault="00C409D1" w:rsidP="00284E3C">
      <w:pPr>
        <w:pStyle w:val="DSBodyTextIndent1"/>
      </w:pPr>
    </w:p>
    <w:p w14:paraId="5FAC4415" w14:textId="77777777" w:rsidR="005312EB" w:rsidRPr="003B74E0" w:rsidRDefault="005312EB" w:rsidP="00284E3C">
      <w:pPr>
        <w:pStyle w:val="DSBodyTextIndent1"/>
      </w:pPr>
    </w:p>
    <w:p w14:paraId="47969F33" w14:textId="77777777" w:rsidR="00C409D1" w:rsidRPr="003B74E0" w:rsidRDefault="00C409D1" w:rsidP="00284E3C">
      <w:pPr>
        <w:pStyle w:val="DSBodyTextIndent1"/>
      </w:pPr>
    </w:p>
    <w:p w14:paraId="546BF713" w14:textId="77777777" w:rsidR="00604BB3" w:rsidRPr="003B74E0" w:rsidRDefault="00604BB3" w:rsidP="00284E3C">
      <w:pPr>
        <w:pStyle w:val="DSBodyTextIndent1"/>
      </w:pPr>
      <w:r w:rsidRPr="003B74E0">
        <w:t>______________________</w:t>
      </w:r>
      <w:r w:rsidRPr="003B74E0">
        <w:tab/>
        <w:t>______________________</w:t>
      </w:r>
      <w:r w:rsidRPr="003B74E0">
        <w:tab/>
      </w:r>
    </w:p>
    <w:p w14:paraId="786645EF" w14:textId="03A2CD72" w:rsidR="00C409D1" w:rsidRPr="003B74E0" w:rsidRDefault="005D58E7" w:rsidP="00284E3C">
      <w:pPr>
        <w:pStyle w:val="DSBodyTextIndent1"/>
      </w:pPr>
      <w:r w:rsidRPr="003B74E0">
        <w:t xml:space="preserve">Ole Kristian Jødahl </w:t>
      </w:r>
      <w:r w:rsidR="00604BB3" w:rsidRPr="003B74E0">
        <w:tab/>
      </w:r>
      <w:r w:rsidR="00DC6B5E" w:rsidRPr="003B74E0">
        <w:tab/>
      </w:r>
      <w:r w:rsidRPr="003B74E0">
        <w:t>Franck Falezan</w:t>
      </w:r>
      <w:r w:rsidR="00604BB3" w:rsidRPr="003B74E0">
        <w:tab/>
      </w:r>
    </w:p>
    <w:p w14:paraId="10498F33" w14:textId="77777777" w:rsidR="00604BB3" w:rsidRPr="003B74E0" w:rsidRDefault="00604BB3" w:rsidP="00284E3C">
      <w:pPr>
        <w:pStyle w:val="DSBodyTextIndent1"/>
      </w:pPr>
    </w:p>
    <w:p w14:paraId="68904599" w14:textId="77777777" w:rsidR="005312EB" w:rsidRPr="003B74E0" w:rsidRDefault="005312EB" w:rsidP="00284E3C">
      <w:pPr>
        <w:pStyle w:val="DSBodyTextIndent1"/>
      </w:pPr>
    </w:p>
    <w:p w14:paraId="21DE9A07" w14:textId="77777777" w:rsidR="00604BB3" w:rsidRPr="003B74E0" w:rsidRDefault="00604BB3" w:rsidP="00284E3C">
      <w:pPr>
        <w:pStyle w:val="DSBodyTextIndent1"/>
      </w:pPr>
    </w:p>
    <w:p w14:paraId="71075AE3" w14:textId="77777777" w:rsidR="00604BB3" w:rsidRPr="003B74E0" w:rsidRDefault="00604BB3" w:rsidP="00284E3C">
      <w:pPr>
        <w:pStyle w:val="DSBodyTextIndent1"/>
      </w:pPr>
      <w:r w:rsidRPr="003B74E0">
        <w:t>______________________</w:t>
      </w:r>
      <w:r w:rsidRPr="003B74E0">
        <w:tab/>
        <w:t>______________________</w:t>
      </w:r>
      <w:r w:rsidRPr="003B74E0">
        <w:tab/>
      </w:r>
    </w:p>
    <w:p w14:paraId="42369B9E" w14:textId="5DDD38B1" w:rsidR="00604BB3" w:rsidRPr="003B74E0" w:rsidRDefault="005D58E7" w:rsidP="00284E3C">
      <w:pPr>
        <w:pStyle w:val="DSBodyTextIndent1"/>
      </w:pPr>
      <w:r w:rsidRPr="003B74E0">
        <w:t>Viveka Marianne Ekberg</w:t>
      </w:r>
      <w:r w:rsidR="00604BB3" w:rsidRPr="003B74E0">
        <w:tab/>
      </w:r>
      <w:r w:rsidRPr="003B74E0">
        <w:t>Bengt Anders Lennart Thorsson</w:t>
      </w:r>
    </w:p>
    <w:p w14:paraId="43FCDEA1" w14:textId="77777777" w:rsidR="00604BB3" w:rsidRPr="003B74E0" w:rsidRDefault="00604BB3" w:rsidP="00284E3C">
      <w:pPr>
        <w:pStyle w:val="DSBodyTextIndent1"/>
      </w:pPr>
    </w:p>
    <w:p w14:paraId="56F5A559" w14:textId="77777777" w:rsidR="00604BB3" w:rsidRPr="003B74E0" w:rsidRDefault="00604BB3" w:rsidP="00284E3C">
      <w:pPr>
        <w:pStyle w:val="DSBodyTextIndent1"/>
      </w:pPr>
    </w:p>
    <w:p w14:paraId="15B17964" w14:textId="77777777" w:rsidR="005312EB" w:rsidRPr="003B74E0" w:rsidRDefault="005312EB" w:rsidP="00284E3C">
      <w:pPr>
        <w:pStyle w:val="DSBodyTextIndent1"/>
      </w:pPr>
    </w:p>
    <w:p w14:paraId="28D51F86" w14:textId="77777777" w:rsidR="00604BB3" w:rsidRPr="003B74E0" w:rsidRDefault="00604BB3" w:rsidP="00284E3C">
      <w:pPr>
        <w:pStyle w:val="DSBodyTextIndent1"/>
      </w:pPr>
      <w:r w:rsidRPr="003B74E0">
        <w:t>______________________</w:t>
      </w:r>
      <w:r w:rsidRPr="003B74E0">
        <w:tab/>
        <w:t>______________________</w:t>
      </w:r>
      <w:r w:rsidRPr="003B74E0">
        <w:tab/>
      </w:r>
    </w:p>
    <w:p w14:paraId="13272981" w14:textId="5334B32F" w:rsidR="00604BB3" w:rsidRPr="003B74E0" w:rsidRDefault="008E59F5" w:rsidP="00284E3C">
      <w:pPr>
        <w:pStyle w:val="DSBodyTextIndent1"/>
      </w:pPr>
      <w:r w:rsidRPr="003B74E0">
        <w:t>Gerner Raj Andersen</w:t>
      </w:r>
      <w:r w:rsidR="00F6113D" w:rsidRPr="003B74E0">
        <w:tab/>
      </w:r>
      <w:r w:rsidR="00604BB3" w:rsidRPr="003B74E0">
        <w:tab/>
      </w:r>
      <w:r w:rsidRPr="003B74E0">
        <w:t>Marcus Faber Kappendrup</w:t>
      </w:r>
      <w:r w:rsidR="00604BB3" w:rsidRPr="003B74E0">
        <w:tab/>
      </w:r>
    </w:p>
    <w:p w14:paraId="761149CF" w14:textId="77777777" w:rsidR="00604BB3" w:rsidRPr="003B74E0" w:rsidRDefault="00604BB3" w:rsidP="00284E3C">
      <w:pPr>
        <w:pStyle w:val="DSBodyTextIndent1"/>
      </w:pPr>
    </w:p>
    <w:p w14:paraId="4C7A67B9" w14:textId="77777777" w:rsidR="007030FE" w:rsidRPr="003B74E0" w:rsidRDefault="007030FE" w:rsidP="00284E3C">
      <w:pPr>
        <w:pStyle w:val="DSBodyTextIndent1"/>
      </w:pPr>
    </w:p>
    <w:p w14:paraId="38E94710" w14:textId="77777777" w:rsidR="005312EB" w:rsidRPr="003B74E0" w:rsidRDefault="005312EB" w:rsidP="00284E3C">
      <w:pPr>
        <w:pStyle w:val="DSBodyTextIndent1"/>
      </w:pPr>
    </w:p>
    <w:p w14:paraId="142D4FD9" w14:textId="77777777" w:rsidR="007030FE" w:rsidRPr="003B74E0" w:rsidRDefault="007030FE" w:rsidP="00284E3C">
      <w:pPr>
        <w:pStyle w:val="DSBodyTextIndent1"/>
      </w:pPr>
      <w:r w:rsidRPr="003B74E0">
        <w:t>______________________</w:t>
      </w:r>
      <w:r w:rsidRPr="003B74E0">
        <w:tab/>
        <w:t>______________________</w:t>
      </w:r>
      <w:r w:rsidRPr="003B74E0">
        <w:tab/>
      </w:r>
    </w:p>
    <w:p w14:paraId="300B67DE" w14:textId="461C5D93" w:rsidR="00251858" w:rsidRPr="003B74E0" w:rsidRDefault="008E59F5" w:rsidP="00284E3C">
      <w:pPr>
        <w:pStyle w:val="DSBodyTextIndent1"/>
      </w:pPr>
      <w:r w:rsidRPr="003B74E0">
        <w:t>Wannie Kristina Trolle Hansen</w:t>
      </w:r>
      <w:r w:rsidR="007030FE" w:rsidRPr="003B74E0">
        <w:tab/>
      </w:r>
      <w:r w:rsidR="00251858" w:rsidRPr="003B74E0">
        <w:t>Alexander Kjær Rasmussen</w:t>
      </w:r>
      <w:bookmarkStart w:id="22" w:name="_Toc194440305"/>
      <w:r w:rsidR="00251858" w:rsidRPr="003B74E0">
        <w:br w:type="page"/>
      </w:r>
    </w:p>
    <w:p w14:paraId="3B546B37" w14:textId="420AC872" w:rsidR="00C409D1" w:rsidRPr="003B74E0" w:rsidRDefault="00C409D1" w:rsidP="00A05058">
      <w:pPr>
        <w:pStyle w:val="Heading1"/>
        <w:jc w:val="both"/>
      </w:pPr>
      <w:bookmarkStart w:id="23" w:name="_Toc218590550"/>
      <w:r w:rsidRPr="003B74E0">
        <w:lastRenderedPageBreak/>
        <w:t>Basis for the statement</w:t>
      </w:r>
      <w:bookmarkEnd w:id="22"/>
      <w:bookmarkEnd w:id="23"/>
    </w:p>
    <w:p w14:paraId="30A20369" w14:textId="2F8FEB81" w:rsidR="00C409D1" w:rsidRPr="003B74E0" w:rsidRDefault="00C409D1" w:rsidP="00A05058">
      <w:pPr>
        <w:pStyle w:val="DSBodyTextIndent1"/>
        <w:jc w:val="both"/>
        <w:rPr>
          <w:b/>
          <w:bCs/>
        </w:rPr>
      </w:pPr>
      <w:r w:rsidRPr="003B74E0">
        <w:t xml:space="preserve">In preparing this Statement, the </w:t>
      </w:r>
      <w:r w:rsidR="00B86488" w:rsidRPr="003B74E0">
        <w:t>Board of Directors</w:t>
      </w:r>
      <w:r w:rsidRPr="003B74E0">
        <w:t xml:space="preserve"> ha</w:t>
      </w:r>
      <w:r w:rsidR="00AD3CB1" w:rsidRPr="003B74E0">
        <w:t>s</w:t>
      </w:r>
      <w:r w:rsidRPr="003B74E0">
        <w:t xml:space="preserve"> considered and taken into account in particular the following documents and information: </w:t>
      </w:r>
    </w:p>
    <w:p w14:paraId="5269923C" w14:textId="77777777" w:rsidR="00C409D1" w:rsidRPr="003B74E0" w:rsidRDefault="00C409D1" w:rsidP="00A05058">
      <w:pPr>
        <w:spacing w:after="160" w:line="259" w:lineRule="auto"/>
        <w:jc w:val="both"/>
      </w:pPr>
    </w:p>
    <w:p w14:paraId="4620D195" w14:textId="77777777" w:rsidR="00892441" w:rsidRPr="003B74E0" w:rsidRDefault="00892441" w:rsidP="00892441">
      <w:pPr>
        <w:pStyle w:val="DSNumberedListI"/>
        <w:jc w:val="both"/>
      </w:pPr>
      <w:r w:rsidRPr="003B74E0">
        <w:t>The Offer Document;</w:t>
      </w:r>
    </w:p>
    <w:p w14:paraId="74151B6A" w14:textId="77777777" w:rsidR="00892441" w:rsidRPr="003B74E0" w:rsidRDefault="00892441" w:rsidP="00892441">
      <w:pPr>
        <w:pStyle w:val="DSNumberedListI"/>
        <w:jc w:val="both"/>
      </w:pPr>
      <w:r w:rsidRPr="003B74E0">
        <w:t>The Announcement Agreement;</w:t>
      </w:r>
    </w:p>
    <w:p w14:paraId="68C9ACFD" w14:textId="519B6AB2" w:rsidR="00892441" w:rsidRPr="003B74E0" w:rsidRDefault="00892441" w:rsidP="00892441">
      <w:pPr>
        <w:pStyle w:val="DSNumberedListI"/>
        <w:jc w:val="both"/>
      </w:pPr>
      <w:r w:rsidRPr="003B74E0">
        <w:t>The Fairness Opinion;</w:t>
      </w:r>
    </w:p>
    <w:p w14:paraId="1BFE4CF0" w14:textId="62389627" w:rsidR="00892441" w:rsidRPr="003B74E0" w:rsidRDefault="00892441" w:rsidP="00892441">
      <w:pPr>
        <w:pStyle w:val="DSNumberedListI"/>
        <w:jc w:val="both"/>
      </w:pPr>
      <w:r w:rsidRPr="003B74E0">
        <w:t>The</w:t>
      </w:r>
      <w:r w:rsidR="0027219F">
        <w:t xml:space="preserve"> Company's</w:t>
      </w:r>
      <w:r w:rsidRPr="003B74E0">
        <w:t xml:space="preserve"> annual report for the financial year 1 January 2024 – 31 December 2024 (the </w:t>
      </w:r>
      <w:r w:rsidR="00A92BA1" w:rsidRPr="00A92BA1">
        <w:rPr>
          <w:b/>
          <w:bCs/>
        </w:rPr>
        <w:t>2024</w:t>
      </w:r>
      <w:r w:rsidR="00A92BA1">
        <w:rPr>
          <w:b/>
        </w:rPr>
        <w:t xml:space="preserve"> </w:t>
      </w:r>
      <w:r w:rsidRPr="003B74E0">
        <w:rPr>
          <w:b/>
        </w:rPr>
        <w:t>Annual Report</w:t>
      </w:r>
      <w:r w:rsidRPr="003B74E0">
        <w:t>);</w:t>
      </w:r>
    </w:p>
    <w:p w14:paraId="75A518B4" w14:textId="2AB604F0" w:rsidR="005F182A" w:rsidRDefault="00892441" w:rsidP="00892441">
      <w:pPr>
        <w:pStyle w:val="DSNumberedListI"/>
        <w:jc w:val="both"/>
      </w:pPr>
      <w:r w:rsidRPr="003B74E0">
        <w:t xml:space="preserve">The </w:t>
      </w:r>
      <w:r w:rsidR="0027219F">
        <w:t>Company's</w:t>
      </w:r>
      <w:r w:rsidRPr="003B74E0">
        <w:t xml:space="preserve"> 2025 Q</w:t>
      </w:r>
      <w:r w:rsidR="00184024" w:rsidRPr="003B74E0">
        <w:t>3 interim</w:t>
      </w:r>
      <w:r w:rsidRPr="003B74E0">
        <w:t xml:space="preserve"> report (the </w:t>
      </w:r>
      <w:r w:rsidRPr="003B74E0">
        <w:rPr>
          <w:b/>
          <w:bCs/>
        </w:rPr>
        <w:t>2025 Q</w:t>
      </w:r>
      <w:r w:rsidR="00184024" w:rsidRPr="003B74E0">
        <w:rPr>
          <w:b/>
          <w:bCs/>
        </w:rPr>
        <w:t>3</w:t>
      </w:r>
      <w:r w:rsidRPr="003B74E0">
        <w:rPr>
          <w:b/>
          <w:bCs/>
        </w:rPr>
        <w:t xml:space="preserve"> Report</w:t>
      </w:r>
      <w:r w:rsidRPr="003B74E0">
        <w:t>)</w:t>
      </w:r>
      <w:r w:rsidR="00184306">
        <w:t>;</w:t>
      </w:r>
    </w:p>
    <w:p w14:paraId="05DA63AA" w14:textId="001CB00F" w:rsidR="00892441" w:rsidRPr="003B74E0" w:rsidRDefault="005F182A" w:rsidP="00892441">
      <w:pPr>
        <w:pStyle w:val="DSNumberedListI"/>
        <w:jc w:val="both"/>
      </w:pPr>
      <w:r>
        <w:t xml:space="preserve">The Company's </w:t>
      </w:r>
      <w:r w:rsidR="00A0320D">
        <w:t xml:space="preserve">company </w:t>
      </w:r>
      <w:r>
        <w:t xml:space="preserve">announcement no. </w:t>
      </w:r>
      <w:r w:rsidR="00A0320D">
        <w:t>15/2025 (</w:t>
      </w:r>
      <w:r w:rsidR="00A0320D" w:rsidRPr="00A0320D">
        <w:rPr>
          <w:b/>
          <w:bCs/>
        </w:rPr>
        <w:t>Announcement 15/2025</w:t>
      </w:r>
      <w:r w:rsidR="00A0320D">
        <w:t>)</w:t>
      </w:r>
      <w:r w:rsidR="00892441" w:rsidRPr="003B74E0">
        <w:t>;</w:t>
      </w:r>
      <w:r w:rsidR="00D555DA">
        <w:t xml:space="preserve"> and</w:t>
      </w:r>
    </w:p>
    <w:p w14:paraId="546524F9" w14:textId="40B75C2F" w:rsidR="00846A09" w:rsidRPr="003B74E0" w:rsidRDefault="00892441" w:rsidP="00EE3553">
      <w:pPr>
        <w:pStyle w:val="DSNumberedListI"/>
        <w:jc w:val="both"/>
      </w:pPr>
      <w:r w:rsidRPr="003B74E0">
        <w:t xml:space="preserve">Advice rendered by </w:t>
      </w:r>
      <w:r w:rsidR="00676F72">
        <w:t xml:space="preserve">Krogerus, international legal adviser to the Company, and </w:t>
      </w:r>
      <w:r w:rsidRPr="003B74E0">
        <w:t xml:space="preserve">Kromann Reumert, Danish legal adviser to the </w:t>
      </w:r>
      <w:r w:rsidR="00F014E7">
        <w:t>Company</w:t>
      </w:r>
      <w:r w:rsidRPr="003B74E0">
        <w:t>.</w:t>
      </w:r>
    </w:p>
    <w:p w14:paraId="1FADB5CA" w14:textId="77777777" w:rsidR="00C409D1" w:rsidRPr="003B74E0" w:rsidRDefault="00C409D1" w:rsidP="00A05058">
      <w:pPr>
        <w:spacing w:after="160" w:line="259" w:lineRule="auto"/>
        <w:jc w:val="both"/>
      </w:pPr>
    </w:p>
    <w:p w14:paraId="6623DC66" w14:textId="77777777" w:rsidR="00C409D1" w:rsidRPr="003B74E0" w:rsidRDefault="00C409D1" w:rsidP="00A05058">
      <w:pPr>
        <w:spacing w:after="160" w:line="259" w:lineRule="auto"/>
        <w:jc w:val="both"/>
        <w:rPr>
          <w:b/>
        </w:rPr>
      </w:pPr>
      <w:r w:rsidRPr="003B74E0">
        <w:br w:type="page"/>
      </w:r>
    </w:p>
    <w:p w14:paraId="08CB22FA" w14:textId="0918D7E2" w:rsidR="00C409D1" w:rsidRPr="003B74E0" w:rsidRDefault="00C409D1" w:rsidP="00A05058">
      <w:pPr>
        <w:pStyle w:val="Heading1"/>
        <w:jc w:val="both"/>
        <w:rPr>
          <w:lang w:bidi="en-GB"/>
        </w:rPr>
      </w:pPr>
      <w:bookmarkStart w:id="24" w:name="_Toc194440306"/>
      <w:bookmarkStart w:id="25" w:name="_Toc218590551"/>
      <w:r w:rsidRPr="003B74E0">
        <w:rPr>
          <w:lang w:bidi="en-GB"/>
        </w:rPr>
        <w:lastRenderedPageBreak/>
        <w:t xml:space="preserve">the background for The </w:t>
      </w:r>
      <w:r w:rsidR="00B86488" w:rsidRPr="003B74E0">
        <w:t xml:space="preserve">Board of </w:t>
      </w:r>
      <w:r w:rsidR="00DC4944" w:rsidRPr="003B74E0">
        <w:t>Directors</w:t>
      </w:r>
      <w:r w:rsidR="006001DE" w:rsidRPr="003B74E0">
        <w:t>'</w:t>
      </w:r>
      <w:r w:rsidRPr="003B74E0">
        <w:t xml:space="preserve"> </w:t>
      </w:r>
      <w:r w:rsidRPr="003B74E0">
        <w:rPr>
          <w:lang w:bidi="en-GB"/>
        </w:rPr>
        <w:t>analysis of the Offer</w:t>
      </w:r>
      <w:bookmarkEnd w:id="24"/>
      <w:bookmarkEnd w:id="25"/>
    </w:p>
    <w:p w14:paraId="74099633" w14:textId="66344E03" w:rsidR="00C409D1" w:rsidRPr="003B74E0" w:rsidRDefault="006001DE" w:rsidP="00A05058">
      <w:pPr>
        <w:pStyle w:val="Heading2"/>
        <w:jc w:val="both"/>
      </w:pPr>
      <w:bookmarkStart w:id="26" w:name="_Toc132975977"/>
      <w:bookmarkStart w:id="27" w:name="_Toc194440307"/>
      <w:bookmarkStart w:id="28" w:name="_Toc218590552"/>
      <w:r w:rsidRPr="003B74E0">
        <w:rPr>
          <w:lang w:bidi="en-GB"/>
        </w:rPr>
        <w:t>The Company's</w:t>
      </w:r>
      <w:r w:rsidR="00C409D1" w:rsidRPr="003B74E0">
        <w:rPr>
          <w:lang w:bidi="en-GB"/>
        </w:rPr>
        <w:t xml:space="preserve"> </w:t>
      </w:r>
      <w:r w:rsidR="00BA4872" w:rsidRPr="003B74E0">
        <w:rPr>
          <w:lang w:bidi="en-GB"/>
        </w:rPr>
        <w:t>a</w:t>
      </w:r>
      <w:r w:rsidR="00C409D1" w:rsidRPr="003B74E0">
        <w:rPr>
          <w:lang w:bidi="en-GB"/>
        </w:rPr>
        <w:t>ctivities</w:t>
      </w:r>
      <w:bookmarkEnd w:id="26"/>
      <w:r w:rsidR="00C409D1" w:rsidRPr="003B74E0">
        <w:rPr>
          <w:lang w:bidi="en-GB"/>
        </w:rPr>
        <w:t xml:space="preserve"> and </w:t>
      </w:r>
      <w:r w:rsidR="00BA4872" w:rsidRPr="003B74E0">
        <w:rPr>
          <w:lang w:bidi="en-GB"/>
        </w:rPr>
        <w:t>s</w:t>
      </w:r>
      <w:r w:rsidR="00C409D1" w:rsidRPr="003B74E0">
        <w:rPr>
          <w:lang w:bidi="en-GB"/>
        </w:rPr>
        <w:t>trategy</w:t>
      </w:r>
      <w:bookmarkEnd w:id="27"/>
      <w:bookmarkEnd w:id="28"/>
    </w:p>
    <w:p w14:paraId="1204A355" w14:textId="56801724" w:rsidR="004A7653" w:rsidRDefault="004A7653" w:rsidP="004A7653">
      <w:pPr>
        <w:pStyle w:val="DSBodyTextIndent1"/>
        <w:jc w:val="both"/>
      </w:pPr>
      <w:bookmarkStart w:id="29" w:name="_Toc132975978"/>
      <w:r>
        <w:t>The Company</w:t>
      </w:r>
      <w:r w:rsidRPr="00EA6FAF">
        <w:t xml:space="preserve"> was founded in 1906 by the Danish engineer P.A. Fisker. Today the </w:t>
      </w:r>
      <w:r>
        <w:t>C</w:t>
      </w:r>
      <w:r w:rsidRPr="00EA6FAF">
        <w:t>ompany is a leading global provider of professional cleaning equipment and services. More than 90% of sales are to professionals while the remaining part of the business aimed at consumers covers floorcare equipment, vacuum cleaners, and high-pressure washers.</w:t>
      </w:r>
    </w:p>
    <w:p w14:paraId="5435AB19" w14:textId="77777777" w:rsidR="004A7653" w:rsidRPr="00EA6FAF" w:rsidRDefault="004A7653" w:rsidP="00EA6FAF">
      <w:pPr>
        <w:pStyle w:val="DSBodyTextIndent1"/>
        <w:jc w:val="both"/>
      </w:pPr>
    </w:p>
    <w:p w14:paraId="56FAA5A1" w14:textId="0CDA029E" w:rsidR="004A7653" w:rsidRPr="00EA6FAF" w:rsidRDefault="00CA1484" w:rsidP="00EA6FAF">
      <w:pPr>
        <w:pStyle w:val="DSBodyTextIndent1"/>
        <w:jc w:val="both"/>
      </w:pPr>
      <w:r>
        <w:t>The Company</w:t>
      </w:r>
      <w:r w:rsidR="004A7653" w:rsidRPr="00EA6FAF">
        <w:t xml:space="preserve">’s products and services are sold in more than 100 countries and produced at 6 manufacturing sites across the globe. The main production facilities are in the US, Mexico, Hungary, Italy, and China. A total of approximately 4,500 employees secured revenue of 1,027.9 </w:t>
      </w:r>
      <w:proofErr w:type="spellStart"/>
      <w:r w:rsidR="004A7653" w:rsidRPr="00EA6FAF">
        <w:t>mEUR</w:t>
      </w:r>
      <w:proofErr w:type="spellEnd"/>
      <w:r w:rsidR="004A7653" w:rsidRPr="00EA6FAF">
        <w:t xml:space="preserve"> in 2024. The largest single market is the US covering 28% of revenue in 2024, followed by Germany (14%), France (10%), Denmark (7%), and the UK (4%).</w:t>
      </w:r>
    </w:p>
    <w:p w14:paraId="76BAEFF3" w14:textId="32FCDDDB" w:rsidR="00C409D1" w:rsidRPr="003B74E0" w:rsidRDefault="007A4B4B" w:rsidP="00A05058">
      <w:pPr>
        <w:pStyle w:val="Heading2"/>
        <w:jc w:val="both"/>
      </w:pPr>
      <w:bookmarkStart w:id="30" w:name="_Toc193789802"/>
      <w:bookmarkStart w:id="31" w:name="_Toc194440308"/>
      <w:bookmarkStart w:id="32" w:name="_Toc218590553"/>
      <w:bookmarkStart w:id="33" w:name="_Toc132975980"/>
      <w:bookmarkEnd w:id="29"/>
      <w:r w:rsidRPr="003B74E0">
        <w:t>S</w:t>
      </w:r>
      <w:r w:rsidR="00C409D1" w:rsidRPr="003B74E0">
        <w:t xml:space="preserve">hare </w:t>
      </w:r>
      <w:r w:rsidR="00BA4872" w:rsidRPr="003B74E0">
        <w:t>c</w:t>
      </w:r>
      <w:r w:rsidR="00C409D1" w:rsidRPr="003B74E0">
        <w:t xml:space="preserve">apital and </w:t>
      </w:r>
      <w:r w:rsidR="00BA4872" w:rsidRPr="003B74E0">
        <w:t>o</w:t>
      </w:r>
      <w:r w:rsidR="00C409D1" w:rsidRPr="003B74E0">
        <w:t xml:space="preserve">wnership </w:t>
      </w:r>
      <w:r w:rsidR="00BA4872" w:rsidRPr="003B74E0">
        <w:t>s</w:t>
      </w:r>
      <w:r w:rsidR="00C409D1" w:rsidRPr="003B74E0">
        <w:t>tructure</w:t>
      </w:r>
      <w:bookmarkEnd w:id="30"/>
      <w:bookmarkEnd w:id="31"/>
      <w:bookmarkEnd w:id="32"/>
    </w:p>
    <w:p w14:paraId="76A230E9" w14:textId="3DF36F38" w:rsidR="00C409D1" w:rsidRPr="003B74E0" w:rsidRDefault="00C409D1" w:rsidP="00A05058">
      <w:pPr>
        <w:pStyle w:val="DSBodyTextIndent1"/>
        <w:jc w:val="both"/>
      </w:pPr>
      <w:r w:rsidRPr="003B74E0">
        <w:t xml:space="preserve">As of </w:t>
      </w:r>
      <w:bookmarkStart w:id="34" w:name="_9kR3WTr2664CHN3Ymv0tmnquwilH05KB2B"/>
      <w:bookmarkStart w:id="35" w:name="_9kR3WTr2664DLQ3Ymv0tmnquwilH05KB2B"/>
      <w:r w:rsidR="00DA0B34">
        <w:t>7 January 2026</w:t>
      </w:r>
      <w:r w:rsidRPr="003B74E0">
        <w:t xml:space="preserve">, </w:t>
      </w:r>
      <w:bookmarkEnd w:id="34"/>
      <w:bookmarkEnd w:id="35"/>
      <w:r w:rsidR="007A4B4B" w:rsidRPr="003B74E0">
        <w:t>the Company's</w:t>
      </w:r>
      <w:r w:rsidRPr="003B74E0">
        <w:t xml:space="preserve"> registered share capital is </w:t>
      </w:r>
      <w:r w:rsidR="003B0E0E" w:rsidRPr="003B74E0">
        <w:t xml:space="preserve">DKK </w:t>
      </w:r>
      <w:r w:rsidR="0005219F" w:rsidRPr="003B74E0">
        <w:t>542,527,380</w:t>
      </w:r>
      <w:r w:rsidRPr="003B74E0">
        <w:t xml:space="preserve"> divided into shares of a nominal value of DKK </w:t>
      </w:r>
      <w:r w:rsidR="0005219F" w:rsidRPr="003B74E0">
        <w:t>20</w:t>
      </w:r>
      <w:r w:rsidRPr="003B74E0">
        <w:t xml:space="preserve"> each, all issued in one class of shares. </w:t>
      </w:r>
      <w:r w:rsidR="00A42803" w:rsidRPr="003B74E0">
        <w:t>The Shares are traded on Nasdaq Copenhagen</w:t>
      </w:r>
      <w:r w:rsidR="001675FA" w:rsidRPr="003B74E0">
        <w:t>.</w:t>
      </w:r>
    </w:p>
    <w:p w14:paraId="483EE96D" w14:textId="77777777" w:rsidR="00C409D1" w:rsidRPr="003B74E0" w:rsidRDefault="00C409D1" w:rsidP="00A05058">
      <w:pPr>
        <w:pStyle w:val="DSBodyTextIndent1"/>
        <w:jc w:val="both"/>
      </w:pPr>
    </w:p>
    <w:p w14:paraId="38AD6956" w14:textId="72FC154D" w:rsidR="00C409D1" w:rsidRPr="003B74E0" w:rsidRDefault="00C409D1" w:rsidP="00A05058">
      <w:pPr>
        <w:pStyle w:val="DSBodyTextIndent1"/>
        <w:jc w:val="both"/>
      </w:pPr>
      <w:r w:rsidRPr="003B74E0">
        <w:t>As of the date of this Statement, the Company hold</w:t>
      </w:r>
      <w:r w:rsidR="00A27F99" w:rsidRPr="003B74E0">
        <w:t>s</w:t>
      </w:r>
      <w:r w:rsidRPr="003B74E0">
        <w:t xml:space="preserve"> </w:t>
      </w:r>
      <w:r w:rsidR="003829FA">
        <w:rPr>
          <w:szCs w:val="20"/>
        </w:rPr>
        <w:t>243</w:t>
      </w:r>
      <w:r w:rsidR="003829FA" w:rsidRPr="003B74E0">
        <w:t xml:space="preserve"> </w:t>
      </w:r>
      <w:r w:rsidRPr="003B74E0">
        <w:t>treasury shares</w:t>
      </w:r>
      <w:r w:rsidR="004B170B" w:rsidRPr="003B74E0">
        <w:t xml:space="preserve"> equal to approximately </w:t>
      </w:r>
      <w:r w:rsidR="00B822BB" w:rsidRPr="00B822BB">
        <w:t>0.</w:t>
      </w:r>
      <w:r w:rsidR="00B1466B" w:rsidRPr="00B822BB">
        <w:t>000</w:t>
      </w:r>
      <w:r w:rsidR="00B1466B">
        <w:t>9</w:t>
      </w:r>
      <w:r w:rsidR="004B170B" w:rsidRPr="003B74E0">
        <w:t>% of the share capital of the Company</w:t>
      </w:r>
      <w:r w:rsidRPr="003B74E0">
        <w:t>.</w:t>
      </w:r>
    </w:p>
    <w:p w14:paraId="22FBD31D" w14:textId="77777777" w:rsidR="00C409D1" w:rsidRPr="003B74E0" w:rsidRDefault="00C409D1" w:rsidP="00A05058">
      <w:pPr>
        <w:pStyle w:val="DSBodyTextIndent1"/>
        <w:jc w:val="both"/>
      </w:pPr>
    </w:p>
    <w:p w14:paraId="16D8A069" w14:textId="04387E7E" w:rsidR="00C409D1" w:rsidRPr="003B74E0" w:rsidRDefault="00CB33B7" w:rsidP="00A05058">
      <w:pPr>
        <w:pStyle w:val="DSBodyTextIndent1"/>
        <w:jc w:val="both"/>
      </w:pPr>
      <w:r w:rsidRPr="003B74E0">
        <w:t xml:space="preserve">As </w:t>
      </w:r>
      <w:r w:rsidR="00C409D1" w:rsidRPr="003B74E0">
        <w:t xml:space="preserve">of </w:t>
      </w:r>
      <w:r w:rsidRPr="003B74E0">
        <w:t>the date of this Statement</w:t>
      </w:r>
      <w:r w:rsidR="00C409D1" w:rsidRPr="003B74E0">
        <w:t xml:space="preserve">, the following Shareholders </w:t>
      </w:r>
      <w:r w:rsidRPr="003B74E0">
        <w:t>have notified the Company of their holdin</w:t>
      </w:r>
      <w:r w:rsidR="00A27F99" w:rsidRPr="003B74E0">
        <w:t>g</w:t>
      </w:r>
      <w:r w:rsidRPr="003B74E0">
        <w:t xml:space="preserve"> </w:t>
      </w:r>
      <w:r w:rsidR="005A3AE9" w:rsidRPr="003B74E0">
        <w:t>of</w:t>
      </w:r>
      <w:r w:rsidRPr="003B74E0">
        <w:t xml:space="preserve"> Shares </w:t>
      </w:r>
      <w:r w:rsidR="004418B5" w:rsidRPr="003B74E0">
        <w:t>of</w:t>
      </w:r>
      <w:r w:rsidR="00C409D1" w:rsidRPr="003B74E0">
        <w:t xml:space="preserve"> more than 5</w:t>
      </w:r>
      <w:r w:rsidR="009006B7" w:rsidRPr="003B74E0">
        <w:t>%</w:t>
      </w:r>
      <w:r w:rsidR="00C409D1" w:rsidRPr="003B74E0">
        <w:t xml:space="preserve"> of the share capital and voting rights of</w:t>
      </w:r>
      <w:r w:rsidR="00561B42" w:rsidRPr="003B74E0">
        <w:t xml:space="preserve"> </w:t>
      </w:r>
      <w:r w:rsidR="006E6CF2" w:rsidRPr="003B74E0">
        <w:t xml:space="preserve">Nilfisk </w:t>
      </w:r>
      <w:r w:rsidR="004418B5" w:rsidRPr="003B74E0">
        <w:t>as required by the Capital Markets Act</w:t>
      </w:r>
      <w:r w:rsidR="00C409D1" w:rsidRPr="003B74E0">
        <w:t xml:space="preserve">: </w:t>
      </w:r>
    </w:p>
    <w:p w14:paraId="4A5AAB2C" w14:textId="77777777" w:rsidR="00C409D1" w:rsidRPr="003B74E0" w:rsidRDefault="00C409D1" w:rsidP="00A05058">
      <w:pPr>
        <w:pStyle w:val="DSBodyTextIndent1"/>
        <w:jc w:val="both"/>
      </w:pPr>
    </w:p>
    <w:tbl>
      <w:tblPr>
        <w:tblStyle w:val="TableGrid"/>
        <w:tblW w:w="9013" w:type="dxa"/>
        <w:tblInd w:w="822" w:type="dxa"/>
        <w:tblLook w:val="04A0" w:firstRow="1" w:lastRow="0" w:firstColumn="1" w:lastColumn="0" w:noHBand="0" w:noVBand="1"/>
      </w:tblPr>
      <w:tblGrid>
        <w:gridCol w:w="3033"/>
        <w:gridCol w:w="3003"/>
        <w:gridCol w:w="2977"/>
      </w:tblGrid>
      <w:tr w:rsidR="009553BC" w:rsidRPr="003B74E0" w14:paraId="6F4D731F" w14:textId="4839097C" w:rsidTr="00D335F6">
        <w:trPr>
          <w:trHeight w:val="402"/>
        </w:trPr>
        <w:tc>
          <w:tcPr>
            <w:tcW w:w="3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E9026" w14:textId="77777777" w:rsidR="009553BC" w:rsidRPr="003B74E0" w:rsidRDefault="009553BC" w:rsidP="00F840F4">
            <w:pPr>
              <w:spacing w:after="160" w:line="259" w:lineRule="auto"/>
              <w:jc w:val="both"/>
              <w:rPr>
                <w:b/>
                <w:bCs/>
              </w:rPr>
            </w:pPr>
            <w:r w:rsidRPr="003B74E0">
              <w:rPr>
                <w:b/>
              </w:rPr>
              <w:t xml:space="preserve">Shareholder </w:t>
            </w:r>
          </w:p>
        </w:tc>
        <w:tc>
          <w:tcPr>
            <w:tcW w:w="3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3CB787" w14:textId="74519E95" w:rsidR="009553BC" w:rsidRPr="003B74E0" w:rsidRDefault="009553BC" w:rsidP="002C5F76">
            <w:pPr>
              <w:spacing w:after="160" w:line="259" w:lineRule="auto"/>
              <w:jc w:val="center"/>
              <w:rPr>
                <w:b/>
                <w:bCs/>
              </w:rPr>
            </w:pPr>
            <w:r w:rsidRPr="003B74E0">
              <w:rPr>
                <w:b/>
              </w:rPr>
              <w:t>Shareholding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5998F4" w14:textId="77777777" w:rsidR="009553BC" w:rsidRPr="003B74E0" w:rsidRDefault="009553BC" w:rsidP="002C5F76">
            <w:pPr>
              <w:spacing w:after="160" w:line="259" w:lineRule="auto"/>
              <w:jc w:val="center"/>
              <w:rPr>
                <w:b/>
                <w:bCs/>
              </w:rPr>
            </w:pPr>
            <w:r w:rsidRPr="003B74E0">
              <w:rPr>
                <w:b/>
              </w:rPr>
              <w:t>Voting rights (%)</w:t>
            </w:r>
          </w:p>
        </w:tc>
      </w:tr>
      <w:tr w:rsidR="009553BC" w:rsidRPr="003B74E0" w14:paraId="4F6E94D7" w14:textId="2A435BA5" w:rsidTr="00CD3736">
        <w:trPr>
          <w:trHeight w:val="621"/>
        </w:trPr>
        <w:tc>
          <w:tcPr>
            <w:tcW w:w="3033" w:type="dxa"/>
            <w:tcBorders>
              <w:top w:val="single" w:sz="4" w:space="0" w:color="auto"/>
              <w:left w:val="single" w:sz="4" w:space="0" w:color="auto"/>
              <w:bottom w:val="single" w:sz="4" w:space="0" w:color="auto"/>
              <w:right w:val="single" w:sz="4" w:space="0" w:color="auto"/>
            </w:tcBorders>
          </w:tcPr>
          <w:p w14:paraId="09466C18" w14:textId="3A2538C9" w:rsidR="009553BC" w:rsidRPr="003B74E0" w:rsidRDefault="005B7B6A" w:rsidP="00F840F4">
            <w:pPr>
              <w:spacing w:after="160" w:line="259" w:lineRule="auto"/>
              <w:jc w:val="both"/>
            </w:pPr>
            <w:r w:rsidRPr="003B74E0">
              <w:t>Ferd AS</w:t>
            </w:r>
          </w:p>
        </w:tc>
        <w:tc>
          <w:tcPr>
            <w:tcW w:w="3003" w:type="dxa"/>
            <w:tcBorders>
              <w:top w:val="single" w:sz="4" w:space="0" w:color="auto"/>
              <w:left w:val="single" w:sz="4" w:space="0" w:color="auto"/>
              <w:bottom w:val="single" w:sz="4" w:space="0" w:color="auto"/>
              <w:right w:val="single" w:sz="4" w:space="0" w:color="auto"/>
            </w:tcBorders>
            <w:hideMark/>
          </w:tcPr>
          <w:p w14:paraId="6DAD83B2" w14:textId="0F14E659" w:rsidR="009553BC" w:rsidRPr="003B74E0" w:rsidRDefault="005B7B6A" w:rsidP="002C5F76">
            <w:pPr>
              <w:spacing w:after="160" w:line="259" w:lineRule="auto"/>
              <w:jc w:val="center"/>
            </w:pPr>
            <w:r>
              <w:t>24.</w:t>
            </w:r>
            <w:r w:rsidR="00496722">
              <w:t>3</w:t>
            </w:r>
            <w:r w:rsidRPr="003B74E0">
              <w:t>%</w:t>
            </w:r>
          </w:p>
        </w:tc>
        <w:tc>
          <w:tcPr>
            <w:tcW w:w="2977" w:type="dxa"/>
            <w:tcBorders>
              <w:top w:val="single" w:sz="4" w:space="0" w:color="auto"/>
              <w:left w:val="single" w:sz="4" w:space="0" w:color="auto"/>
              <w:bottom w:val="single" w:sz="4" w:space="0" w:color="auto"/>
              <w:right w:val="single" w:sz="4" w:space="0" w:color="auto"/>
            </w:tcBorders>
            <w:hideMark/>
          </w:tcPr>
          <w:p w14:paraId="34A23F99" w14:textId="30E1ADE8" w:rsidR="009553BC" w:rsidRPr="003B74E0" w:rsidRDefault="005B7B6A" w:rsidP="002C5F76">
            <w:pPr>
              <w:spacing w:after="160" w:line="259" w:lineRule="auto"/>
              <w:jc w:val="center"/>
            </w:pPr>
            <w:r>
              <w:t>24.</w:t>
            </w:r>
            <w:r w:rsidR="00496722">
              <w:t>3</w:t>
            </w:r>
            <w:r w:rsidRPr="003B74E0">
              <w:t>%</w:t>
            </w:r>
          </w:p>
        </w:tc>
      </w:tr>
      <w:tr w:rsidR="005B7B6A" w:rsidRPr="003B74E0" w14:paraId="36E39325" w14:textId="77777777" w:rsidTr="00CD3736">
        <w:trPr>
          <w:trHeight w:val="621"/>
        </w:trPr>
        <w:tc>
          <w:tcPr>
            <w:tcW w:w="3033" w:type="dxa"/>
            <w:tcBorders>
              <w:top w:val="single" w:sz="4" w:space="0" w:color="auto"/>
              <w:left w:val="single" w:sz="4" w:space="0" w:color="auto"/>
              <w:bottom w:val="single" w:sz="4" w:space="0" w:color="auto"/>
              <w:right w:val="single" w:sz="4" w:space="0" w:color="auto"/>
            </w:tcBorders>
          </w:tcPr>
          <w:p w14:paraId="1EAF5BDC" w14:textId="54F315AE" w:rsidR="005B7B6A" w:rsidRPr="003B74E0" w:rsidRDefault="005B7B6A" w:rsidP="005B7B6A">
            <w:pPr>
              <w:spacing w:after="160" w:line="259" w:lineRule="auto"/>
              <w:jc w:val="both"/>
            </w:pPr>
            <w:proofErr w:type="spellStart"/>
            <w:r w:rsidRPr="003B74E0">
              <w:t>KIRKBI</w:t>
            </w:r>
            <w:proofErr w:type="spellEnd"/>
            <w:r w:rsidRPr="003B74E0">
              <w:t xml:space="preserve"> Invest A/S</w:t>
            </w:r>
          </w:p>
        </w:tc>
        <w:tc>
          <w:tcPr>
            <w:tcW w:w="3003" w:type="dxa"/>
            <w:tcBorders>
              <w:top w:val="single" w:sz="4" w:space="0" w:color="auto"/>
              <w:left w:val="single" w:sz="4" w:space="0" w:color="auto"/>
              <w:bottom w:val="single" w:sz="4" w:space="0" w:color="auto"/>
              <w:right w:val="single" w:sz="4" w:space="0" w:color="auto"/>
            </w:tcBorders>
          </w:tcPr>
          <w:p w14:paraId="4863D034" w14:textId="313EC596" w:rsidR="005B7B6A" w:rsidRDefault="005B7B6A" w:rsidP="005B7B6A">
            <w:pPr>
              <w:spacing w:after="160" w:line="259" w:lineRule="auto"/>
              <w:jc w:val="center"/>
            </w:pPr>
            <w:r>
              <w:t>20.</w:t>
            </w:r>
            <w:r w:rsidR="00496722">
              <w:t>3</w:t>
            </w:r>
            <w:r w:rsidRPr="003B74E0">
              <w:t>%</w:t>
            </w:r>
          </w:p>
        </w:tc>
        <w:tc>
          <w:tcPr>
            <w:tcW w:w="2977" w:type="dxa"/>
            <w:tcBorders>
              <w:top w:val="single" w:sz="4" w:space="0" w:color="auto"/>
              <w:left w:val="single" w:sz="4" w:space="0" w:color="auto"/>
              <w:bottom w:val="single" w:sz="4" w:space="0" w:color="auto"/>
              <w:right w:val="single" w:sz="4" w:space="0" w:color="auto"/>
            </w:tcBorders>
          </w:tcPr>
          <w:p w14:paraId="38372718" w14:textId="1D3A57C1" w:rsidR="005B7B6A" w:rsidRDefault="005B7B6A" w:rsidP="005B7B6A">
            <w:pPr>
              <w:spacing w:after="160" w:line="259" w:lineRule="auto"/>
              <w:jc w:val="center"/>
            </w:pPr>
            <w:r>
              <w:t>20.</w:t>
            </w:r>
            <w:r w:rsidR="00496722">
              <w:t>3</w:t>
            </w:r>
            <w:r w:rsidRPr="003B74E0">
              <w:t>%</w:t>
            </w:r>
          </w:p>
        </w:tc>
      </w:tr>
      <w:tr w:rsidR="00083A05" w:rsidRPr="003B74E0" w14:paraId="1F3C4488" w14:textId="77777777" w:rsidTr="00D335F6">
        <w:trPr>
          <w:trHeight w:val="621"/>
        </w:trPr>
        <w:tc>
          <w:tcPr>
            <w:tcW w:w="3033" w:type="dxa"/>
            <w:tcBorders>
              <w:top w:val="single" w:sz="4" w:space="0" w:color="auto"/>
              <w:left w:val="single" w:sz="4" w:space="0" w:color="auto"/>
              <w:bottom w:val="single" w:sz="4" w:space="0" w:color="auto"/>
              <w:right w:val="single" w:sz="4" w:space="0" w:color="auto"/>
            </w:tcBorders>
          </w:tcPr>
          <w:p w14:paraId="351200EA" w14:textId="0A5DA1C0" w:rsidR="00083A05" w:rsidRPr="003B74E0" w:rsidRDefault="00F7479C" w:rsidP="00014A79">
            <w:pPr>
              <w:spacing w:after="160" w:line="259" w:lineRule="auto"/>
              <w:jc w:val="both"/>
            </w:pPr>
            <w:proofErr w:type="spellStart"/>
            <w:r w:rsidRPr="00F7479C">
              <w:t>PrimeStone</w:t>
            </w:r>
            <w:proofErr w:type="spellEnd"/>
            <w:r w:rsidRPr="00F7479C">
              <w:t xml:space="preserve"> Capital LLP</w:t>
            </w:r>
            <w:r w:rsidR="00014A79">
              <w:t xml:space="preserve"> </w:t>
            </w:r>
            <w:r>
              <w:t>(</w:t>
            </w:r>
            <w:proofErr w:type="spellStart"/>
            <w:r w:rsidR="00014A79" w:rsidRPr="00D92B75">
              <w:t>Prime</w:t>
            </w:r>
            <w:r w:rsidR="00014A79">
              <w:t>S</w:t>
            </w:r>
            <w:r w:rsidR="00014A79" w:rsidRPr="00D92B75">
              <w:t>tone</w:t>
            </w:r>
            <w:proofErr w:type="spellEnd"/>
            <w:r w:rsidR="00014A79" w:rsidRPr="00D92B75">
              <w:t xml:space="preserve"> Capital Irish </w:t>
            </w:r>
            <w:proofErr w:type="spellStart"/>
            <w:r w:rsidR="00014A79" w:rsidRPr="00D92B75">
              <w:t>Hold</w:t>
            </w:r>
            <w:r w:rsidR="00014A79">
              <w:t>C</w:t>
            </w:r>
            <w:r w:rsidR="00014A79" w:rsidRPr="00D92B75">
              <w:t>o</w:t>
            </w:r>
            <w:proofErr w:type="spellEnd"/>
            <w:r w:rsidR="00014A79" w:rsidRPr="00D92B75">
              <w:t xml:space="preserve"> Designated Activity Company</w:t>
            </w:r>
            <w:r w:rsidR="00014A79">
              <w:t>)</w:t>
            </w:r>
          </w:p>
        </w:tc>
        <w:tc>
          <w:tcPr>
            <w:tcW w:w="3003" w:type="dxa"/>
            <w:tcBorders>
              <w:top w:val="single" w:sz="4" w:space="0" w:color="auto"/>
              <w:left w:val="single" w:sz="4" w:space="0" w:color="auto"/>
              <w:bottom w:val="single" w:sz="4" w:space="0" w:color="auto"/>
              <w:right w:val="single" w:sz="4" w:space="0" w:color="auto"/>
            </w:tcBorders>
          </w:tcPr>
          <w:p w14:paraId="0EB9E3CF" w14:textId="199FAE15" w:rsidR="00083A05" w:rsidRPr="003B74E0" w:rsidRDefault="004C5090" w:rsidP="00083A05">
            <w:pPr>
              <w:spacing w:after="160" w:line="259" w:lineRule="auto"/>
              <w:jc w:val="center"/>
            </w:pPr>
            <w:r w:rsidRPr="004C5090">
              <w:t>6.</w:t>
            </w:r>
            <w:r w:rsidR="005B7B6A" w:rsidRPr="004C5090">
              <w:t>0</w:t>
            </w:r>
            <w:r w:rsidR="005B7B6A" w:rsidRPr="003B74E0">
              <w:t>%</w:t>
            </w:r>
          </w:p>
        </w:tc>
        <w:tc>
          <w:tcPr>
            <w:tcW w:w="2977" w:type="dxa"/>
            <w:tcBorders>
              <w:top w:val="single" w:sz="4" w:space="0" w:color="auto"/>
              <w:left w:val="single" w:sz="4" w:space="0" w:color="auto"/>
              <w:bottom w:val="single" w:sz="4" w:space="0" w:color="auto"/>
              <w:right w:val="single" w:sz="4" w:space="0" w:color="auto"/>
            </w:tcBorders>
          </w:tcPr>
          <w:p w14:paraId="0C6524AA" w14:textId="62455A22" w:rsidR="00083A05" w:rsidRPr="003B74E0" w:rsidRDefault="004C5090" w:rsidP="00083A05">
            <w:pPr>
              <w:spacing w:after="160" w:line="259" w:lineRule="auto"/>
              <w:jc w:val="center"/>
            </w:pPr>
            <w:r w:rsidRPr="004C5090">
              <w:t>6.</w:t>
            </w:r>
            <w:r w:rsidR="005B7B6A" w:rsidRPr="004C5090">
              <w:t>0</w:t>
            </w:r>
            <w:r w:rsidR="005B7B6A" w:rsidRPr="003B74E0">
              <w:t>%</w:t>
            </w:r>
          </w:p>
        </w:tc>
      </w:tr>
      <w:tr w:rsidR="00083A05" w:rsidRPr="003B74E0" w14:paraId="5204F9AC" w14:textId="77777777" w:rsidTr="00D335F6">
        <w:trPr>
          <w:trHeight w:val="621"/>
        </w:trPr>
        <w:tc>
          <w:tcPr>
            <w:tcW w:w="3033" w:type="dxa"/>
            <w:tcBorders>
              <w:top w:val="single" w:sz="4" w:space="0" w:color="auto"/>
              <w:left w:val="single" w:sz="4" w:space="0" w:color="auto"/>
              <w:bottom w:val="single" w:sz="4" w:space="0" w:color="auto"/>
              <w:right w:val="single" w:sz="4" w:space="0" w:color="auto"/>
            </w:tcBorders>
          </w:tcPr>
          <w:p w14:paraId="71C0EF0E" w14:textId="7BD13694" w:rsidR="00083A05" w:rsidRPr="003B74E0" w:rsidRDefault="00083A05" w:rsidP="00083A05">
            <w:pPr>
              <w:spacing w:after="160" w:line="259" w:lineRule="auto"/>
            </w:pPr>
            <w:proofErr w:type="spellStart"/>
            <w:r w:rsidRPr="003B74E0">
              <w:t>Boldhaven</w:t>
            </w:r>
            <w:proofErr w:type="spellEnd"/>
            <w:r w:rsidRPr="003B74E0">
              <w:t xml:space="preserve"> Management LLP</w:t>
            </w:r>
          </w:p>
        </w:tc>
        <w:tc>
          <w:tcPr>
            <w:tcW w:w="3003" w:type="dxa"/>
            <w:tcBorders>
              <w:top w:val="single" w:sz="4" w:space="0" w:color="auto"/>
              <w:left w:val="single" w:sz="4" w:space="0" w:color="auto"/>
              <w:bottom w:val="single" w:sz="4" w:space="0" w:color="auto"/>
              <w:right w:val="single" w:sz="4" w:space="0" w:color="auto"/>
            </w:tcBorders>
          </w:tcPr>
          <w:p w14:paraId="119FDF7B" w14:textId="32548328" w:rsidR="00083A05" w:rsidRPr="003B74E0" w:rsidRDefault="00D67861" w:rsidP="00083A05">
            <w:pPr>
              <w:spacing w:after="160" w:line="259" w:lineRule="auto"/>
              <w:jc w:val="center"/>
            </w:pPr>
            <w:r w:rsidRPr="00D67861">
              <w:t>5.07</w:t>
            </w:r>
            <w:r w:rsidR="00083A05" w:rsidRPr="003B74E0">
              <w:t>%</w:t>
            </w:r>
          </w:p>
        </w:tc>
        <w:tc>
          <w:tcPr>
            <w:tcW w:w="2977" w:type="dxa"/>
            <w:tcBorders>
              <w:top w:val="single" w:sz="4" w:space="0" w:color="auto"/>
              <w:left w:val="single" w:sz="4" w:space="0" w:color="auto"/>
              <w:bottom w:val="single" w:sz="4" w:space="0" w:color="auto"/>
              <w:right w:val="single" w:sz="4" w:space="0" w:color="auto"/>
            </w:tcBorders>
          </w:tcPr>
          <w:p w14:paraId="3D4D1AAB" w14:textId="2CD5086C" w:rsidR="00083A05" w:rsidRPr="003B74E0" w:rsidRDefault="00D67861" w:rsidP="00083A05">
            <w:pPr>
              <w:spacing w:after="160" w:line="259" w:lineRule="auto"/>
              <w:jc w:val="center"/>
            </w:pPr>
            <w:r w:rsidRPr="00D67861">
              <w:t>5.07</w:t>
            </w:r>
            <w:r w:rsidR="00083A05" w:rsidRPr="003B74E0">
              <w:t>%</w:t>
            </w:r>
          </w:p>
        </w:tc>
      </w:tr>
    </w:tbl>
    <w:p w14:paraId="72FEEC40" w14:textId="77777777" w:rsidR="00C409D1" w:rsidRPr="003B74E0" w:rsidRDefault="00C409D1" w:rsidP="00A05058">
      <w:pPr>
        <w:spacing w:after="160" w:line="259" w:lineRule="auto"/>
        <w:jc w:val="both"/>
      </w:pPr>
    </w:p>
    <w:p w14:paraId="5E3A653B" w14:textId="69F6DD0C" w:rsidR="00C409D1" w:rsidRPr="003B74E0" w:rsidRDefault="009006B7" w:rsidP="00A05058">
      <w:pPr>
        <w:pStyle w:val="DSBodyTextIndent1"/>
        <w:jc w:val="both"/>
      </w:pPr>
      <w:r w:rsidRPr="003B74E0">
        <w:t xml:space="preserve">No other Shareholder had </w:t>
      </w:r>
      <w:r w:rsidR="00B36048" w:rsidRPr="003B74E0">
        <w:t>as of the date of this Statement</w:t>
      </w:r>
      <w:r w:rsidR="00B36048" w:rsidRPr="003B74E0" w:rsidDel="00B36048">
        <w:t xml:space="preserve"> </w:t>
      </w:r>
      <w:r w:rsidRPr="003B74E0">
        <w:t>informed the Company that it holds 5% or more of the share capital and/or voting rights in the Company.</w:t>
      </w:r>
    </w:p>
    <w:p w14:paraId="014A7F93" w14:textId="77777777" w:rsidR="00C409D1" w:rsidRPr="003B74E0" w:rsidRDefault="00C409D1" w:rsidP="00A05058">
      <w:pPr>
        <w:pStyle w:val="Heading2"/>
        <w:jc w:val="both"/>
      </w:pPr>
      <w:bookmarkStart w:id="36" w:name="_Toc194440309"/>
      <w:bookmarkStart w:id="37" w:name="_Toc218590554"/>
      <w:r w:rsidRPr="003B74E0">
        <w:lastRenderedPageBreak/>
        <w:t>Financial Information</w:t>
      </w:r>
      <w:bookmarkEnd w:id="33"/>
      <w:bookmarkEnd w:id="36"/>
      <w:bookmarkEnd w:id="37"/>
    </w:p>
    <w:p w14:paraId="220CD68A" w14:textId="32836F82" w:rsidR="00C409D1" w:rsidRPr="003B74E0" w:rsidRDefault="00A92BA1" w:rsidP="00A05058">
      <w:pPr>
        <w:pStyle w:val="Heading3"/>
        <w:jc w:val="both"/>
      </w:pPr>
      <w:bookmarkStart w:id="38" w:name="_Toc132975981"/>
      <w:bookmarkStart w:id="39" w:name="_Toc194440310"/>
      <w:bookmarkStart w:id="40" w:name="_Toc218590555"/>
      <w:r>
        <w:t xml:space="preserve">2024 </w:t>
      </w:r>
      <w:r w:rsidR="00C409D1" w:rsidRPr="003B74E0">
        <w:t>Annual Report</w:t>
      </w:r>
      <w:bookmarkEnd w:id="38"/>
      <w:bookmarkEnd w:id="39"/>
      <w:bookmarkEnd w:id="40"/>
    </w:p>
    <w:p w14:paraId="64F4C7BC" w14:textId="3FF9BD55" w:rsidR="00C409D1" w:rsidRPr="003B74E0" w:rsidRDefault="00C409D1" w:rsidP="00A05058">
      <w:pPr>
        <w:pStyle w:val="DSBodyTextIndent1"/>
        <w:jc w:val="both"/>
      </w:pPr>
      <w:r w:rsidRPr="003B74E0">
        <w:t xml:space="preserve">The Company released the </w:t>
      </w:r>
      <w:r w:rsidR="00A92BA1">
        <w:t xml:space="preserve">2024 </w:t>
      </w:r>
      <w:r w:rsidRPr="003B74E0">
        <w:t xml:space="preserve">Annual Report on </w:t>
      </w:r>
      <w:r w:rsidR="00110397" w:rsidRPr="003B74E0">
        <w:t>20 February</w:t>
      </w:r>
      <w:r w:rsidRPr="003B74E0">
        <w:t xml:space="preserve"> 2025.</w:t>
      </w:r>
      <w:r w:rsidRPr="003B74E0">
        <w:rPr>
          <w:vertAlign w:val="superscript"/>
        </w:rPr>
        <w:footnoteReference w:id="1"/>
      </w:r>
      <w:r w:rsidR="00937764" w:rsidRPr="003B74E0">
        <w:t xml:space="preserve"> </w:t>
      </w:r>
      <w:r w:rsidR="00AE5077" w:rsidRPr="003B74E0">
        <w:t>T</w:t>
      </w:r>
      <w:r w:rsidR="00937764" w:rsidRPr="003B74E0">
        <w:t xml:space="preserve">he highlights of the </w:t>
      </w:r>
      <w:r w:rsidR="00A92BA1">
        <w:t xml:space="preserve">2024 </w:t>
      </w:r>
      <w:r w:rsidR="009E23DD">
        <w:t>Annual Report</w:t>
      </w:r>
      <w:r w:rsidR="00AE5077" w:rsidRPr="003B74E0">
        <w:t xml:space="preserve"> are</w:t>
      </w:r>
      <w:r w:rsidR="00081AA4">
        <w:t xml:space="preserve"> the following</w:t>
      </w:r>
      <w:r w:rsidR="00937764" w:rsidRPr="003B74E0">
        <w:t>:</w:t>
      </w:r>
    </w:p>
    <w:p w14:paraId="06B3505C" w14:textId="77777777" w:rsidR="00AE5077" w:rsidRPr="003B74E0" w:rsidRDefault="00AE5077" w:rsidP="00A05058">
      <w:pPr>
        <w:pStyle w:val="DSBodyTextIndent1"/>
        <w:jc w:val="both"/>
      </w:pPr>
    </w:p>
    <w:p w14:paraId="0DA70EB5" w14:textId="1D956B0D" w:rsidR="00C23DF2" w:rsidRPr="003B74E0" w:rsidRDefault="00C23DF2" w:rsidP="0053691E">
      <w:pPr>
        <w:pStyle w:val="ListBullet2"/>
      </w:pPr>
      <w:bookmarkStart w:id="41" w:name="_Toc132975983"/>
      <w:r w:rsidRPr="003B74E0">
        <w:t xml:space="preserve">Revenue amounted to 1,027.9 </w:t>
      </w:r>
      <w:proofErr w:type="spellStart"/>
      <w:r w:rsidRPr="003B74E0">
        <w:t>mEUR</w:t>
      </w:r>
      <w:proofErr w:type="spellEnd"/>
      <w:r w:rsidRPr="003B74E0">
        <w:t>, corresponding to reported growth of -0.6% compared to 2023. Organic growth was 1.2%, driven by positive organic growth in the Service, Consumer, and Specialty Businesses. This was partially offset by negative organic growth of 0.9% in the Professional Business.</w:t>
      </w:r>
    </w:p>
    <w:p w14:paraId="5CEBE39C" w14:textId="5BB82CA2" w:rsidR="00C23DF2" w:rsidRPr="003B74E0" w:rsidRDefault="00C23DF2" w:rsidP="0053691E">
      <w:pPr>
        <w:pStyle w:val="ListBullet2"/>
      </w:pPr>
      <w:r w:rsidRPr="003B74E0">
        <w:t xml:space="preserve">By region, EMEA delivered strong organic growth of 5.9% from 2023. This was driven by broad-based growth across all segments and was supported by new products launched in the second half of 2024. </w:t>
      </w:r>
    </w:p>
    <w:p w14:paraId="6087B7CE" w14:textId="389A2B88" w:rsidR="00C23DF2" w:rsidRPr="003B74E0" w:rsidRDefault="00C23DF2" w:rsidP="0053691E">
      <w:pPr>
        <w:pStyle w:val="ListBullet2"/>
      </w:pPr>
      <w:r w:rsidRPr="003B74E0">
        <w:t xml:space="preserve">A demand slowdown in the US and hurricane damages to the US high-pressure washer business both negatively impacted performance in the Americas, resulting in negative organic growth of 4.3%. Performance was below expectations and management has identified key improvement areas to implement in 2025. </w:t>
      </w:r>
    </w:p>
    <w:p w14:paraId="51A33566" w14:textId="107AE46D" w:rsidR="00C23DF2" w:rsidRPr="003B74E0" w:rsidRDefault="00C23DF2" w:rsidP="0053691E">
      <w:pPr>
        <w:pStyle w:val="ListBullet2"/>
      </w:pPr>
      <w:r w:rsidRPr="003B74E0">
        <w:t xml:space="preserve">APAC continued to see weak demand throughout 2024 in several key markets. As a result, the region delivered negative organic growth of 8.0%. </w:t>
      </w:r>
    </w:p>
    <w:p w14:paraId="7D44628B" w14:textId="5C3DEAAC" w:rsidR="00C23DF2" w:rsidRPr="003B74E0" w:rsidRDefault="00C23DF2" w:rsidP="0053691E">
      <w:pPr>
        <w:pStyle w:val="ListBullet2"/>
      </w:pPr>
      <w:r w:rsidRPr="003B74E0">
        <w:t>The gross margin increased to 42.2%, 1.3 percentage points higher than 2023 and the highest level since 2017. This marked the second consecutive year of gross margin expansion, driven by efficiency measures across factories and a favo</w:t>
      </w:r>
      <w:r w:rsidR="00827461">
        <w:t>u</w:t>
      </w:r>
      <w:r w:rsidRPr="003B74E0">
        <w:t>rable product mix, combined with diligent price and discount management.</w:t>
      </w:r>
    </w:p>
    <w:p w14:paraId="43855C31" w14:textId="37CDEB6B" w:rsidR="00C23DF2" w:rsidRPr="003B74E0" w:rsidRDefault="00C23DF2" w:rsidP="0053691E">
      <w:pPr>
        <w:pStyle w:val="ListBullet2"/>
      </w:pPr>
      <w:r w:rsidRPr="003B74E0">
        <w:t>The overhead cost ratio increased slightly from 34.0% in 2023 to 35.2% in 2024. This was primarily the result of investments in product launches, including sales and marketing activities. Merit increases and inflationary pressure on general expenditures also contributed to higher overhead costs.</w:t>
      </w:r>
    </w:p>
    <w:p w14:paraId="6E2E9AA4" w14:textId="7CED2DC9" w:rsidR="00C23DF2" w:rsidRPr="003B74E0" w:rsidRDefault="00C23DF2" w:rsidP="0053691E">
      <w:pPr>
        <w:pStyle w:val="ListBullet2"/>
      </w:pPr>
      <w:r w:rsidRPr="003B74E0">
        <w:t xml:space="preserve">As a result, EBITDA before special items increased to 135.8 </w:t>
      </w:r>
      <w:proofErr w:type="spellStart"/>
      <w:r w:rsidRPr="003B74E0">
        <w:t>mEUR</w:t>
      </w:r>
      <w:proofErr w:type="spellEnd"/>
      <w:r w:rsidRPr="003B74E0">
        <w:t xml:space="preserve">, equal to a margin of 13.2%. This was a 0.4 percentage point or 3.4 </w:t>
      </w:r>
      <w:proofErr w:type="spellStart"/>
      <w:r w:rsidRPr="003B74E0">
        <w:t>mEUR</w:t>
      </w:r>
      <w:proofErr w:type="spellEnd"/>
      <w:r w:rsidRPr="003B74E0">
        <w:t xml:space="preserve"> increase and was mainly driven by strong gross margin management that fully offset a slight increase in overhead costs.</w:t>
      </w:r>
    </w:p>
    <w:p w14:paraId="0CEF736D" w14:textId="236BFE37" w:rsidR="00C23DF2" w:rsidRPr="003B74E0" w:rsidRDefault="00C23DF2" w:rsidP="0053691E">
      <w:pPr>
        <w:pStyle w:val="ListBullet2"/>
      </w:pPr>
      <w:r w:rsidRPr="003B74E0">
        <w:t xml:space="preserve">Special items, net, amounted to 6.4 </w:t>
      </w:r>
      <w:proofErr w:type="spellStart"/>
      <w:r w:rsidRPr="003B74E0">
        <w:t>mEUR</w:t>
      </w:r>
      <w:proofErr w:type="spellEnd"/>
      <w:r w:rsidRPr="003B74E0">
        <w:t xml:space="preserve">, compared to 9.9 </w:t>
      </w:r>
      <w:proofErr w:type="spellStart"/>
      <w:r w:rsidRPr="003B74E0">
        <w:t>mEUR</w:t>
      </w:r>
      <w:proofErr w:type="spellEnd"/>
      <w:r w:rsidRPr="003B74E0">
        <w:t xml:space="preserve"> in 2023. Special items were mainly advisory costs incurred for strategic improvement projects, including the consolidation of the US high-pressure washer business. </w:t>
      </w:r>
    </w:p>
    <w:p w14:paraId="592BDB29" w14:textId="6F0EBA50" w:rsidR="00C23DF2" w:rsidRPr="003B74E0" w:rsidRDefault="00C23DF2" w:rsidP="0053691E">
      <w:pPr>
        <w:pStyle w:val="ListBullet2"/>
      </w:pPr>
      <w:r w:rsidRPr="003B74E0">
        <w:t xml:space="preserve">Free cash flow was 7.7 </w:t>
      </w:r>
      <w:proofErr w:type="spellStart"/>
      <w:r w:rsidRPr="003B74E0">
        <w:t>mEUR</w:t>
      </w:r>
      <w:proofErr w:type="spellEnd"/>
      <w:r w:rsidRPr="003B74E0">
        <w:t xml:space="preserve"> in 2024, compared to 115.2 </w:t>
      </w:r>
      <w:proofErr w:type="spellStart"/>
      <w:r w:rsidRPr="003B74E0">
        <w:t>mEUR</w:t>
      </w:r>
      <w:proofErr w:type="spellEnd"/>
      <w:r w:rsidRPr="003B74E0">
        <w:t xml:space="preserve"> in 2023. Cash flow from operating activities was adversely affected by changes in working capital, this was driven by higher inventory associated with new product launches that are ongoing. Alongside, increased investments into research and development and digitali</w:t>
      </w:r>
      <w:r w:rsidR="00827461">
        <w:t>s</w:t>
      </w:r>
      <w:r w:rsidRPr="003B74E0">
        <w:t>ation.</w:t>
      </w:r>
    </w:p>
    <w:p w14:paraId="74873739" w14:textId="32139D10" w:rsidR="005377E7" w:rsidRPr="003B74E0" w:rsidRDefault="00C23DF2" w:rsidP="0053691E">
      <w:pPr>
        <w:pStyle w:val="ListBullet2"/>
      </w:pPr>
      <w:r w:rsidRPr="003B74E0">
        <w:t xml:space="preserve">Net interest-bearing debt increased to 270.1 </w:t>
      </w:r>
      <w:proofErr w:type="spellStart"/>
      <w:r w:rsidRPr="003B74E0">
        <w:t>mEUR</w:t>
      </w:r>
      <w:proofErr w:type="spellEnd"/>
      <w:r w:rsidRPr="003B74E0">
        <w:t xml:space="preserve"> from 252.2 </w:t>
      </w:r>
      <w:proofErr w:type="spellStart"/>
      <w:r w:rsidRPr="003B74E0">
        <w:t>mEUR</w:t>
      </w:r>
      <w:proofErr w:type="spellEnd"/>
      <w:r w:rsidRPr="003B74E0">
        <w:t xml:space="preserve"> at the end of 2023. This was primarily driven by an increase in working capital, as well as higher capital expenditures. As a result, financial gearing increased from 1.9x to 2.0x at the end of 2024.</w:t>
      </w:r>
    </w:p>
    <w:p w14:paraId="0CE0DFEC" w14:textId="7A8BCC97" w:rsidR="005377E7" w:rsidRPr="003B74E0" w:rsidRDefault="00EC2CC3" w:rsidP="000A7A94">
      <w:pPr>
        <w:pStyle w:val="Heading3"/>
        <w:jc w:val="both"/>
      </w:pPr>
      <w:bookmarkStart w:id="42" w:name="_Toc218590556"/>
      <w:r w:rsidRPr="003B74E0">
        <w:t>2025</w:t>
      </w:r>
      <w:r w:rsidR="00542414" w:rsidRPr="003B74E0">
        <w:t xml:space="preserve"> Q</w:t>
      </w:r>
      <w:r w:rsidR="00433016" w:rsidRPr="003B74E0">
        <w:t>3</w:t>
      </w:r>
      <w:r w:rsidRPr="003B74E0">
        <w:t xml:space="preserve"> Report</w:t>
      </w:r>
      <w:bookmarkEnd w:id="42"/>
    </w:p>
    <w:p w14:paraId="3F359746" w14:textId="0D183FBE" w:rsidR="00EC2CC3" w:rsidRPr="003B74E0" w:rsidRDefault="00EC2CC3" w:rsidP="00A05058">
      <w:pPr>
        <w:pStyle w:val="DSBodyTextIndent1"/>
        <w:jc w:val="both"/>
      </w:pPr>
      <w:r w:rsidRPr="003B74E0">
        <w:t xml:space="preserve">The Company released the </w:t>
      </w:r>
      <w:r w:rsidR="00C924E1" w:rsidRPr="003B74E0">
        <w:t>2025 Q</w:t>
      </w:r>
      <w:r w:rsidR="00641AD9" w:rsidRPr="003B74E0">
        <w:t>3</w:t>
      </w:r>
      <w:r w:rsidR="00C924E1" w:rsidRPr="003B74E0">
        <w:t xml:space="preserve"> Report for the first </w:t>
      </w:r>
      <w:r w:rsidR="00641AD9" w:rsidRPr="003B74E0">
        <w:t>nine months</w:t>
      </w:r>
      <w:r w:rsidR="003B45CC" w:rsidRPr="003B74E0">
        <w:t xml:space="preserve"> of 2025 on </w:t>
      </w:r>
      <w:r w:rsidR="006D3DC3" w:rsidRPr="003B74E0">
        <w:t>20 November</w:t>
      </w:r>
      <w:r w:rsidR="00AC7C34" w:rsidRPr="003B74E0">
        <w:t xml:space="preserve"> 2025</w:t>
      </w:r>
      <w:r w:rsidR="00C924E1" w:rsidRPr="003B74E0">
        <w:t>.</w:t>
      </w:r>
      <w:r w:rsidR="0056608C" w:rsidRPr="003B74E0">
        <w:rPr>
          <w:rStyle w:val="FootnoteReference"/>
        </w:rPr>
        <w:footnoteReference w:id="2"/>
      </w:r>
      <w:r w:rsidR="00C32D68" w:rsidRPr="003B74E0">
        <w:t xml:space="preserve"> </w:t>
      </w:r>
      <w:r w:rsidR="00BF4DF8">
        <w:t>The highlights of the 2025 Q3 Report are the following</w:t>
      </w:r>
      <w:r w:rsidR="00C32D68" w:rsidRPr="003B74E0">
        <w:t>:</w:t>
      </w:r>
    </w:p>
    <w:p w14:paraId="458A73D2" w14:textId="77777777" w:rsidR="008E0247" w:rsidRPr="003B74E0" w:rsidRDefault="008E0247" w:rsidP="00A05058">
      <w:pPr>
        <w:pStyle w:val="DSBodyTextIndent1"/>
        <w:jc w:val="both"/>
      </w:pPr>
    </w:p>
    <w:tbl>
      <w:tblPr>
        <w:tblW w:w="8363" w:type="dxa"/>
        <w:tblInd w:w="1289" w:type="dxa"/>
        <w:tblCellMar>
          <w:top w:w="15" w:type="dxa"/>
          <w:left w:w="15" w:type="dxa"/>
          <w:bottom w:w="15" w:type="dxa"/>
          <w:right w:w="15" w:type="dxa"/>
        </w:tblCellMar>
        <w:tblLook w:val="04A0" w:firstRow="1" w:lastRow="0" w:firstColumn="1" w:lastColumn="0" w:noHBand="0" w:noVBand="1"/>
      </w:tblPr>
      <w:tblGrid>
        <w:gridCol w:w="3708"/>
        <w:gridCol w:w="2671"/>
        <w:gridCol w:w="1984"/>
      </w:tblGrid>
      <w:tr w:rsidR="008E0247" w:rsidRPr="003B74E0" w14:paraId="77D4165E" w14:textId="77777777" w:rsidTr="008E0247">
        <w:tc>
          <w:tcPr>
            <w:tcW w:w="3708" w:type="dxa"/>
            <w:tcBorders>
              <w:bottom w:val="single" w:sz="8" w:space="0" w:color="000000"/>
            </w:tcBorders>
            <w:hideMark/>
          </w:tcPr>
          <w:p w14:paraId="224F66CE" w14:textId="046440C5" w:rsidR="008E0247" w:rsidRPr="003B74E0" w:rsidRDefault="008E0247" w:rsidP="008E0247">
            <w:pPr>
              <w:pStyle w:val="DSBodyTextIndent1"/>
              <w:ind w:left="0"/>
              <w:jc w:val="both"/>
            </w:pPr>
            <w:proofErr w:type="spellStart"/>
            <w:r w:rsidRPr="003B74E0">
              <w:rPr>
                <w:b/>
                <w:bCs/>
              </w:rPr>
              <w:t>mEUR</w:t>
            </w:r>
            <w:proofErr w:type="spellEnd"/>
          </w:p>
        </w:tc>
        <w:tc>
          <w:tcPr>
            <w:tcW w:w="2671" w:type="dxa"/>
            <w:tcBorders>
              <w:bottom w:val="single" w:sz="8" w:space="0" w:color="000000"/>
            </w:tcBorders>
            <w:hideMark/>
          </w:tcPr>
          <w:p w14:paraId="5B27B883" w14:textId="77777777" w:rsidR="008E0247" w:rsidRPr="003B74E0" w:rsidRDefault="008E0247" w:rsidP="008E0247">
            <w:pPr>
              <w:pStyle w:val="DSBodyTextIndent1"/>
              <w:jc w:val="both"/>
            </w:pPr>
            <w:r w:rsidRPr="003B74E0">
              <w:rPr>
                <w:b/>
                <w:bCs/>
              </w:rPr>
              <w:t>Q3 2025</w:t>
            </w:r>
          </w:p>
        </w:tc>
        <w:tc>
          <w:tcPr>
            <w:tcW w:w="1984" w:type="dxa"/>
            <w:tcBorders>
              <w:bottom w:val="single" w:sz="8" w:space="0" w:color="000000"/>
            </w:tcBorders>
            <w:hideMark/>
          </w:tcPr>
          <w:p w14:paraId="1DDE64F7" w14:textId="77777777" w:rsidR="008E0247" w:rsidRPr="003B74E0" w:rsidRDefault="008E0247" w:rsidP="008E0247">
            <w:pPr>
              <w:pStyle w:val="DSBodyTextIndent1"/>
              <w:jc w:val="both"/>
            </w:pPr>
            <w:r w:rsidRPr="003B74E0">
              <w:rPr>
                <w:b/>
                <w:bCs/>
              </w:rPr>
              <w:t>Q3 2024</w:t>
            </w:r>
            <w:r w:rsidRPr="003B74E0">
              <w:rPr>
                <w:b/>
                <w:bCs/>
                <w:vertAlign w:val="superscript"/>
              </w:rPr>
              <w:t>1</w:t>
            </w:r>
          </w:p>
        </w:tc>
      </w:tr>
      <w:tr w:rsidR="008E0247" w:rsidRPr="003B74E0" w14:paraId="07F78BD8" w14:textId="77777777" w:rsidTr="008E0247">
        <w:tc>
          <w:tcPr>
            <w:tcW w:w="3708" w:type="dxa"/>
            <w:tcBorders>
              <w:bottom w:val="single" w:sz="8" w:space="0" w:color="000000"/>
            </w:tcBorders>
            <w:hideMark/>
          </w:tcPr>
          <w:p w14:paraId="1E6B0EA9" w14:textId="77777777" w:rsidR="008E0247" w:rsidRPr="003B74E0" w:rsidRDefault="008E0247" w:rsidP="008E0247">
            <w:pPr>
              <w:pStyle w:val="DSBodyTextIndent1"/>
              <w:ind w:left="0"/>
              <w:jc w:val="both"/>
            </w:pPr>
            <w:r w:rsidRPr="003B74E0">
              <w:t>Revenue</w:t>
            </w:r>
          </w:p>
        </w:tc>
        <w:tc>
          <w:tcPr>
            <w:tcW w:w="2671" w:type="dxa"/>
            <w:tcBorders>
              <w:bottom w:val="single" w:sz="8" w:space="0" w:color="000000"/>
            </w:tcBorders>
            <w:hideMark/>
          </w:tcPr>
          <w:p w14:paraId="0C1E1C46" w14:textId="77777777" w:rsidR="008E0247" w:rsidRPr="003B74E0" w:rsidRDefault="008E0247" w:rsidP="008E0247">
            <w:pPr>
              <w:pStyle w:val="DSBodyTextIndent1"/>
              <w:jc w:val="both"/>
            </w:pPr>
            <w:r w:rsidRPr="003B74E0">
              <w:t>238.7</w:t>
            </w:r>
          </w:p>
        </w:tc>
        <w:tc>
          <w:tcPr>
            <w:tcW w:w="1984" w:type="dxa"/>
            <w:tcBorders>
              <w:bottom w:val="single" w:sz="8" w:space="0" w:color="000000"/>
            </w:tcBorders>
            <w:hideMark/>
          </w:tcPr>
          <w:p w14:paraId="7A2F69B7" w14:textId="77777777" w:rsidR="008E0247" w:rsidRPr="003B74E0" w:rsidRDefault="008E0247" w:rsidP="008E0247">
            <w:pPr>
              <w:pStyle w:val="DSBodyTextIndent1"/>
              <w:jc w:val="both"/>
            </w:pPr>
            <w:r w:rsidRPr="003B74E0">
              <w:t>240.6</w:t>
            </w:r>
          </w:p>
        </w:tc>
      </w:tr>
      <w:tr w:rsidR="008E0247" w:rsidRPr="003B74E0" w14:paraId="30BA58FE" w14:textId="77777777" w:rsidTr="008E0247">
        <w:tc>
          <w:tcPr>
            <w:tcW w:w="3708" w:type="dxa"/>
            <w:tcBorders>
              <w:bottom w:val="single" w:sz="8" w:space="0" w:color="000000"/>
            </w:tcBorders>
            <w:hideMark/>
          </w:tcPr>
          <w:p w14:paraId="3EBC8269" w14:textId="77777777" w:rsidR="008E0247" w:rsidRPr="003B74E0" w:rsidRDefault="008E0247" w:rsidP="008E0247">
            <w:pPr>
              <w:pStyle w:val="DSBodyTextIndent1"/>
              <w:ind w:left="0"/>
              <w:jc w:val="both"/>
            </w:pPr>
            <w:r w:rsidRPr="003B74E0">
              <w:t>Organic growth</w:t>
            </w:r>
          </w:p>
        </w:tc>
        <w:tc>
          <w:tcPr>
            <w:tcW w:w="2671" w:type="dxa"/>
            <w:tcBorders>
              <w:bottom w:val="single" w:sz="8" w:space="0" w:color="000000"/>
            </w:tcBorders>
            <w:hideMark/>
          </w:tcPr>
          <w:p w14:paraId="60E3BEAC" w14:textId="77777777" w:rsidR="008E0247" w:rsidRPr="003B74E0" w:rsidRDefault="008E0247" w:rsidP="008E0247">
            <w:pPr>
              <w:pStyle w:val="DSBodyTextIndent1"/>
              <w:jc w:val="both"/>
            </w:pPr>
            <w:r w:rsidRPr="003B74E0">
              <w:t>2.1%</w:t>
            </w:r>
          </w:p>
        </w:tc>
        <w:tc>
          <w:tcPr>
            <w:tcW w:w="1984" w:type="dxa"/>
            <w:tcBorders>
              <w:bottom w:val="single" w:sz="8" w:space="0" w:color="000000"/>
            </w:tcBorders>
            <w:hideMark/>
          </w:tcPr>
          <w:p w14:paraId="1C16C618" w14:textId="77777777" w:rsidR="008E0247" w:rsidRPr="003B74E0" w:rsidRDefault="008E0247" w:rsidP="008E0247">
            <w:pPr>
              <w:pStyle w:val="DSBodyTextIndent1"/>
              <w:jc w:val="both"/>
            </w:pPr>
            <w:r w:rsidRPr="003B74E0">
              <w:t>-0.8%</w:t>
            </w:r>
          </w:p>
        </w:tc>
      </w:tr>
      <w:tr w:rsidR="008E0247" w:rsidRPr="003B74E0" w14:paraId="0941B42E" w14:textId="77777777" w:rsidTr="008E0247">
        <w:tc>
          <w:tcPr>
            <w:tcW w:w="3708" w:type="dxa"/>
            <w:tcBorders>
              <w:bottom w:val="single" w:sz="8" w:space="0" w:color="000000"/>
            </w:tcBorders>
            <w:hideMark/>
          </w:tcPr>
          <w:p w14:paraId="77F4CCAE" w14:textId="77777777" w:rsidR="008E0247" w:rsidRPr="003B74E0" w:rsidRDefault="008E0247" w:rsidP="008E0247">
            <w:pPr>
              <w:pStyle w:val="DSBodyTextIndent1"/>
              <w:ind w:left="0"/>
              <w:jc w:val="both"/>
            </w:pPr>
            <w:r w:rsidRPr="003B74E0">
              <w:t>Gross margin</w:t>
            </w:r>
          </w:p>
        </w:tc>
        <w:tc>
          <w:tcPr>
            <w:tcW w:w="2671" w:type="dxa"/>
            <w:tcBorders>
              <w:bottom w:val="single" w:sz="8" w:space="0" w:color="000000"/>
            </w:tcBorders>
            <w:hideMark/>
          </w:tcPr>
          <w:p w14:paraId="055D2933" w14:textId="77777777" w:rsidR="008E0247" w:rsidRPr="003B74E0" w:rsidRDefault="008E0247" w:rsidP="008E0247">
            <w:pPr>
              <w:pStyle w:val="DSBodyTextIndent1"/>
              <w:jc w:val="both"/>
            </w:pPr>
            <w:r w:rsidRPr="003B74E0">
              <w:t>41.2%</w:t>
            </w:r>
          </w:p>
        </w:tc>
        <w:tc>
          <w:tcPr>
            <w:tcW w:w="1984" w:type="dxa"/>
            <w:tcBorders>
              <w:bottom w:val="single" w:sz="8" w:space="0" w:color="000000"/>
            </w:tcBorders>
            <w:hideMark/>
          </w:tcPr>
          <w:p w14:paraId="620231E9" w14:textId="77777777" w:rsidR="008E0247" w:rsidRPr="003B74E0" w:rsidRDefault="008E0247" w:rsidP="008E0247">
            <w:pPr>
              <w:pStyle w:val="DSBodyTextIndent1"/>
              <w:jc w:val="both"/>
            </w:pPr>
            <w:r w:rsidRPr="003B74E0">
              <w:t>42.4%</w:t>
            </w:r>
          </w:p>
        </w:tc>
      </w:tr>
      <w:tr w:rsidR="008E0247" w:rsidRPr="003B74E0" w14:paraId="1ACA7CDB" w14:textId="77777777" w:rsidTr="008E0247">
        <w:tc>
          <w:tcPr>
            <w:tcW w:w="3708" w:type="dxa"/>
            <w:tcBorders>
              <w:bottom w:val="single" w:sz="8" w:space="0" w:color="000000"/>
            </w:tcBorders>
            <w:hideMark/>
          </w:tcPr>
          <w:p w14:paraId="38A9F7D7" w14:textId="77777777" w:rsidR="008E0247" w:rsidRPr="003B74E0" w:rsidRDefault="008E0247" w:rsidP="008E0247">
            <w:pPr>
              <w:pStyle w:val="DSBodyTextIndent1"/>
              <w:ind w:left="0"/>
              <w:jc w:val="both"/>
            </w:pPr>
            <w:r w:rsidRPr="003B74E0">
              <w:t>Overhead costs</w:t>
            </w:r>
          </w:p>
        </w:tc>
        <w:tc>
          <w:tcPr>
            <w:tcW w:w="2671" w:type="dxa"/>
            <w:tcBorders>
              <w:bottom w:val="single" w:sz="8" w:space="0" w:color="000000"/>
            </w:tcBorders>
            <w:hideMark/>
          </w:tcPr>
          <w:p w14:paraId="6B95D69C" w14:textId="77777777" w:rsidR="008E0247" w:rsidRPr="003B74E0" w:rsidRDefault="008E0247" w:rsidP="008E0247">
            <w:pPr>
              <w:pStyle w:val="DSBodyTextIndent1"/>
              <w:jc w:val="both"/>
            </w:pPr>
            <w:r w:rsidRPr="003B74E0">
              <w:t>84.2</w:t>
            </w:r>
          </w:p>
        </w:tc>
        <w:tc>
          <w:tcPr>
            <w:tcW w:w="1984" w:type="dxa"/>
            <w:tcBorders>
              <w:bottom w:val="single" w:sz="8" w:space="0" w:color="000000"/>
            </w:tcBorders>
            <w:hideMark/>
          </w:tcPr>
          <w:p w14:paraId="6E5700E6" w14:textId="77777777" w:rsidR="008E0247" w:rsidRPr="003B74E0" w:rsidRDefault="008E0247" w:rsidP="008E0247">
            <w:pPr>
              <w:pStyle w:val="DSBodyTextIndent1"/>
              <w:jc w:val="both"/>
            </w:pPr>
            <w:r w:rsidRPr="003B74E0">
              <w:t>87.6</w:t>
            </w:r>
          </w:p>
        </w:tc>
      </w:tr>
      <w:tr w:rsidR="008E0247" w:rsidRPr="003B74E0" w14:paraId="4514A760" w14:textId="77777777" w:rsidTr="008E0247">
        <w:tc>
          <w:tcPr>
            <w:tcW w:w="3708" w:type="dxa"/>
            <w:tcBorders>
              <w:bottom w:val="single" w:sz="8" w:space="0" w:color="000000"/>
            </w:tcBorders>
            <w:hideMark/>
          </w:tcPr>
          <w:p w14:paraId="6524966D" w14:textId="77777777" w:rsidR="008E0247" w:rsidRPr="003B74E0" w:rsidRDefault="008E0247" w:rsidP="008E0247">
            <w:pPr>
              <w:pStyle w:val="DSBodyTextIndent1"/>
              <w:ind w:left="0"/>
              <w:jc w:val="both"/>
            </w:pPr>
            <w:r w:rsidRPr="003B74E0">
              <w:t>Overhead cost ratio</w:t>
            </w:r>
          </w:p>
        </w:tc>
        <w:tc>
          <w:tcPr>
            <w:tcW w:w="2671" w:type="dxa"/>
            <w:tcBorders>
              <w:bottom w:val="single" w:sz="8" w:space="0" w:color="000000"/>
            </w:tcBorders>
            <w:hideMark/>
          </w:tcPr>
          <w:p w14:paraId="47ABCEA1" w14:textId="77777777" w:rsidR="008E0247" w:rsidRPr="003B74E0" w:rsidRDefault="008E0247" w:rsidP="008E0247">
            <w:pPr>
              <w:pStyle w:val="DSBodyTextIndent1"/>
              <w:jc w:val="both"/>
            </w:pPr>
            <w:r w:rsidRPr="003B74E0">
              <w:t>35.3%</w:t>
            </w:r>
          </w:p>
        </w:tc>
        <w:tc>
          <w:tcPr>
            <w:tcW w:w="1984" w:type="dxa"/>
            <w:tcBorders>
              <w:bottom w:val="single" w:sz="8" w:space="0" w:color="000000"/>
            </w:tcBorders>
            <w:hideMark/>
          </w:tcPr>
          <w:p w14:paraId="2522DA12" w14:textId="77777777" w:rsidR="008E0247" w:rsidRPr="003B74E0" w:rsidRDefault="008E0247" w:rsidP="008E0247">
            <w:pPr>
              <w:pStyle w:val="DSBodyTextIndent1"/>
              <w:jc w:val="both"/>
            </w:pPr>
            <w:r w:rsidRPr="003B74E0">
              <w:t>36.4%</w:t>
            </w:r>
          </w:p>
        </w:tc>
      </w:tr>
      <w:tr w:rsidR="008E0247" w:rsidRPr="003B74E0" w14:paraId="009A7C9D" w14:textId="77777777" w:rsidTr="008E0247">
        <w:tc>
          <w:tcPr>
            <w:tcW w:w="3708" w:type="dxa"/>
            <w:tcBorders>
              <w:bottom w:val="single" w:sz="8" w:space="0" w:color="000000"/>
            </w:tcBorders>
            <w:hideMark/>
          </w:tcPr>
          <w:p w14:paraId="4465E89D" w14:textId="77777777" w:rsidR="008E0247" w:rsidRPr="003B74E0" w:rsidRDefault="008E0247" w:rsidP="008E0247">
            <w:pPr>
              <w:pStyle w:val="DSBodyTextIndent1"/>
              <w:ind w:left="0"/>
              <w:jc w:val="both"/>
            </w:pPr>
            <w:r w:rsidRPr="003B74E0">
              <w:t>EBITDA before special items</w:t>
            </w:r>
          </w:p>
        </w:tc>
        <w:tc>
          <w:tcPr>
            <w:tcW w:w="2671" w:type="dxa"/>
            <w:tcBorders>
              <w:bottom w:val="single" w:sz="8" w:space="0" w:color="000000"/>
            </w:tcBorders>
            <w:hideMark/>
          </w:tcPr>
          <w:p w14:paraId="1499A79A" w14:textId="77777777" w:rsidR="008E0247" w:rsidRPr="003B74E0" w:rsidRDefault="008E0247" w:rsidP="008E0247">
            <w:pPr>
              <w:pStyle w:val="DSBodyTextIndent1"/>
              <w:jc w:val="both"/>
            </w:pPr>
            <w:r w:rsidRPr="003B74E0">
              <w:t>30.1</w:t>
            </w:r>
          </w:p>
        </w:tc>
        <w:tc>
          <w:tcPr>
            <w:tcW w:w="1984" w:type="dxa"/>
            <w:tcBorders>
              <w:bottom w:val="single" w:sz="8" w:space="0" w:color="000000"/>
            </w:tcBorders>
            <w:hideMark/>
          </w:tcPr>
          <w:p w14:paraId="65BF8D3E" w14:textId="77777777" w:rsidR="008E0247" w:rsidRPr="003B74E0" w:rsidRDefault="008E0247" w:rsidP="008E0247">
            <w:pPr>
              <w:pStyle w:val="DSBodyTextIndent1"/>
              <w:jc w:val="both"/>
            </w:pPr>
            <w:r w:rsidRPr="003B74E0">
              <w:t>30.9</w:t>
            </w:r>
          </w:p>
        </w:tc>
      </w:tr>
      <w:tr w:rsidR="008E0247" w:rsidRPr="003B74E0" w14:paraId="19C18FB6" w14:textId="77777777" w:rsidTr="008E0247">
        <w:tc>
          <w:tcPr>
            <w:tcW w:w="3708" w:type="dxa"/>
            <w:tcBorders>
              <w:bottom w:val="single" w:sz="8" w:space="0" w:color="000000"/>
            </w:tcBorders>
            <w:hideMark/>
          </w:tcPr>
          <w:p w14:paraId="41AB3487" w14:textId="77777777" w:rsidR="008E0247" w:rsidRPr="003B74E0" w:rsidRDefault="008E0247" w:rsidP="008E0247">
            <w:pPr>
              <w:pStyle w:val="DSBodyTextIndent1"/>
              <w:ind w:left="0"/>
              <w:jc w:val="both"/>
            </w:pPr>
            <w:r w:rsidRPr="003B74E0">
              <w:t>EBITDA margin before special items</w:t>
            </w:r>
          </w:p>
        </w:tc>
        <w:tc>
          <w:tcPr>
            <w:tcW w:w="2671" w:type="dxa"/>
            <w:tcBorders>
              <w:bottom w:val="single" w:sz="8" w:space="0" w:color="000000"/>
            </w:tcBorders>
            <w:hideMark/>
          </w:tcPr>
          <w:p w14:paraId="600B004D" w14:textId="77777777" w:rsidR="008E0247" w:rsidRPr="003B74E0" w:rsidRDefault="008E0247" w:rsidP="008E0247">
            <w:pPr>
              <w:pStyle w:val="DSBodyTextIndent1"/>
              <w:jc w:val="both"/>
            </w:pPr>
            <w:r w:rsidRPr="003B74E0">
              <w:t>12.6%</w:t>
            </w:r>
          </w:p>
        </w:tc>
        <w:tc>
          <w:tcPr>
            <w:tcW w:w="1984" w:type="dxa"/>
            <w:tcBorders>
              <w:bottom w:val="single" w:sz="8" w:space="0" w:color="000000"/>
            </w:tcBorders>
            <w:hideMark/>
          </w:tcPr>
          <w:p w14:paraId="21176670" w14:textId="77777777" w:rsidR="008E0247" w:rsidRPr="003B74E0" w:rsidRDefault="008E0247" w:rsidP="008E0247">
            <w:pPr>
              <w:pStyle w:val="DSBodyTextIndent1"/>
              <w:jc w:val="both"/>
            </w:pPr>
            <w:r w:rsidRPr="003B74E0">
              <w:t>12.8%</w:t>
            </w:r>
          </w:p>
        </w:tc>
      </w:tr>
      <w:tr w:rsidR="008E0247" w:rsidRPr="003B74E0" w14:paraId="3AAB424B" w14:textId="77777777" w:rsidTr="008E0247">
        <w:tc>
          <w:tcPr>
            <w:tcW w:w="3708" w:type="dxa"/>
            <w:tcBorders>
              <w:bottom w:val="single" w:sz="8" w:space="0" w:color="000000"/>
            </w:tcBorders>
            <w:hideMark/>
          </w:tcPr>
          <w:p w14:paraId="31B2F55C" w14:textId="77777777" w:rsidR="008E0247" w:rsidRPr="003B74E0" w:rsidRDefault="008E0247" w:rsidP="008E0247">
            <w:pPr>
              <w:pStyle w:val="DSBodyTextIndent1"/>
              <w:ind w:left="0"/>
              <w:jc w:val="both"/>
            </w:pPr>
            <w:r w:rsidRPr="003B74E0">
              <w:t>Special items, net</w:t>
            </w:r>
          </w:p>
        </w:tc>
        <w:tc>
          <w:tcPr>
            <w:tcW w:w="2671" w:type="dxa"/>
            <w:tcBorders>
              <w:bottom w:val="single" w:sz="8" w:space="0" w:color="000000"/>
            </w:tcBorders>
            <w:hideMark/>
          </w:tcPr>
          <w:p w14:paraId="397BA5C3" w14:textId="77777777" w:rsidR="008E0247" w:rsidRPr="003B74E0" w:rsidRDefault="008E0247" w:rsidP="008E0247">
            <w:pPr>
              <w:pStyle w:val="DSBodyTextIndent1"/>
              <w:jc w:val="both"/>
            </w:pPr>
            <w:r w:rsidRPr="003B74E0">
              <w:t>-47.4</w:t>
            </w:r>
          </w:p>
        </w:tc>
        <w:tc>
          <w:tcPr>
            <w:tcW w:w="1984" w:type="dxa"/>
            <w:tcBorders>
              <w:bottom w:val="single" w:sz="8" w:space="0" w:color="000000"/>
            </w:tcBorders>
            <w:hideMark/>
          </w:tcPr>
          <w:p w14:paraId="5792ED6D" w14:textId="77777777" w:rsidR="008E0247" w:rsidRPr="003B74E0" w:rsidRDefault="008E0247" w:rsidP="008E0247">
            <w:pPr>
              <w:pStyle w:val="DSBodyTextIndent1"/>
              <w:jc w:val="both"/>
            </w:pPr>
            <w:r w:rsidRPr="003B74E0">
              <w:t>-1.2</w:t>
            </w:r>
          </w:p>
        </w:tc>
      </w:tr>
      <w:tr w:rsidR="008E0247" w:rsidRPr="003B74E0" w14:paraId="16CA85E1" w14:textId="77777777" w:rsidTr="008E0247">
        <w:tc>
          <w:tcPr>
            <w:tcW w:w="3708" w:type="dxa"/>
            <w:tcBorders>
              <w:bottom w:val="single" w:sz="8" w:space="0" w:color="000000"/>
            </w:tcBorders>
            <w:hideMark/>
          </w:tcPr>
          <w:p w14:paraId="571B0CF7" w14:textId="77777777" w:rsidR="008E0247" w:rsidRPr="003B74E0" w:rsidRDefault="008E0247" w:rsidP="008E0247">
            <w:pPr>
              <w:pStyle w:val="DSBodyTextIndent1"/>
              <w:ind w:left="0"/>
              <w:jc w:val="both"/>
            </w:pPr>
            <w:r w:rsidRPr="003B74E0">
              <w:t>CAPEX ratio</w:t>
            </w:r>
          </w:p>
        </w:tc>
        <w:tc>
          <w:tcPr>
            <w:tcW w:w="2671" w:type="dxa"/>
            <w:tcBorders>
              <w:bottom w:val="single" w:sz="8" w:space="0" w:color="000000"/>
            </w:tcBorders>
            <w:hideMark/>
          </w:tcPr>
          <w:p w14:paraId="43CD31C7" w14:textId="77777777" w:rsidR="008E0247" w:rsidRPr="003B74E0" w:rsidRDefault="008E0247" w:rsidP="008E0247">
            <w:pPr>
              <w:pStyle w:val="DSBodyTextIndent1"/>
              <w:jc w:val="both"/>
            </w:pPr>
            <w:r w:rsidRPr="003B74E0">
              <w:t>3.5%</w:t>
            </w:r>
          </w:p>
        </w:tc>
        <w:tc>
          <w:tcPr>
            <w:tcW w:w="1984" w:type="dxa"/>
            <w:tcBorders>
              <w:bottom w:val="single" w:sz="8" w:space="0" w:color="000000"/>
            </w:tcBorders>
            <w:hideMark/>
          </w:tcPr>
          <w:p w14:paraId="31FB7529" w14:textId="77777777" w:rsidR="008E0247" w:rsidRPr="003B74E0" w:rsidRDefault="008E0247" w:rsidP="008E0247">
            <w:pPr>
              <w:pStyle w:val="DSBodyTextIndent1"/>
              <w:jc w:val="both"/>
            </w:pPr>
            <w:r w:rsidRPr="003B74E0">
              <w:t>4.4%</w:t>
            </w:r>
          </w:p>
        </w:tc>
      </w:tr>
      <w:tr w:rsidR="008E0247" w:rsidRPr="003B74E0" w14:paraId="4A13174F" w14:textId="77777777" w:rsidTr="008E0247">
        <w:tc>
          <w:tcPr>
            <w:tcW w:w="3708" w:type="dxa"/>
            <w:tcBorders>
              <w:bottom w:val="single" w:sz="8" w:space="0" w:color="000000"/>
            </w:tcBorders>
            <w:hideMark/>
          </w:tcPr>
          <w:p w14:paraId="727ED65C" w14:textId="77777777" w:rsidR="008E0247" w:rsidRPr="003B74E0" w:rsidRDefault="008E0247" w:rsidP="008E0247">
            <w:pPr>
              <w:pStyle w:val="DSBodyTextIndent1"/>
              <w:ind w:left="0"/>
              <w:jc w:val="both"/>
            </w:pPr>
            <w:r w:rsidRPr="003B74E0">
              <w:t>Free cash flow</w:t>
            </w:r>
          </w:p>
        </w:tc>
        <w:tc>
          <w:tcPr>
            <w:tcW w:w="2671" w:type="dxa"/>
            <w:tcBorders>
              <w:bottom w:val="single" w:sz="8" w:space="0" w:color="000000"/>
            </w:tcBorders>
            <w:hideMark/>
          </w:tcPr>
          <w:p w14:paraId="06F28E85" w14:textId="77777777" w:rsidR="008E0247" w:rsidRPr="003B74E0" w:rsidRDefault="008E0247" w:rsidP="008E0247">
            <w:pPr>
              <w:pStyle w:val="DSBodyTextIndent1"/>
              <w:jc w:val="both"/>
            </w:pPr>
            <w:r w:rsidRPr="003B74E0">
              <w:t>10.5</w:t>
            </w:r>
          </w:p>
        </w:tc>
        <w:tc>
          <w:tcPr>
            <w:tcW w:w="1984" w:type="dxa"/>
            <w:tcBorders>
              <w:bottom w:val="single" w:sz="8" w:space="0" w:color="000000"/>
            </w:tcBorders>
            <w:hideMark/>
          </w:tcPr>
          <w:p w14:paraId="22524AFA" w14:textId="77777777" w:rsidR="008E0247" w:rsidRPr="003B74E0" w:rsidRDefault="008E0247" w:rsidP="008E0247">
            <w:pPr>
              <w:pStyle w:val="DSBodyTextIndent1"/>
              <w:jc w:val="both"/>
            </w:pPr>
            <w:r w:rsidRPr="003B74E0">
              <w:t>7.4</w:t>
            </w:r>
          </w:p>
        </w:tc>
      </w:tr>
      <w:tr w:rsidR="008E0247" w:rsidRPr="003B74E0" w14:paraId="61AF97FC" w14:textId="77777777" w:rsidTr="008E0247">
        <w:tc>
          <w:tcPr>
            <w:tcW w:w="3708" w:type="dxa"/>
            <w:tcBorders>
              <w:bottom w:val="single" w:sz="8" w:space="0" w:color="000000"/>
            </w:tcBorders>
            <w:hideMark/>
          </w:tcPr>
          <w:p w14:paraId="59721E45" w14:textId="77777777" w:rsidR="008E0247" w:rsidRPr="003B74E0" w:rsidRDefault="008E0247" w:rsidP="008E0247">
            <w:pPr>
              <w:pStyle w:val="DSBodyTextIndent1"/>
              <w:ind w:left="0"/>
              <w:jc w:val="both"/>
            </w:pPr>
            <w:r w:rsidRPr="003B74E0">
              <w:t>Net interest-bearing debt</w:t>
            </w:r>
          </w:p>
        </w:tc>
        <w:tc>
          <w:tcPr>
            <w:tcW w:w="2671" w:type="dxa"/>
            <w:tcBorders>
              <w:bottom w:val="single" w:sz="8" w:space="0" w:color="000000"/>
            </w:tcBorders>
            <w:hideMark/>
          </w:tcPr>
          <w:p w14:paraId="0A001E7A" w14:textId="77777777" w:rsidR="008E0247" w:rsidRPr="003B74E0" w:rsidRDefault="008E0247" w:rsidP="008E0247">
            <w:pPr>
              <w:pStyle w:val="DSBodyTextIndent1"/>
              <w:jc w:val="both"/>
            </w:pPr>
            <w:r w:rsidRPr="003B74E0">
              <w:t>312.6</w:t>
            </w:r>
          </w:p>
        </w:tc>
        <w:tc>
          <w:tcPr>
            <w:tcW w:w="1984" w:type="dxa"/>
            <w:tcBorders>
              <w:bottom w:val="single" w:sz="8" w:space="0" w:color="000000"/>
            </w:tcBorders>
            <w:hideMark/>
          </w:tcPr>
          <w:p w14:paraId="419DE6E4" w14:textId="77777777" w:rsidR="008E0247" w:rsidRPr="003B74E0" w:rsidRDefault="008E0247" w:rsidP="008E0247">
            <w:pPr>
              <w:pStyle w:val="DSBodyTextIndent1"/>
              <w:jc w:val="both"/>
            </w:pPr>
            <w:r w:rsidRPr="003B74E0">
              <w:t>257.7</w:t>
            </w:r>
          </w:p>
        </w:tc>
      </w:tr>
      <w:tr w:rsidR="008E0247" w:rsidRPr="003B74E0" w14:paraId="0E299482" w14:textId="77777777" w:rsidTr="008E0247">
        <w:tc>
          <w:tcPr>
            <w:tcW w:w="3708" w:type="dxa"/>
            <w:tcBorders>
              <w:bottom w:val="single" w:sz="8" w:space="0" w:color="000000"/>
            </w:tcBorders>
            <w:hideMark/>
          </w:tcPr>
          <w:p w14:paraId="2866929D" w14:textId="77777777" w:rsidR="008E0247" w:rsidRPr="003B74E0" w:rsidRDefault="008E0247" w:rsidP="008E0247">
            <w:pPr>
              <w:pStyle w:val="DSBodyTextIndent1"/>
              <w:ind w:left="0"/>
              <w:jc w:val="both"/>
            </w:pPr>
            <w:r w:rsidRPr="003B74E0">
              <w:t>Financial gearing</w:t>
            </w:r>
          </w:p>
        </w:tc>
        <w:tc>
          <w:tcPr>
            <w:tcW w:w="2671" w:type="dxa"/>
            <w:tcBorders>
              <w:bottom w:val="single" w:sz="8" w:space="0" w:color="000000"/>
            </w:tcBorders>
            <w:hideMark/>
          </w:tcPr>
          <w:p w14:paraId="02135260" w14:textId="77777777" w:rsidR="008E0247" w:rsidRPr="003B74E0" w:rsidRDefault="008E0247" w:rsidP="008E0247">
            <w:pPr>
              <w:pStyle w:val="DSBodyTextIndent1"/>
              <w:jc w:val="both"/>
            </w:pPr>
            <w:r w:rsidRPr="003B74E0">
              <w:t>2.3x</w:t>
            </w:r>
          </w:p>
        </w:tc>
        <w:tc>
          <w:tcPr>
            <w:tcW w:w="1984" w:type="dxa"/>
            <w:tcBorders>
              <w:bottom w:val="single" w:sz="8" w:space="0" w:color="000000"/>
            </w:tcBorders>
            <w:hideMark/>
          </w:tcPr>
          <w:p w14:paraId="3A4BEF56" w14:textId="77777777" w:rsidR="008E0247" w:rsidRPr="003B74E0" w:rsidRDefault="008E0247" w:rsidP="008E0247">
            <w:pPr>
              <w:pStyle w:val="DSBodyTextIndent1"/>
              <w:jc w:val="both"/>
            </w:pPr>
            <w:r w:rsidRPr="003B74E0">
              <w:t>1.8x</w:t>
            </w:r>
          </w:p>
        </w:tc>
      </w:tr>
      <w:tr w:rsidR="008E0247" w:rsidRPr="003B74E0" w14:paraId="69F413CE" w14:textId="77777777" w:rsidTr="008E0247">
        <w:tc>
          <w:tcPr>
            <w:tcW w:w="3708" w:type="dxa"/>
            <w:tcBorders>
              <w:bottom w:val="single" w:sz="8" w:space="0" w:color="000000"/>
            </w:tcBorders>
            <w:hideMark/>
          </w:tcPr>
          <w:p w14:paraId="6C32F6AC" w14:textId="77777777" w:rsidR="008E0247" w:rsidRPr="003B74E0" w:rsidRDefault="008E0247" w:rsidP="008E0247">
            <w:pPr>
              <w:pStyle w:val="DSBodyTextIndent1"/>
              <w:ind w:left="0"/>
              <w:jc w:val="both"/>
            </w:pPr>
            <w:r w:rsidRPr="003B74E0">
              <w:t>Basic earnings per share (EPS)</w:t>
            </w:r>
          </w:p>
        </w:tc>
        <w:tc>
          <w:tcPr>
            <w:tcW w:w="2671" w:type="dxa"/>
            <w:tcBorders>
              <w:bottom w:val="single" w:sz="8" w:space="0" w:color="000000"/>
            </w:tcBorders>
            <w:hideMark/>
          </w:tcPr>
          <w:p w14:paraId="7A2E0E34" w14:textId="77777777" w:rsidR="008E0247" w:rsidRPr="003B74E0" w:rsidRDefault="008E0247" w:rsidP="008E0247">
            <w:pPr>
              <w:pStyle w:val="DSBodyTextIndent1"/>
              <w:jc w:val="both"/>
            </w:pPr>
            <w:r w:rsidRPr="003B74E0">
              <w:t>-1.05</w:t>
            </w:r>
          </w:p>
        </w:tc>
        <w:tc>
          <w:tcPr>
            <w:tcW w:w="1984" w:type="dxa"/>
            <w:tcBorders>
              <w:bottom w:val="single" w:sz="8" w:space="0" w:color="000000"/>
            </w:tcBorders>
            <w:hideMark/>
          </w:tcPr>
          <w:p w14:paraId="53E3EC7B" w14:textId="77777777" w:rsidR="008E0247" w:rsidRPr="003B74E0" w:rsidRDefault="008E0247" w:rsidP="008E0247">
            <w:pPr>
              <w:pStyle w:val="DSBodyTextIndent1"/>
              <w:jc w:val="both"/>
            </w:pPr>
            <w:r w:rsidRPr="003B74E0">
              <w:t>0.20</w:t>
            </w:r>
          </w:p>
        </w:tc>
      </w:tr>
    </w:tbl>
    <w:p w14:paraId="2D93A5E9" w14:textId="257A1392" w:rsidR="008E0247" w:rsidRPr="003B74E0" w:rsidRDefault="00B40B05" w:rsidP="00A05058">
      <w:pPr>
        <w:pStyle w:val="DSBodyTextIndent1"/>
        <w:jc w:val="both"/>
      </w:pPr>
      <w:r w:rsidRPr="00B40B05">
        <w:t>1</w:t>
      </w:r>
      <w:r>
        <w:t xml:space="preserve"> </w:t>
      </w:r>
      <w:r w:rsidRPr="00B40B05">
        <w:t>From Q3 2025, Share of profit from associates has been reclassified to be included within operating profit. Comparison figures and ratios have been restated accordingly. Read more in the Q3 2025 Report.</w:t>
      </w:r>
    </w:p>
    <w:p w14:paraId="74627660" w14:textId="73D832EE" w:rsidR="00C409D1" w:rsidRPr="003B74E0" w:rsidRDefault="00C409D1" w:rsidP="00A05058">
      <w:pPr>
        <w:pStyle w:val="Heading3"/>
        <w:jc w:val="both"/>
      </w:pPr>
      <w:bookmarkStart w:id="43" w:name="_Toc206831191"/>
      <w:bookmarkStart w:id="44" w:name="_Ref206835125"/>
      <w:bookmarkStart w:id="45" w:name="_Toc218590557"/>
      <w:bookmarkEnd w:id="43"/>
      <w:r w:rsidRPr="003B74E0">
        <w:t xml:space="preserve">Financial </w:t>
      </w:r>
      <w:r w:rsidR="00D64E82" w:rsidRPr="003B74E0">
        <w:t>Outlook</w:t>
      </w:r>
      <w:r w:rsidRPr="003B74E0">
        <w:t xml:space="preserve"> for 2025</w:t>
      </w:r>
      <w:bookmarkEnd w:id="44"/>
      <w:bookmarkEnd w:id="45"/>
      <w:r w:rsidR="00F6113D" w:rsidRPr="003B74E0">
        <w:t xml:space="preserve"> </w:t>
      </w:r>
      <w:bookmarkStart w:id="46" w:name="_Toc206831192"/>
      <w:bookmarkEnd w:id="41"/>
      <w:bookmarkEnd w:id="46"/>
    </w:p>
    <w:p w14:paraId="56385D52" w14:textId="7B8AD674" w:rsidR="00A21290" w:rsidRPr="003B74E0" w:rsidRDefault="00D64E82" w:rsidP="009B7F81">
      <w:pPr>
        <w:pStyle w:val="DSBodyTextIndent1"/>
        <w:jc w:val="both"/>
      </w:pPr>
      <w:r w:rsidRPr="003B74E0">
        <w:t xml:space="preserve">In the </w:t>
      </w:r>
      <w:r w:rsidR="00A92BA1">
        <w:t xml:space="preserve">2024 </w:t>
      </w:r>
      <w:r w:rsidRPr="003B74E0">
        <w:t>Annual Report, the Company announced its financial outlook for the financial year 2025.</w:t>
      </w:r>
      <w:r w:rsidR="00082D36" w:rsidRPr="003B74E0">
        <w:t xml:space="preserve"> </w:t>
      </w:r>
    </w:p>
    <w:p w14:paraId="15A0B2F1" w14:textId="77777777" w:rsidR="00082D36" w:rsidRPr="003B74E0" w:rsidRDefault="00082D36" w:rsidP="009B7F81">
      <w:pPr>
        <w:pStyle w:val="DSBodyTextIndent1"/>
        <w:jc w:val="both"/>
      </w:pPr>
    </w:p>
    <w:p w14:paraId="2873C10F" w14:textId="0580625E" w:rsidR="00082D36" w:rsidRPr="003B74E0" w:rsidRDefault="00862DBC" w:rsidP="009B7F81">
      <w:pPr>
        <w:pStyle w:val="DSBodyTextIndent1"/>
        <w:jc w:val="both"/>
      </w:pPr>
      <w:r w:rsidRPr="003B74E0">
        <w:t xml:space="preserve">In the 2025 Q3 Report, the Company </w:t>
      </w:r>
      <w:r w:rsidR="001B23C8" w:rsidRPr="003B74E0">
        <w:t xml:space="preserve">narrowed </w:t>
      </w:r>
      <w:r w:rsidR="001A13BC" w:rsidRPr="003B74E0">
        <w:t>parts of the fina</w:t>
      </w:r>
      <w:r w:rsidR="00081AA4">
        <w:t>n</w:t>
      </w:r>
      <w:r w:rsidR="001A13BC" w:rsidRPr="003B74E0">
        <w:t>cial outlook for 2025 fina</w:t>
      </w:r>
      <w:r w:rsidR="000A0BFC">
        <w:t>n</w:t>
      </w:r>
      <w:r w:rsidR="001A13BC" w:rsidRPr="003B74E0">
        <w:t xml:space="preserve">cial year. </w:t>
      </w:r>
      <w:r w:rsidR="00E3764A">
        <w:t xml:space="preserve">In </w:t>
      </w:r>
      <w:r w:rsidR="00C838A0">
        <w:t>A</w:t>
      </w:r>
      <w:r w:rsidR="00E3764A">
        <w:t>nnouncement 15/2025</w:t>
      </w:r>
      <w:r w:rsidR="00F430AC">
        <w:t>, the Company narrowed parts of the financial outlook for 2025 further.</w:t>
      </w:r>
      <w:r w:rsidR="004C5ABC">
        <w:t xml:space="preserve"> </w:t>
      </w:r>
      <w:r w:rsidR="001A13BC" w:rsidRPr="003B74E0">
        <w:t xml:space="preserve">The </w:t>
      </w:r>
      <w:r w:rsidR="00F73C78" w:rsidRPr="003B74E0">
        <w:t>narrowed financial outlook for the 2025 financial year is as follows:</w:t>
      </w:r>
    </w:p>
    <w:p w14:paraId="54D0B6A9" w14:textId="77777777" w:rsidR="00F73C78" w:rsidRPr="003B74E0" w:rsidRDefault="00F73C78" w:rsidP="009B7F81">
      <w:pPr>
        <w:pStyle w:val="DSBodyTextIndent1"/>
        <w:jc w:val="both"/>
      </w:pPr>
    </w:p>
    <w:p w14:paraId="551FB195" w14:textId="4B4EFE62" w:rsidR="009B7F81" w:rsidRPr="003B74E0" w:rsidRDefault="009B7F81" w:rsidP="009B7F81">
      <w:pPr>
        <w:pStyle w:val="DSBodyTextIndent1"/>
        <w:jc w:val="both"/>
      </w:pPr>
      <w:r w:rsidRPr="003B74E0">
        <w:t xml:space="preserve">Organic growth is expected to be </w:t>
      </w:r>
      <w:r w:rsidR="007E25AF">
        <w:t xml:space="preserve">0% to </w:t>
      </w:r>
      <w:r w:rsidRPr="003B74E0">
        <w:t>1% (</w:t>
      </w:r>
      <w:r w:rsidR="00277AAA">
        <w:t xml:space="preserve">in the </w:t>
      </w:r>
      <w:r w:rsidR="00FE2187">
        <w:t>2025 Q3 Report</w:t>
      </w:r>
      <w:r w:rsidRPr="003B74E0">
        <w:t xml:space="preserve"> </w:t>
      </w:r>
      <w:r w:rsidR="000A73FC">
        <w:t xml:space="preserve">around </w:t>
      </w:r>
      <w:r w:rsidRPr="003B74E0">
        <w:t>1%</w:t>
      </w:r>
      <w:r w:rsidR="00FB1536">
        <w:t xml:space="preserve"> and </w:t>
      </w:r>
      <w:r w:rsidR="00FE2187">
        <w:t xml:space="preserve">in the </w:t>
      </w:r>
      <w:r w:rsidR="00A92BA1">
        <w:t xml:space="preserve">2024 </w:t>
      </w:r>
      <w:r w:rsidR="00FE2187">
        <w:t>Annual Report</w:t>
      </w:r>
      <w:r w:rsidR="00FB1536">
        <w:t xml:space="preserve"> 1% to 3%</w:t>
      </w:r>
      <w:r w:rsidRPr="003B74E0">
        <w:t>). The EBITDA margin before special items is expected to be in the range of 13% to 14%, based on tariffs being offset with supply chain activities and pricing as well as continued structural cost reductions.</w:t>
      </w:r>
    </w:p>
    <w:p w14:paraId="3BEC7D24" w14:textId="77777777" w:rsidR="009B7F81" w:rsidRPr="003B74E0" w:rsidRDefault="009B7F81" w:rsidP="009B7F81">
      <w:pPr>
        <w:pStyle w:val="DSBodyTextIndent1"/>
        <w:jc w:val="both"/>
      </w:pPr>
    </w:p>
    <w:p w14:paraId="7A89AA03" w14:textId="77777777" w:rsidR="009B7F81" w:rsidRPr="003B74E0" w:rsidRDefault="009B7F81" w:rsidP="009B7F81">
      <w:pPr>
        <w:pStyle w:val="DSBodyTextIndent1"/>
        <w:jc w:val="both"/>
      </w:pPr>
      <w:r w:rsidRPr="003B74E0">
        <w:t>The financial outlook is based on several assumptions including:</w:t>
      </w:r>
    </w:p>
    <w:p w14:paraId="1BEA787A" w14:textId="77777777" w:rsidR="009B7F81" w:rsidRPr="003B74E0" w:rsidRDefault="009B7F81" w:rsidP="008B185A">
      <w:pPr>
        <w:pStyle w:val="ListBullet2"/>
      </w:pPr>
      <w:r w:rsidRPr="003B74E0">
        <w:t>Stable market conditions in EMEA</w:t>
      </w:r>
    </w:p>
    <w:p w14:paraId="0D1CA09D" w14:textId="77777777" w:rsidR="009B7F81" w:rsidRPr="003B74E0" w:rsidRDefault="009B7F81" w:rsidP="008B185A">
      <w:pPr>
        <w:pStyle w:val="ListBullet2"/>
      </w:pPr>
      <w:r w:rsidRPr="003B74E0">
        <w:t>Reduced market uncertainty following the government reopening and tariff stability in the US</w:t>
      </w:r>
    </w:p>
    <w:p w14:paraId="1E4A54AB" w14:textId="77777777" w:rsidR="009B7F81" w:rsidRPr="003B74E0" w:rsidRDefault="009B7F81" w:rsidP="008B185A">
      <w:pPr>
        <w:pStyle w:val="ListBullet2"/>
      </w:pPr>
      <w:r w:rsidRPr="003B74E0">
        <w:t>The APAC region maintaining moderate growth</w:t>
      </w:r>
    </w:p>
    <w:p w14:paraId="249EEF5A" w14:textId="77777777" w:rsidR="009B7F81" w:rsidRPr="003B74E0" w:rsidRDefault="009B7F81" w:rsidP="008B185A">
      <w:pPr>
        <w:pStyle w:val="ListBullet2"/>
      </w:pPr>
      <w:r w:rsidRPr="003B74E0">
        <w:t>Trade wars do not intensify and/or lead to a recession in key markets</w:t>
      </w:r>
    </w:p>
    <w:p w14:paraId="49DDAB21" w14:textId="77777777" w:rsidR="008B185A" w:rsidRPr="003B74E0" w:rsidRDefault="008B185A" w:rsidP="009B7F81">
      <w:pPr>
        <w:pStyle w:val="DSBodyTextIndent1"/>
        <w:jc w:val="both"/>
      </w:pPr>
    </w:p>
    <w:p w14:paraId="329CAB0B" w14:textId="23B7FE9B" w:rsidR="00F547E8" w:rsidRPr="003B74E0" w:rsidRDefault="009B7F81" w:rsidP="00A05058">
      <w:pPr>
        <w:pStyle w:val="DSBodyTextIndent1"/>
        <w:jc w:val="both"/>
      </w:pPr>
      <w:r w:rsidRPr="003B74E0">
        <w:t xml:space="preserve">The share of profit from associates has been reclassified as part of operating profit to reflect Nilfisk’s increased focus on M2H within its go-to-market strategy. This change has also resulted in a positive impact on EBITDA before special items. The EBITDA </w:t>
      </w:r>
      <w:r w:rsidR="002D4711">
        <w:t xml:space="preserve">margin </w:t>
      </w:r>
      <w:r w:rsidR="00052AB3">
        <w:t>before special items</w:t>
      </w:r>
      <w:r w:rsidRPr="003B74E0">
        <w:t xml:space="preserve"> outlook remains unchanged and is still expected to be in the range of 13%–14%, both with and without the reclassification.</w:t>
      </w:r>
    </w:p>
    <w:p w14:paraId="76BAFC04" w14:textId="77777777" w:rsidR="00960413" w:rsidRDefault="00960413" w:rsidP="00A05058">
      <w:pPr>
        <w:pStyle w:val="DSBodyTextIndent1"/>
        <w:jc w:val="both"/>
      </w:pPr>
    </w:p>
    <w:p w14:paraId="3DCDAE20" w14:textId="4E12EBE7" w:rsidR="00960413" w:rsidRPr="003B74E0" w:rsidRDefault="00960413" w:rsidP="00A05058">
      <w:pPr>
        <w:pStyle w:val="DSBodyTextIndent1"/>
        <w:jc w:val="both"/>
      </w:pPr>
      <w:r>
        <w:t xml:space="preserve">The Company's financial outlook for 2025 constitutes forward-looking information. Please see section </w:t>
      </w:r>
      <w:r>
        <w:fldChar w:fldCharType="begin"/>
      </w:r>
      <w:r>
        <w:instrText xml:space="preserve"> REF _Ref217982563 \r \h </w:instrText>
      </w:r>
      <w:r>
        <w:fldChar w:fldCharType="separate"/>
      </w:r>
      <w:r w:rsidR="00DE5216">
        <w:t>10.2</w:t>
      </w:r>
      <w:r>
        <w:fldChar w:fldCharType="end"/>
      </w:r>
      <w:r w:rsidR="00DA5DB4">
        <w:t xml:space="preserve"> for a cautionary statement on forward-looking information. </w:t>
      </w:r>
    </w:p>
    <w:p w14:paraId="3FCE2B51" w14:textId="2793DFD8" w:rsidR="006C422A" w:rsidRPr="003B74E0" w:rsidRDefault="00C409D1" w:rsidP="00327FDB">
      <w:pPr>
        <w:pStyle w:val="DSHeadingNoToc3"/>
        <w:jc w:val="both"/>
        <w:rPr>
          <w:b/>
          <w:bCs/>
        </w:rPr>
      </w:pPr>
      <w:bookmarkStart w:id="47" w:name="_Toc132975985"/>
      <w:bookmarkStart w:id="48" w:name="_Toc194440312"/>
      <w:r w:rsidRPr="003B74E0">
        <w:rPr>
          <w:b/>
          <w:bCs/>
          <w:lang w:bidi="en-GB"/>
        </w:rPr>
        <w:t xml:space="preserve">Risk </w:t>
      </w:r>
      <w:r w:rsidR="00BA4872" w:rsidRPr="003B74E0">
        <w:rPr>
          <w:b/>
          <w:bCs/>
          <w:lang w:bidi="en-GB"/>
        </w:rPr>
        <w:t>f</w:t>
      </w:r>
      <w:r w:rsidRPr="003B74E0">
        <w:rPr>
          <w:b/>
          <w:bCs/>
          <w:lang w:bidi="en-GB"/>
        </w:rPr>
        <w:t>actors</w:t>
      </w:r>
      <w:bookmarkEnd w:id="47"/>
      <w:bookmarkEnd w:id="48"/>
    </w:p>
    <w:p w14:paraId="00B70A09" w14:textId="0DEF2E20" w:rsidR="000E2F11" w:rsidRPr="003B74E0" w:rsidRDefault="000C3A64" w:rsidP="000C3A64">
      <w:pPr>
        <w:pStyle w:val="DSBodyTextIndent1"/>
        <w:jc w:val="both"/>
        <w:rPr>
          <w:lang w:bidi="en-GB"/>
        </w:rPr>
      </w:pPr>
      <w:r w:rsidRPr="003B74E0">
        <w:rPr>
          <w:lang w:bidi="en-GB"/>
        </w:rPr>
        <w:lastRenderedPageBreak/>
        <w:t>The abovementioned financial outlook for 2025 for the Company should be seen in the light of the risks associated</w:t>
      </w:r>
      <w:r w:rsidR="00A92BA1">
        <w:rPr>
          <w:lang w:bidi="en-GB"/>
        </w:rPr>
        <w:t xml:space="preserve"> </w:t>
      </w:r>
      <w:r w:rsidRPr="003B74E0">
        <w:rPr>
          <w:lang w:bidi="en-GB"/>
        </w:rPr>
        <w:t>with its business. Below is a non-exhaustive list of key risks that may affect the Company:</w:t>
      </w:r>
    </w:p>
    <w:p w14:paraId="0A382EC6" w14:textId="77777777" w:rsidR="005A77EC" w:rsidRPr="003B74E0" w:rsidRDefault="005A77EC" w:rsidP="000C3A64">
      <w:pPr>
        <w:pStyle w:val="DSBodyTextIndent1"/>
        <w:jc w:val="both"/>
        <w:rPr>
          <w:lang w:bidi="en-GB"/>
        </w:rPr>
      </w:pPr>
    </w:p>
    <w:p w14:paraId="1B44CF9D" w14:textId="25D3DC74" w:rsidR="000C3A64" w:rsidRPr="003B74E0" w:rsidRDefault="00866F58" w:rsidP="000C3A64">
      <w:pPr>
        <w:pStyle w:val="ListBullet2"/>
      </w:pPr>
      <w:r w:rsidRPr="003B74E0">
        <w:t>Commoditi</w:t>
      </w:r>
      <w:r w:rsidR="00827461">
        <w:t>s</w:t>
      </w:r>
      <w:r w:rsidRPr="003B74E0">
        <w:t>ation and competition</w:t>
      </w:r>
    </w:p>
    <w:p w14:paraId="7EAB49BA" w14:textId="74D43AA1" w:rsidR="00866F58" w:rsidRPr="003B74E0" w:rsidRDefault="00866F58" w:rsidP="000C3A64">
      <w:pPr>
        <w:pStyle w:val="ListBullet2"/>
      </w:pPr>
      <w:r w:rsidRPr="003B74E0">
        <w:t>Economic and political instability</w:t>
      </w:r>
    </w:p>
    <w:p w14:paraId="25FD8E55" w14:textId="6A404D19" w:rsidR="00866F58" w:rsidRPr="003B74E0" w:rsidRDefault="00866F58" w:rsidP="000C3A64">
      <w:pPr>
        <w:pStyle w:val="ListBullet2"/>
      </w:pPr>
      <w:r w:rsidRPr="003B74E0">
        <w:t>Cyber and IT security</w:t>
      </w:r>
    </w:p>
    <w:p w14:paraId="43BA4741" w14:textId="11BDF022" w:rsidR="00866F58" w:rsidRPr="003B74E0" w:rsidRDefault="00866F58" w:rsidP="000C3A64">
      <w:pPr>
        <w:pStyle w:val="ListBullet2"/>
      </w:pPr>
      <w:r w:rsidRPr="003B74E0">
        <w:t>Failure to innovate</w:t>
      </w:r>
    </w:p>
    <w:p w14:paraId="4F332D60" w14:textId="5BC11E2D" w:rsidR="00866F58" w:rsidRPr="003B74E0" w:rsidRDefault="00866F58" w:rsidP="000C3A64">
      <w:pPr>
        <w:pStyle w:val="ListBullet2"/>
      </w:pPr>
      <w:r w:rsidRPr="003B74E0">
        <w:t>Data integrity, quality and privacy</w:t>
      </w:r>
    </w:p>
    <w:p w14:paraId="4DF81B5F" w14:textId="77777777" w:rsidR="00C61CDF" w:rsidRPr="003B74E0" w:rsidRDefault="00C61CDF" w:rsidP="00C61CDF">
      <w:pPr>
        <w:pStyle w:val="ListBullet"/>
      </w:pPr>
    </w:p>
    <w:p w14:paraId="1EF1C604" w14:textId="06A155D5" w:rsidR="00C61CDF" w:rsidRPr="003B74E0" w:rsidRDefault="00C61CDF" w:rsidP="00A92BA1">
      <w:pPr>
        <w:pStyle w:val="DSBodyTextIndent1"/>
        <w:jc w:val="both"/>
        <w:rPr>
          <w:lang w:bidi="en-GB"/>
        </w:rPr>
      </w:pPr>
      <w:r w:rsidRPr="003B74E0">
        <w:rPr>
          <w:lang w:bidi="en-GB"/>
        </w:rPr>
        <w:t xml:space="preserve">The key risks are </w:t>
      </w:r>
      <w:r w:rsidR="004B61EA" w:rsidRPr="003B74E0">
        <w:rPr>
          <w:lang w:bidi="en-GB"/>
        </w:rPr>
        <w:t>described</w:t>
      </w:r>
      <w:r w:rsidRPr="003B74E0">
        <w:rPr>
          <w:lang w:bidi="en-GB"/>
        </w:rPr>
        <w:t xml:space="preserve"> in further detail, along with mitigating actions, on pages 59</w:t>
      </w:r>
      <w:r w:rsidR="00827461">
        <w:rPr>
          <w:lang w:bidi="en-GB"/>
        </w:rPr>
        <w:t>–</w:t>
      </w:r>
      <w:r w:rsidRPr="003B74E0">
        <w:rPr>
          <w:lang w:bidi="en-GB"/>
        </w:rPr>
        <w:t xml:space="preserve">60 of the </w:t>
      </w:r>
      <w:r w:rsidR="00A92BA1">
        <w:rPr>
          <w:lang w:bidi="en-GB"/>
        </w:rPr>
        <w:t xml:space="preserve">2024 </w:t>
      </w:r>
      <w:r w:rsidRPr="003B74E0">
        <w:rPr>
          <w:lang w:bidi="en-GB"/>
        </w:rPr>
        <w:t>Annual Report.</w:t>
      </w:r>
    </w:p>
    <w:p w14:paraId="157A59D0" w14:textId="5B0D12A4" w:rsidR="00C409D1" w:rsidRPr="003B74E0" w:rsidRDefault="00C409D1" w:rsidP="00A05058">
      <w:pPr>
        <w:pStyle w:val="Heading2"/>
        <w:jc w:val="both"/>
      </w:pPr>
      <w:bookmarkStart w:id="49" w:name="_Toc206831195"/>
      <w:bookmarkStart w:id="50" w:name="_Toc132975986"/>
      <w:bookmarkStart w:id="51" w:name="_Ref134097149"/>
      <w:bookmarkStart w:id="52" w:name="_Toc194440313"/>
      <w:bookmarkStart w:id="53" w:name="_Ref203648917"/>
      <w:bookmarkStart w:id="54" w:name="_Toc218590558"/>
      <w:bookmarkStart w:id="55" w:name="_Hlk194307928"/>
      <w:bookmarkEnd w:id="49"/>
      <w:r w:rsidRPr="003B74E0">
        <w:rPr>
          <w:lang w:bidi="en-GB"/>
        </w:rPr>
        <w:t xml:space="preserve">Change of </w:t>
      </w:r>
      <w:r w:rsidR="00BA4872" w:rsidRPr="003B74E0">
        <w:rPr>
          <w:lang w:bidi="en-GB"/>
        </w:rPr>
        <w:t>c</w:t>
      </w:r>
      <w:r w:rsidRPr="003B74E0">
        <w:rPr>
          <w:lang w:bidi="en-GB"/>
        </w:rPr>
        <w:t>ontrol</w:t>
      </w:r>
      <w:bookmarkEnd w:id="50"/>
      <w:bookmarkEnd w:id="51"/>
      <w:bookmarkEnd w:id="52"/>
      <w:bookmarkEnd w:id="53"/>
      <w:bookmarkEnd w:id="54"/>
    </w:p>
    <w:p w14:paraId="732F640B" w14:textId="28B96C9C" w:rsidR="00C75B16" w:rsidRPr="003B74E0" w:rsidRDefault="00C75B16" w:rsidP="00C75B16">
      <w:pPr>
        <w:pStyle w:val="NormalIndent"/>
        <w:jc w:val="both"/>
        <w:rPr>
          <w:lang w:bidi="en-GB"/>
        </w:rPr>
      </w:pPr>
      <w:bookmarkStart w:id="56" w:name="_Ref194221540"/>
      <w:bookmarkStart w:id="57" w:name="_Ref194424395"/>
      <w:bookmarkStart w:id="58" w:name="_Toc194440314"/>
      <w:bookmarkStart w:id="59" w:name="_Ref206086921"/>
      <w:bookmarkEnd w:id="55"/>
      <w:r w:rsidRPr="003B74E0">
        <w:rPr>
          <w:lang w:bidi="en-GB"/>
        </w:rPr>
        <w:t xml:space="preserve">Some of the agreements, including financing arrangements, to which the Group is a party, contain provisions that will or may take effect in case of a change of control over the Company, as would occur upon Completion of the Offer. </w:t>
      </w:r>
      <w:r w:rsidR="00297016">
        <w:rPr>
          <w:lang w:bidi="en-GB"/>
        </w:rPr>
        <w:t xml:space="preserve">The Offeror has provided documentation to the Company that it has the necessary financial resources to refinance the Company's existing debt that may become payable upon Completion of the Offer. </w:t>
      </w:r>
      <w:r w:rsidRPr="003B74E0">
        <w:rPr>
          <w:lang w:bidi="en-GB"/>
        </w:rPr>
        <w:t>For current Shareholders, change of control provisions in existing agreements to which the Group is a party are relevant</w:t>
      </w:r>
      <w:r w:rsidR="00827461">
        <w:rPr>
          <w:lang w:bidi="en-GB"/>
        </w:rPr>
        <w:t>,</w:t>
      </w:r>
      <w:r w:rsidRPr="003B74E0">
        <w:rPr>
          <w:lang w:bidi="en-GB"/>
        </w:rPr>
        <w:t xml:space="preserve"> primarily, if such Shareholders do not accept the Offer. It cannot be ruled out that other contracting parties, including the Group</w:t>
      </w:r>
      <w:r w:rsidR="00827461">
        <w:rPr>
          <w:lang w:bidi="en-GB"/>
        </w:rPr>
        <w:t>'</w:t>
      </w:r>
      <w:r w:rsidRPr="003B74E0">
        <w:rPr>
          <w:lang w:bidi="en-GB"/>
        </w:rPr>
        <w:t>s strategic business partners, may want to terminate agreements made with the Group if the Offer is Completed.</w:t>
      </w:r>
      <w:r w:rsidR="0095397C">
        <w:rPr>
          <w:lang w:bidi="en-GB"/>
        </w:rPr>
        <w:t xml:space="preserve"> </w:t>
      </w:r>
    </w:p>
    <w:p w14:paraId="7C1E0117" w14:textId="77777777" w:rsidR="00C75B16" w:rsidRPr="003B74E0" w:rsidRDefault="00C75B16" w:rsidP="00C75B16">
      <w:pPr>
        <w:pStyle w:val="DSBodyTextIndent1"/>
        <w:jc w:val="both"/>
        <w:rPr>
          <w:lang w:bidi="en-GB"/>
        </w:rPr>
      </w:pPr>
    </w:p>
    <w:p w14:paraId="67FA1303" w14:textId="0F3D629B" w:rsidR="00C75B16" w:rsidRPr="003B74E0" w:rsidRDefault="00A66C30" w:rsidP="00C75B16">
      <w:pPr>
        <w:pStyle w:val="DSBodyTextIndent1"/>
        <w:jc w:val="both"/>
        <w:rPr>
          <w:bCs/>
          <w:iCs/>
        </w:rPr>
      </w:pPr>
      <w:r w:rsidRPr="00263A35">
        <w:rPr>
          <w:bCs/>
          <w:iCs/>
        </w:rPr>
        <w:t>In the event of a Change of Control of the Company as defined in the Company Remuneration Policy, as would occur upon completion of the Offer, the Company's notice of termination will be extended from 18 to 24 months in relation to CEO Jon Sintorn and from 12 to 18 months in relation to CFO Carl Bandhold, while the CEO's notice of termination of his employment in this situation is extended from 9 to 12 months and the CFO's notice is extended from 6 to 9 months. The extended notice periods shall not apply if the CEO or CFO have given reasonable cause for the termination. In case of termination from either party's side due to a Change of Control event, the Company may not effect set-off in any new income, if the executive is released during the notice period.</w:t>
      </w:r>
      <w:r w:rsidR="00C75B16" w:rsidRPr="00263A35">
        <w:rPr>
          <w:bCs/>
          <w:iCs/>
        </w:rPr>
        <w:t xml:space="preserve"> </w:t>
      </w:r>
    </w:p>
    <w:p w14:paraId="7FB8375F" w14:textId="77777777" w:rsidR="00C75B16" w:rsidRPr="003B74E0" w:rsidRDefault="00C75B16" w:rsidP="00C75B16">
      <w:pPr>
        <w:pStyle w:val="DSBodyTextIndent1"/>
        <w:jc w:val="both"/>
      </w:pPr>
    </w:p>
    <w:p w14:paraId="59313D2F" w14:textId="2340018F" w:rsidR="00C75B16" w:rsidRPr="003B74E0" w:rsidRDefault="00C75B16" w:rsidP="00C75B16">
      <w:pPr>
        <w:pStyle w:val="DSBodyTextIndent1"/>
        <w:jc w:val="both"/>
      </w:pPr>
      <w:r w:rsidRPr="003B74E0">
        <w:t xml:space="preserve">The consequences for the Group's Share-Based Incentive Programs as a result of Completion of the Offer are described in section </w:t>
      </w:r>
      <w:r w:rsidRPr="003B74E0">
        <w:fldChar w:fldCharType="begin"/>
      </w:r>
      <w:r w:rsidRPr="003B74E0">
        <w:instrText xml:space="preserve"> REF _Ref134025496 \r \h  \* MERGEFORMAT </w:instrText>
      </w:r>
      <w:r w:rsidRPr="003B74E0">
        <w:fldChar w:fldCharType="separate"/>
      </w:r>
      <w:r w:rsidR="00DE5216">
        <w:t>5</w:t>
      </w:r>
      <w:r w:rsidRPr="003B74E0">
        <w:fldChar w:fldCharType="end"/>
      </w:r>
      <w:r w:rsidRPr="003B74E0">
        <w:t xml:space="preserve"> below.</w:t>
      </w:r>
    </w:p>
    <w:p w14:paraId="51050FB6" w14:textId="77777777" w:rsidR="00C75B16" w:rsidRPr="003B74E0" w:rsidRDefault="00C75B16" w:rsidP="00C75B16">
      <w:pPr>
        <w:pStyle w:val="DSBodyTextIndent1"/>
        <w:jc w:val="both"/>
      </w:pPr>
    </w:p>
    <w:p w14:paraId="4A389893" w14:textId="0082E7E2" w:rsidR="00C75B16" w:rsidRPr="003B74E0" w:rsidRDefault="00C75B16" w:rsidP="00C75B16">
      <w:pPr>
        <w:pStyle w:val="DSBodyTextIndent1"/>
        <w:jc w:val="both"/>
      </w:pPr>
      <w:r w:rsidRPr="003B74E0">
        <w:t>With reference to section 19 of the Takeover Order, neither the Offeror nor any person acting in concert with the Offeror has concluded any agreement on amendments to any existing agreements on bonus or similar incentive schemes to the members of the Board of Directors or the Executive Management, nor will any such agreement be concluded prior to Completion.</w:t>
      </w:r>
    </w:p>
    <w:p w14:paraId="251503B9" w14:textId="6AB3C021" w:rsidR="00C409D1" w:rsidRPr="003B74E0" w:rsidRDefault="00C409D1" w:rsidP="00A05058">
      <w:pPr>
        <w:pStyle w:val="Heading2"/>
        <w:jc w:val="both"/>
        <w:rPr>
          <w:lang w:bidi="en-GB"/>
        </w:rPr>
      </w:pPr>
      <w:bookmarkStart w:id="60" w:name="_Ref216246704"/>
      <w:bookmarkStart w:id="61" w:name="_Toc218590559"/>
      <w:r w:rsidRPr="003B74E0">
        <w:rPr>
          <w:lang w:bidi="en-GB"/>
        </w:rPr>
        <w:t xml:space="preserve">Fairness </w:t>
      </w:r>
      <w:bookmarkEnd w:id="56"/>
      <w:bookmarkEnd w:id="57"/>
      <w:bookmarkEnd w:id="58"/>
      <w:r w:rsidRPr="003B74E0">
        <w:rPr>
          <w:lang w:bidi="en-GB"/>
        </w:rPr>
        <w:t>Opinion</w:t>
      </w:r>
      <w:bookmarkEnd w:id="59"/>
      <w:bookmarkEnd w:id="60"/>
      <w:bookmarkEnd w:id="61"/>
    </w:p>
    <w:p w14:paraId="316404A5" w14:textId="1C288F18" w:rsidR="00F326E2" w:rsidRPr="003B74E0" w:rsidRDefault="00F326E2" w:rsidP="00F326E2">
      <w:pPr>
        <w:pStyle w:val="DSBodyTextIndent1"/>
        <w:jc w:val="both"/>
      </w:pPr>
      <w:r w:rsidRPr="003B74E0">
        <w:t xml:space="preserve">The Board of Directors' </w:t>
      </w:r>
      <w:r w:rsidRPr="003B74E0">
        <w:rPr>
          <w:lang w:bidi="en-GB"/>
        </w:rPr>
        <w:t xml:space="preserve">assessment of the financial merits of the Offer took </w:t>
      </w:r>
      <w:r w:rsidRPr="003B74E0">
        <w:t xml:space="preserve">into account, among other factors, the Fairness Opinion, dated </w:t>
      </w:r>
      <w:r w:rsidR="000F770A">
        <w:t>10 December 2025</w:t>
      </w:r>
      <w:r w:rsidRPr="003B74E0">
        <w:t xml:space="preserve">, from </w:t>
      </w:r>
      <w:r w:rsidR="00AB5749" w:rsidRPr="003B74E0">
        <w:t>DNB Carnegie</w:t>
      </w:r>
      <w:r w:rsidRPr="003B74E0">
        <w:t xml:space="preserve">, that, as of such date and based on and subject to the various assumptions made, procedures followed, matters considered and limitations and qualifications on the reviews undertaken by </w:t>
      </w:r>
      <w:r w:rsidR="001629B2" w:rsidRPr="003B74E0">
        <w:t>DN</w:t>
      </w:r>
      <w:r w:rsidR="001629B2">
        <w:t>B</w:t>
      </w:r>
      <w:r w:rsidR="001629B2" w:rsidRPr="003B74E0">
        <w:t xml:space="preserve"> </w:t>
      </w:r>
      <w:r w:rsidR="00AB5749" w:rsidRPr="003B74E0">
        <w:t>Carnegie</w:t>
      </w:r>
      <w:r w:rsidRPr="003B74E0">
        <w:t>, as set forth in the written opinion, the Offer</w:t>
      </w:r>
      <w:r w:rsidR="00586F62">
        <w:t xml:space="preserve"> is</w:t>
      </w:r>
      <w:r w:rsidRPr="003B74E0">
        <w:t xml:space="preserve">, from a financial point of view, </w:t>
      </w:r>
      <w:r w:rsidR="00586F62">
        <w:t xml:space="preserve">fair </w:t>
      </w:r>
      <w:r w:rsidRPr="003B74E0">
        <w:t>to the Shareholders.</w:t>
      </w:r>
    </w:p>
    <w:p w14:paraId="6512EA1B" w14:textId="77777777" w:rsidR="00F326E2" w:rsidRPr="003B74E0" w:rsidRDefault="00F326E2" w:rsidP="00F326E2">
      <w:pPr>
        <w:pStyle w:val="DSBodyTextIndent1"/>
        <w:jc w:val="both"/>
      </w:pPr>
    </w:p>
    <w:p w14:paraId="21AC088B" w14:textId="105BA7F2" w:rsidR="00F5133F" w:rsidRPr="003B74E0" w:rsidRDefault="00F326E2" w:rsidP="00F326E2">
      <w:pPr>
        <w:pStyle w:val="DSBodyTextIndent1"/>
        <w:jc w:val="both"/>
      </w:pPr>
      <w:r w:rsidRPr="003B74E0">
        <w:lastRenderedPageBreak/>
        <w:t>The full text of the Fairness Opinion is available, subject to certain restrictions, at</w:t>
      </w:r>
      <w:r w:rsidR="00B135A0" w:rsidRPr="00B135A0">
        <w:t xml:space="preserve"> https://investor.nilfisk.com/offer-site-to</w:t>
      </w:r>
      <w:r w:rsidR="000A7CBA">
        <w:t>l</w:t>
      </w:r>
      <w:r w:rsidR="00B135A0" w:rsidRPr="00B135A0">
        <w:t>shareholders</w:t>
      </w:r>
      <w:r w:rsidR="00AB5749" w:rsidRPr="003B74E0">
        <w:t xml:space="preserve">. The </w:t>
      </w:r>
      <w:r w:rsidRPr="003B74E0">
        <w:t>Fairness Opinion was provided solely for the information of the Board of Directors in its evaluation of the Offer and is not intended to be and does not constitute a recommendation to any Shareholder as to how such Shareholder should act on any matters relating to the Offer and may not be relied upon by any third party or used for any other purpose.</w:t>
      </w:r>
    </w:p>
    <w:p w14:paraId="6422B7D4" w14:textId="0652CBEF" w:rsidR="00F5133F" w:rsidRPr="003B74E0" w:rsidRDefault="00F5133F">
      <w:pPr>
        <w:spacing w:after="160" w:line="259" w:lineRule="auto"/>
      </w:pPr>
    </w:p>
    <w:p w14:paraId="24EAD178" w14:textId="6D261F8B" w:rsidR="00C409D1" w:rsidRPr="003B74E0" w:rsidRDefault="00C409D1" w:rsidP="007833EC">
      <w:pPr>
        <w:pStyle w:val="Heading1"/>
        <w:jc w:val="both"/>
      </w:pPr>
      <w:bookmarkStart w:id="62" w:name="_Ref134025496"/>
      <w:bookmarkStart w:id="63" w:name="_Toc194440315"/>
      <w:bookmarkStart w:id="64" w:name="_Toc218590560"/>
      <w:r w:rsidRPr="003B74E0">
        <w:t>Incentive programs</w:t>
      </w:r>
      <w:bookmarkEnd w:id="62"/>
      <w:bookmarkEnd w:id="63"/>
      <w:bookmarkEnd w:id="64"/>
      <w:r w:rsidR="00F46D99" w:rsidRPr="003B74E0">
        <w:t xml:space="preserve"> </w:t>
      </w:r>
    </w:p>
    <w:p w14:paraId="144E55B6" w14:textId="19E1F169" w:rsidR="00394F83" w:rsidRPr="003B74E0" w:rsidRDefault="001904F8" w:rsidP="007833EC">
      <w:pPr>
        <w:pStyle w:val="DSBodyTextIndent1"/>
        <w:jc w:val="both"/>
      </w:pPr>
      <w:bookmarkStart w:id="65" w:name="_Toc194440320"/>
      <w:r w:rsidRPr="003B74E0">
        <w:t xml:space="preserve">As of </w:t>
      </w:r>
      <w:r w:rsidR="00B36048" w:rsidRPr="003B74E0">
        <w:t>the date of this Statement</w:t>
      </w:r>
      <w:r w:rsidR="00AF7663" w:rsidRPr="003B74E0">
        <w:t>,</w:t>
      </w:r>
      <w:r w:rsidRPr="003B74E0">
        <w:t xml:space="preserve"> t</w:t>
      </w:r>
      <w:r w:rsidR="00394F83" w:rsidRPr="003B74E0">
        <w:t xml:space="preserve">he </w:t>
      </w:r>
      <w:r w:rsidR="00F3778E" w:rsidRPr="003B74E0">
        <w:t>Group</w:t>
      </w:r>
      <w:r w:rsidR="00394F83" w:rsidRPr="003B74E0">
        <w:t xml:space="preserve"> operates </w:t>
      </w:r>
      <w:r w:rsidR="00FE66E6">
        <w:t>two</w:t>
      </w:r>
      <w:r w:rsidR="00434638">
        <w:t xml:space="preserve"> (2)</w:t>
      </w:r>
      <w:r w:rsidR="00394F83" w:rsidRPr="003B74E0">
        <w:t xml:space="preserve"> share-based incentive </w:t>
      </w:r>
      <w:r w:rsidR="00F3778E" w:rsidRPr="003B74E0">
        <w:t>programs</w:t>
      </w:r>
      <w:r w:rsidR="00394F83" w:rsidRPr="003B74E0">
        <w:t xml:space="preserve"> (</w:t>
      </w:r>
      <w:r w:rsidR="00394F83" w:rsidRPr="003B74E0">
        <w:rPr>
          <w:b/>
          <w:bCs/>
        </w:rPr>
        <w:t>Share</w:t>
      </w:r>
      <w:r w:rsidR="004402B6" w:rsidRPr="003B74E0">
        <w:rPr>
          <w:b/>
          <w:bCs/>
        </w:rPr>
        <w:t>-Based Incentive Programs</w:t>
      </w:r>
      <w:r w:rsidR="00394F83" w:rsidRPr="003B74E0">
        <w:t>):</w:t>
      </w:r>
    </w:p>
    <w:p w14:paraId="1C3AEED3" w14:textId="77777777" w:rsidR="00394F83" w:rsidRPr="003B74E0" w:rsidRDefault="00394F83" w:rsidP="007833EC">
      <w:pPr>
        <w:pStyle w:val="DSBodyTextIndent1"/>
        <w:jc w:val="both"/>
      </w:pPr>
    </w:p>
    <w:p w14:paraId="1BE8E7FA" w14:textId="1D0A81E3" w:rsidR="00394F83" w:rsidRPr="003B74E0" w:rsidRDefault="00394F83" w:rsidP="007833EC">
      <w:pPr>
        <w:pStyle w:val="ListBullet"/>
        <w:numPr>
          <w:ilvl w:val="0"/>
          <w:numId w:val="28"/>
        </w:numPr>
        <w:jc w:val="both"/>
      </w:pPr>
      <w:r w:rsidRPr="003B74E0">
        <w:t>A</w:t>
      </w:r>
      <w:r w:rsidR="00E635E1" w:rsidRPr="003B74E0">
        <w:t xml:space="preserve"> one-off</w:t>
      </w:r>
      <w:r w:rsidRPr="003B74E0">
        <w:t xml:space="preserve"> warrant scheme </w:t>
      </w:r>
      <w:r w:rsidR="008C50FF" w:rsidRPr="003B74E0">
        <w:t xml:space="preserve">(the </w:t>
      </w:r>
      <w:r w:rsidR="008C50FF" w:rsidRPr="003B74E0">
        <w:rPr>
          <w:b/>
          <w:bCs/>
        </w:rPr>
        <w:t>Warrant Sc</w:t>
      </w:r>
      <w:r w:rsidR="003B74E0" w:rsidRPr="003B74E0">
        <w:rPr>
          <w:b/>
          <w:bCs/>
        </w:rPr>
        <w:t>h</w:t>
      </w:r>
      <w:r w:rsidR="008C50FF" w:rsidRPr="003B74E0">
        <w:rPr>
          <w:b/>
          <w:bCs/>
        </w:rPr>
        <w:t>eme</w:t>
      </w:r>
      <w:r w:rsidR="008C50FF" w:rsidRPr="003B74E0">
        <w:t xml:space="preserve">) </w:t>
      </w:r>
      <w:r w:rsidRPr="003B74E0">
        <w:t>pursuant to which the Company has granted warrants</w:t>
      </w:r>
      <w:r w:rsidR="008C50FF" w:rsidRPr="003B74E0">
        <w:t xml:space="preserve"> (the </w:t>
      </w:r>
      <w:r w:rsidR="008C50FF" w:rsidRPr="003B74E0">
        <w:rPr>
          <w:b/>
          <w:bCs/>
        </w:rPr>
        <w:t>Warrants</w:t>
      </w:r>
      <w:r w:rsidR="008C50FF" w:rsidRPr="003B74E0">
        <w:t>)</w:t>
      </w:r>
      <w:r w:rsidRPr="003B74E0">
        <w:t xml:space="preserve"> to members of the Executive Management and selected employees of the </w:t>
      </w:r>
      <w:r w:rsidR="009A0E56">
        <w:t>Group</w:t>
      </w:r>
      <w:r w:rsidRPr="003B74E0">
        <w:t>;</w:t>
      </w:r>
      <w:r w:rsidR="00B16D86" w:rsidRPr="003B74E0">
        <w:t xml:space="preserve"> and</w:t>
      </w:r>
    </w:p>
    <w:p w14:paraId="3F8A8476" w14:textId="7DBFA066" w:rsidR="00394F83" w:rsidRPr="003B74E0" w:rsidRDefault="008A4842" w:rsidP="007833EC">
      <w:pPr>
        <w:pStyle w:val="ListBullet"/>
        <w:numPr>
          <w:ilvl w:val="0"/>
          <w:numId w:val="28"/>
        </w:numPr>
        <w:jc w:val="both"/>
      </w:pPr>
      <w:r w:rsidRPr="003B74E0">
        <w:t>Annually</w:t>
      </w:r>
      <w:r w:rsidR="00E635E1" w:rsidRPr="003B74E0">
        <w:t xml:space="preserve"> recurring </w:t>
      </w:r>
      <w:r w:rsidR="00394F83" w:rsidRPr="003B74E0">
        <w:t xml:space="preserve">performance </w:t>
      </w:r>
      <w:r w:rsidR="00900F61" w:rsidRPr="003B74E0">
        <w:t>share</w:t>
      </w:r>
      <w:r w:rsidR="00394F83" w:rsidRPr="003B74E0">
        <w:t xml:space="preserve"> </w:t>
      </w:r>
      <w:r w:rsidR="00900F61" w:rsidRPr="003B74E0">
        <w:t>plan</w:t>
      </w:r>
      <w:r w:rsidR="00E635E1" w:rsidRPr="003B74E0">
        <w:t>s</w:t>
      </w:r>
      <w:r w:rsidR="00900F61" w:rsidRPr="003B74E0">
        <w:t xml:space="preserve"> (the </w:t>
      </w:r>
      <w:r w:rsidR="00900F61" w:rsidRPr="003B74E0">
        <w:rPr>
          <w:b/>
          <w:bCs/>
        </w:rPr>
        <w:t>PSP</w:t>
      </w:r>
      <w:r w:rsidR="00E635E1" w:rsidRPr="003B74E0">
        <w:rPr>
          <w:b/>
          <w:bCs/>
        </w:rPr>
        <w:t>s</w:t>
      </w:r>
      <w:r w:rsidR="00900F61" w:rsidRPr="003B74E0">
        <w:t>)</w:t>
      </w:r>
      <w:r w:rsidR="00394F83" w:rsidRPr="003B74E0">
        <w:t xml:space="preserve"> </w:t>
      </w:r>
      <w:r w:rsidR="00900F61" w:rsidRPr="003B74E0">
        <w:t xml:space="preserve">pursuant to which </w:t>
      </w:r>
      <w:r w:rsidR="00394F83" w:rsidRPr="003B74E0">
        <w:t xml:space="preserve">the Company has granted performance </w:t>
      </w:r>
      <w:r w:rsidR="00900F61" w:rsidRPr="003B74E0">
        <w:t xml:space="preserve">share units (the </w:t>
      </w:r>
      <w:r w:rsidR="00900F61" w:rsidRPr="003B74E0">
        <w:rPr>
          <w:b/>
          <w:bCs/>
        </w:rPr>
        <w:t>PSUs</w:t>
      </w:r>
      <w:r w:rsidR="00900F61" w:rsidRPr="003B74E0">
        <w:t xml:space="preserve">) </w:t>
      </w:r>
      <w:r w:rsidR="00394F83" w:rsidRPr="003B74E0">
        <w:t>to members of the Executive Management</w:t>
      </w:r>
      <w:r w:rsidR="00B16D86" w:rsidRPr="003B74E0">
        <w:t xml:space="preserve"> and selected employee</w:t>
      </w:r>
      <w:r w:rsidR="009A0E56">
        <w:t>s of the Group</w:t>
      </w:r>
      <w:r w:rsidR="00B16D86" w:rsidRPr="003B74E0">
        <w:t>.</w:t>
      </w:r>
    </w:p>
    <w:p w14:paraId="5CF872EC" w14:textId="77777777" w:rsidR="007B2D48" w:rsidRDefault="007B2D48" w:rsidP="007833EC">
      <w:pPr>
        <w:pStyle w:val="DSBodyTextIndent1"/>
        <w:jc w:val="both"/>
      </w:pPr>
    </w:p>
    <w:p w14:paraId="1B1D64D3" w14:textId="5E7EA5FC" w:rsidR="00ED7231" w:rsidRDefault="00ED7231" w:rsidP="007833EC">
      <w:pPr>
        <w:pStyle w:val="DSBodyTextIndent1"/>
        <w:jc w:val="both"/>
      </w:pPr>
      <w:r>
        <w:t>The Company has</w:t>
      </w:r>
      <w:r w:rsidR="00AB6785">
        <w:t xml:space="preserve"> in the Announcement Agreement</w:t>
      </w:r>
      <w:r>
        <w:t xml:space="preserve"> undertaken to</w:t>
      </w:r>
      <w:r w:rsidR="00474B4C">
        <w:t xml:space="preserve"> the Offeror </w:t>
      </w:r>
      <w:r w:rsidR="00474B4C" w:rsidRPr="00474B4C">
        <w:t>not to accelerate the vesting of the Warrants and the PSUs as a result of the Offer.</w:t>
      </w:r>
    </w:p>
    <w:p w14:paraId="28E59EA7" w14:textId="77777777" w:rsidR="00ED7231" w:rsidRDefault="00ED7231" w:rsidP="007833EC">
      <w:pPr>
        <w:pStyle w:val="DSBodyTextIndent1"/>
        <w:jc w:val="both"/>
      </w:pPr>
    </w:p>
    <w:p w14:paraId="2AC64EE8" w14:textId="0F93C3EE" w:rsidR="003D3415" w:rsidRDefault="00CD09A1" w:rsidP="003D3415">
      <w:pPr>
        <w:pStyle w:val="DSBodyTextIndent1"/>
        <w:jc w:val="both"/>
      </w:pPr>
      <w:r>
        <w:t>Pursuant to the Announcement Agreement, t</w:t>
      </w:r>
      <w:r w:rsidR="003D3415" w:rsidRPr="003D3415">
        <w:t xml:space="preserve">he Company </w:t>
      </w:r>
      <w:r w:rsidR="003D3415">
        <w:t xml:space="preserve">has </w:t>
      </w:r>
      <w:r w:rsidR="003D3415" w:rsidRPr="003D3415">
        <w:t xml:space="preserve">the right to continue the </w:t>
      </w:r>
      <w:r w:rsidR="003D3415">
        <w:t xml:space="preserve">PSP </w:t>
      </w:r>
      <w:r w:rsidR="003D3415" w:rsidRPr="00474B4C">
        <w:t xml:space="preserve">in </w:t>
      </w:r>
      <w:r w:rsidR="003307EB">
        <w:t>all material respects in</w:t>
      </w:r>
      <w:r w:rsidR="003D3415" w:rsidRPr="00474B4C">
        <w:t xml:space="preserve"> the </w:t>
      </w:r>
      <w:r w:rsidR="003D3415">
        <w:t>o</w:t>
      </w:r>
      <w:r w:rsidR="003D3415" w:rsidRPr="00474B4C">
        <w:t xml:space="preserve">rdinary </w:t>
      </w:r>
      <w:r w:rsidR="003D3415">
        <w:t>c</w:t>
      </w:r>
      <w:r w:rsidR="003D3415" w:rsidRPr="00474B4C">
        <w:t>ourse</w:t>
      </w:r>
      <w:r w:rsidR="003D3415">
        <w:t xml:space="preserve"> of business in accorda</w:t>
      </w:r>
      <w:r w:rsidR="00827461">
        <w:t>n</w:t>
      </w:r>
      <w:r w:rsidR="003D3415">
        <w:t>ce with past practice</w:t>
      </w:r>
      <w:r w:rsidR="003D3415" w:rsidRPr="003D3415">
        <w:t xml:space="preserve">, including by implementing a 2026 </w:t>
      </w:r>
      <w:r w:rsidR="003D3415">
        <w:t>PSP</w:t>
      </w:r>
      <w:r w:rsidR="00D0111A" w:rsidRPr="00D0111A">
        <w:t xml:space="preserve"> </w:t>
      </w:r>
      <w:r w:rsidR="00D0111A" w:rsidRPr="00474B4C">
        <w:t xml:space="preserve">in </w:t>
      </w:r>
      <w:r w:rsidR="003307EB">
        <w:t>all material respects in</w:t>
      </w:r>
      <w:r w:rsidR="00D0111A" w:rsidRPr="00474B4C">
        <w:t xml:space="preserve"> the </w:t>
      </w:r>
      <w:r w:rsidR="00D0111A">
        <w:t>o</w:t>
      </w:r>
      <w:r w:rsidR="00D0111A" w:rsidRPr="00474B4C">
        <w:t xml:space="preserve">rdinary </w:t>
      </w:r>
      <w:r w:rsidR="00D0111A">
        <w:t>c</w:t>
      </w:r>
      <w:r w:rsidR="00D0111A" w:rsidRPr="00474B4C">
        <w:t>ourse</w:t>
      </w:r>
      <w:r w:rsidR="00D0111A">
        <w:t xml:space="preserve"> of business in accordance with past practice on terms substantially similar to the existing PSPs</w:t>
      </w:r>
      <w:r w:rsidR="003D3415" w:rsidRPr="003D3415">
        <w:t xml:space="preserve">, and to issue PSUs </w:t>
      </w:r>
      <w:r w:rsidR="00D0111A">
        <w:t xml:space="preserve">under such 2026 PSP </w:t>
      </w:r>
      <w:r w:rsidR="003D3415" w:rsidRPr="003D3415">
        <w:t xml:space="preserve">to members of the Executive Management and selected employees of the Group </w:t>
      </w:r>
      <w:r w:rsidR="003D3415" w:rsidRPr="00474B4C">
        <w:t xml:space="preserve">in </w:t>
      </w:r>
      <w:r w:rsidR="003307EB">
        <w:t>all material respects</w:t>
      </w:r>
      <w:r w:rsidR="003D3415" w:rsidRPr="00474B4C">
        <w:t xml:space="preserve"> </w:t>
      </w:r>
      <w:r w:rsidR="003307EB">
        <w:t xml:space="preserve">in </w:t>
      </w:r>
      <w:r w:rsidR="003D3415" w:rsidRPr="00474B4C">
        <w:t xml:space="preserve">the </w:t>
      </w:r>
      <w:r w:rsidR="003D3415">
        <w:t>o</w:t>
      </w:r>
      <w:r w:rsidR="003D3415" w:rsidRPr="00474B4C">
        <w:t xml:space="preserve">rdinary </w:t>
      </w:r>
      <w:r w:rsidR="003D3415">
        <w:t>c</w:t>
      </w:r>
      <w:r w:rsidR="003D3415" w:rsidRPr="00474B4C">
        <w:t>ourse</w:t>
      </w:r>
      <w:r w:rsidR="003D3415">
        <w:t xml:space="preserve"> of business in accorda</w:t>
      </w:r>
      <w:r w:rsidR="00827461">
        <w:t>n</w:t>
      </w:r>
      <w:r w:rsidR="003D3415">
        <w:t>ce with past practice</w:t>
      </w:r>
      <w:r w:rsidR="003D3415" w:rsidRPr="003D3415">
        <w:t>.</w:t>
      </w:r>
    </w:p>
    <w:p w14:paraId="36DF9733" w14:textId="77777777" w:rsidR="003D3415" w:rsidRDefault="003D3415" w:rsidP="003D3415">
      <w:pPr>
        <w:pStyle w:val="DSBodyTextIndent1"/>
        <w:jc w:val="both"/>
      </w:pPr>
    </w:p>
    <w:p w14:paraId="191540A8" w14:textId="77777777" w:rsidR="00F5133F" w:rsidRPr="003B74E0" w:rsidRDefault="00F5133F" w:rsidP="003D3415">
      <w:pPr>
        <w:pStyle w:val="DSBodyTextIndent1"/>
        <w:jc w:val="both"/>
      </w:pPr>
      <w:r w:rsidRPr="003B74E0">
        <w:br w:type="page"/>
      </w:r>
    </w:p>
    <w:p w14:paraId="76A3CA6E" w14:textId="12849A51" w:rsidR="00624173" w:rsidRPr="003B74E0" w:rsidRDefault="00624173" w:rsidP="007833EC">
      <w:pPr>
        <w:pStyle w:val="Heading1"/>
        <w:jc w:val="both"/>
      </w:pPr>
      <w:bookmarkStart w:id="66" w:name="_Ref132647155"/>
      <w:bookmarkStart w:id="67" w:name="_Ref132647935"/>
      <w:bookmarkStart w:id="68" w:name="_Ref132648454"/>
      <w:bookmarkStart w:id="69" w:name="_Toc136939183"/>
      <w:bookmarkStart w:id="70" w:name="_Toc218590561"/>
      <w:bookmarkStart w:id="71" w:name="_Ref203811163"/>
      <w:r w:rsidRPr="003B74E0">
        <w:lastRenderedPageBreak/>
        <w:t>Announcement Agreement</w:t>
      </w:r>
      <w:bookmarkEnd w:id="66"/>
      <w:bookmarkEnd w:id="67"/>
      <w:bookmarkEnd w:id="68"/>
      <w:bookmarkEnd w:id="69"/>
      <w:bookmarkEnd w:id="70"/>
      <w:r w:rsidRPr="003B74E0">
        <w:t xml:space="preserve"> </w:t>
      </w:r>
      <w:bookmarkEnd w:id="71"/>
    </w:p>
    <w:p w14:paraId="0499D1CE" w14:textId="6E702199" w:rsidR="00624173" w:rsidRPr="003B74E0" w:rsidRDefault="00624173" w:rsidP="007833EC">
      <w:pPr>
        <w:pStyle w:val="NormalIndent"/>
        <w:jc w:val="both"/>
        <w:rPr>
          <w:lang w:bidi="en-GB"/>
        </w:rPr>
      </w:pPr>
      <w:r w:rsidRPr="003B74E0">
        <w:rPr>
          <w:lang w:bidi="en-GB"/>
        </w:rPr>
        <w:t>Below is a summary of certain terms and conditions of the Announcement Agreement that the Board of Directors finds are of particular importance for the purpose of this Statement.</w:t>
      </w:r>
    </w:p>
    <w:p w14:paraId="1C1283CF" w14:textId="77777777" w:rsidR="00624173" w:rsidRPr="003B74E0" w:rsidRDefault="00624173" w:rsidP="007833EC">
      <w:pPr>
        <w:pStyle w:val="NormalIndent"/>
        <w:jc w:val="both"/>
        <w:rPr>
          <w:rFonts w:asciiTheme="minorHAnsi" w:hAnsiTheme="minorHAnsi" w:cstheme="minorHAnsi"/>
        </w:rPr>
      </w:pPr>
    </w:p>
    <w:p w14:paraId="0F9E2171" w14:textId="4578F4A7" w:rsidR="004C237F" w:rsidRPr="003B74E0" w:rsidRDefault="00624173" w:rsidP="007833EC">
      <w:pPr>
        <w:ind w:left="851"/>
        <w:jc w:val="both"/>
        <w:rPr>
          <w:rFonts w:asciiTheme="minorHAnsi" w:hAnsiTheme="minorHAnsi" w:cstheme="minorHAnsi"/>
          <w:lang w:bidi="en-GB"/>
        </w:rPr>
      </w:pPr>
      <w:r w:rsidRPr="003B74E0">
        <w:rPr>
          <w:rFonts w:asciiTheme="minorHAnsi" w:hAnsiTheme="minorHAnsi" w:cstheme="minorHAnsi"/>
          <w:lang w:bidi="en-GB"/>
        </w:rPr>
        <w:t xml:space="preserve">In the Announcement Agreement, </w:t>
      </w:r>
      <w:r w:rsidR="006B2F39" w:rsidRPr="003B74E0">
        <w:rPr>
          <w:rFonts w:asciiTheme="minorHAnsi" w:hAnsiTheme="minorHAnsi" w:cstheme="minorHAnsi"/>
          <w:lang w:bidi="en-GB"/>
        </w:rPr>
        <w:t>the Offeror</w:t>
      </w:r>
      <w:r w:rsidRPr="003B74E0">
        <w:rPr>
          <w:rFonts w:asciiTheme="minorHAnsi" w:hAnsiTheme="minorHAnsi" w:cstheme="minorHAnsi"/>
          <w:lang w:bidi="en-GB"/>
        </w:rPr>
        <w:t xml:space="preserve"> undertook, subject to fulfilment of certain pre-conditions, to make the Offer. By publishing the Offer Document, </w:t>
      </w:r>
      <w:r w:rsidR="006B2F39" w:rsidRPr="003B74E0">
        <w:rPr>
          <w:rFonts w:asciiTheme="minorHAnsi" w:hAnsiTheme="minorHAnsi" w:cstheme="minorHAnsi"/>
          <w:lang w:bidi="en-GB"/>
        </w:rPr>
        <w:t>the Offeror</w:t>
      </w:r>
      <w:r w:rsidRPr="003B74E0">
        <w:rPr>
          <w:rFonts w:asciiTheme="minorHAnsi" w:hAnsiTheme="minorHAnsi" w:cstheme="minorHAnsi"/>
          <w:lang w:bidi="en-GB"/>
        </w:rPr>
        <w:t xml:space="preserve"> has confirmed that all pre-conditions for the making of the Offer ha</w:t>
      </w:r>
      <w:r w:rsidR="004C237F" w:rsidRPr="003B74E0">
        <w:rPr>
          <w:rFonts w:asciiTheme="minorHAnsi" w:hAnsiTheme="minorHAnsi" w:cstheme="minorHAnsi"/>
          <w:lang w:bidi="en-GB"/>
        </w:rPr>
        <w:t>ve</w:t>
      </w:r>
      <w:r w:rsidRPr="003B74E0">
        <w:rPr>
          <w:rFonts w:asciiTheme="minorHAnsi" w:hAnsiTheme="minorHAnsi" w:cstheme="minorHAnsi"/>
          <w:lang w:bidi="en-GB"/>
        </w:rPr>
        <w:t xml:space="preserve"> been satisfied.</w:t>
      </w:r>
      <w:r w:rsidR="00CD2E18" w:rsidRPr="003B74E0">
        <w:rPr>
          <w:rFonts w:asciiTheme="minorHAnsi" w:hAnsiTheme="minorHAnsi" w:cstheme="minorHAnsi"/>
          <w:lang w:bidi="en-GB"/>
        </w:rPr>
        <w:t xml:space="preserve"> </w:t>
      </w:r>
    </w:p>
    <w:p w14:paraId="79E641B0" w14:textId="77777777" w:rsidR="004C237F" w:rsidRPr="003B74E0" w:rsidRDefault="004C237F" w:rsidP="007833EC">
      <w:pPr>
        <w:ind w:left="851"/>
        <w:jc w:val="both"/>
        <w:rPr>
          <w:rFonts w:asciiTheme="minorHAnsi" w:hAnsiTheme="minorHAnsi" w:cstheme="minorHAnsi"/>
          <w:highlight w:val="yellow"/>
          <w:lang w:bidi="en-GB"/>
        </w:rPr>
      </w:pPr>
    </w:p>
    <w:p w14:paraId="2475CB16" w14:textId="0D34A040" w:rsidR="004C237F" w:rsidRPr="003B74E0" w:rsidRDefault="004C237F" w:rsidP="007833EC">
      <w:pPr>
        <w:ind w:left="851"/>
        <w:jc w:val="both"/>
        <w:rPr>
          <w:rFonts w:asciiTheme="minorHAnsi" w:hAnsiTheme="minorHAnsi" w:cstheme="minorHAnsi"/>
          <w:lang w:bidi="en-GB"/>
        </w:rPr>
      </w:pPr>
      <w:r w:rsidRPr="003B74E0">
        <w:rPr>
          <w:rFonts w:asciiTheme="minorHAnsi" w:hAnsiTheme="minorHAnsi" w:cstheme="minorHAnsi"/>
          <w:lang w:bidi="en-GB"/>
        </w:rPr>
        <w:t xml:space="preserve">Further, in the Announcement Agreement the Offeror has provided certain undertakings and covenants with respect to financing of the Offer and any subsequent </w:t>
      </w:r>
      <w:r w:rsidR="00AC7C34" w:rsidRPr="003B74E0">
        <w:rPr>
          <w:rFonts w:asciiTheme="minorHAnsi" w:hAnsiTheme="minorHAnsi" w:cstheme="minorHAnsi"/>
          <w:lang w:bidi="en-GB"/>
        </w:rPr>
        <w:t>c</w:t>
      </w:r>
      <w:r w:rsidRPr="003B74E0">
        <w:rPr>
          <w:rFonts w:asciiTheme="minorHAnsi" w:hAnsiTheme="minorHAnsi" w:cstheme="minorHAnsi"/>
          <w:lang w:bidi="en-GB"/>
        </w:rPr>
        <w:t xml:space="preserve">ompulsory </w:t>
      </w:r>
      <w:r w:rsidR="00AC7C34" w:rsidRPr="003B74E0">
        <w:rPr>
          <w:rFonts w:asciiTheme="minorHAnsi" w:hAnsiTheme="minorHAnsi" w:cstheme="minorHAnsi"/>
          <w:lang w:bidi="en-GB"/>
        </w:rPr>
        <w:t>a</w:t>
      </w:r>
      <w:r w:rsidRPr="003B74E0">
        <w:rPr>
          <w:rFonts w:asciiTheme="minorHAnsi" w:hAnsiTheme="minorHAnsi" w:cstheme="minorHAnsi"/>
          <w:lang w:bidi="en-GB"/>
        </w:rPr>
        <w:t>cquisition, including to ensure that the Offeror at Completion will have, until the Long Stop Date</w:t>
      </w:r>
      <w:r w:rsidR="00E33E47" w:rsidRPr="003B74E0">
        <w:rPr>
          <w:rFonts w:asciiTheme="minorHAnsi" w:hAnsiTheme="minorHAnsi" w:cstheme="minorHAnsi"/>
          <w:lang w:bidi="en-GB"/>
        </w:rPr>
        <w:t xml:space="preserve"> (as defined below)</w:t>
      </w:r>
      <w:r w:rsidRPr="003B74E0">
        <w:rPr>
          <w:rFonts w:asciiTheme="minorHAnsi" w:hAnsiTheme="minorHAnsi" w:cstheme="minorHAnsi"/>
          <w:lang w:bidi="en-GB"/>
        </w:rPr>
        <w:t>, the funds available to it required to pay the Offer Price required to purchase and pay for any and all Shares tendered in the Offer</w:t>
      </w:r>
      <w:r w:rsidR="006E19B1">
        <w:rPr>
          <w:rFonts w:asciiTheme="minorHAnsi" w:hAnsiTheme="minorHAnsi" w:cstheme="minorHAnsi"/>
          <w:lang w:bidi="en-GB"/>
        </w:rPr>
        <w:t xml:space="preserve"> </w:t>
      </w:r>
      <w:r w:rsidR="00EB7637" w:rsidRPr="003B74E0">
        <w:rPr>
          <w:rFonts w:asciiTheme="minorHAnsi" w:hAnsiTheme="minorHAnsi" w:cstheme="minorHAnsi"/>
          <w:lang w:bidi="en-GB"/>
        </w:rPr>
        <w:t xml:space="preserve">on terms </w:t>
      </w:r>
      <w:r w:rsidR="00EB7637" w:rsidRPr="003B74E0">
        <w:rPr>
          <w:rFonts w:asciiTheme="minorHAnsi" w:hAnsiTheme="minorHAnsi" w:cstheme="minorHAnsi"/>
        </w:rPr>
        <w:t>sufficiently certain to comply with the Takeover Order</w:t>
      </w:r>
      <w:r w:rsidR="00EB7637">
        <w:rPr>
          <w:rFonts w:asciiTheme="minorHAnsi" w:hAnsiTheme="minorHAnsi" w:cstheme="minorHAnsi"/>
          <w:lang w:bidi="en-GB"/>
        </w:rPr>
        <w:t xml:space="preserve"> </w:t>
      </w:r>
      <w:r w:rsidR="006E19B1">
        <w:rPr>
          <w:rFonts w:asciiTheme="minorHAnsi" w:hAnsiTheme="minorHAnsi" w:cstheme="minorHAnsi"/>
          <w:lang w:bidi="en-GB"/>
        </w:rPr>
        <w:t xml:space="preserve">as well as to refinance any </w:t>
      </w:r>
      <w:r w:rsidR="00061AD2" w:rsidRPr="00061AD2">
        <w:rPr>
          <w:rFonts w:asciiTheme="minorHAnsi" w:hAnsiTheme="minorHAnsi" w:cstheme="minorHAnsi"/>
          <w:lang w:bidi="en-GB"/>
        </w:rPr>
        <w:t xml:space="preserve">of the Group's debt that may become due and payable as a result of the </w:t>
      </w:r>
      <w:r w:rsidR="00494C1F">
        <w:rPr>
          <w:rFonts w:asciiTheme="minorHAnsi" w:hAnsiTheme="minorHAnsi" w:cstheme="minorHAnsi"/>
          <w:lang w:bidi="en-GB"/>
        </w:rPr>
        <w:t>C</w:t>
      </w:r>
      <w:r w:rsidR="00061AD2" w:rsidRPr="00061AD2">
        <w:rPr>
          <w:rFonts w:asciiTheme="minorHAnsi" w:hAnsiTheme="minorHAnsi" w:cstheme="minorHAnsi"/>
          <w:lang w:bidi="en-GB"/>
        </w:rPr>
        <w:t>ompletion of the Offer</w:t>
      </w:r>
      <w:r w:rsidRPr="003B74E0">
        <w:rPr>
          <w:rFonts w:asciiTheme="minorHAnsi" w:hAnsiTheme="minorHAnsi" w:cstheme="minorHAnsi"/>
        </w:rPr>
        <w:t>.</w:t>
      </w:r>
    </w:p>
    <w:p w14:paraId="6D896420" w14:textId="77777777" w:rsidR="00624173" w:rsidRPr="003B74E0" w:rsidRDefault="00624173" w:rsidP="00A05058">
      <w:pPr>
        <w:jc w:val="both"/>
        <w:rPr>
          <w:rFonts w:asciiTheme="minorHAnsi" w:hAnsiTheme="minorHAnsi" w:cstheme="minorHAnsi"/>
          <w:highlight w:val="yellow"/>
          <w:lang w:bidi="en-GB"/>
        </w:rPr>
      </w:pPr>
    </w:p>
    <w:p w14:paraId="5B533507" w14:textId="39068558" w:rsidR="00B144B7" w:rsidRDefault="00624173" w:rsidP="00236474">
      <w:pPr>
        <w:ind w:left="851"/>
        <w:jc w:val="both"/>
        <w:rPr>
          <w:rFonts w:asciiTheme="minorHAnsi" w:hAnsiTheme="minorHAnsi" w:cstheme="minorHAnsi"/>
          <w:lang w:bidi="en-GB"/>
        </w:rPr>
      </w:pPr>
      <w:r w:rsidRPr="003B74E0">
        <w:rPr>
          <w:rFonts w:asciiTheme="minorHAnsi" w:hAnsiTheme="minorHAnsi" w:cstheme="minorHAnsi"/>
          <w:lang w:bidi="en-GB"/>
        </w:rPr>
        <w:t>Upon and subject to the Offer being made and the Offer Document being published in accordance with the terms and conditions of the Announcement Agreement, the Board of Directors undertook in the Announcement Agreement to recommend the Shareholders to accept the Offer and to not withdraw such recommendation or amend it in a manner adverse to the Offer</w:t>
      </w:r>
      <w:r w:rsidR="006B2F39" w:rsidRPr="003B74E0">
        <w:rPr>
          <w:rFonts w:asciiTheme="minorHAnsi" w:hAnsiTheme="minorHAnsi" w:cstheme="minorHAnsi"/>
          <w:lang w:bidi="en-GB"/>
        </w:rPr>
        <w:t xml:space="preserve">. </w:t>
      </w:r>
      <w:r w:rsidRPr="003B74E0">
        <w:rPr>
          <w:rFonts w:asciiTheme="minorHAnsi" w:hAnsiTheme="minorHAnsi" w:cstheme="minorHAnsi"/>
          <w:lang w:bidi="en-GB"/>
        </w:rPr>
        <w:t xml:space="preserve">However, the Announcement Agreement specifically provides that to </w:t>
      </w:r>
      <w:r w:rsidR="006B2F39" w:rsidRPr="003B74E0">
        <w:rPr>
          <w:rFonts w:asciiTheme="minorHAnsi" w:hAnsiTheme="minorHAnsi" w:cstheme="minorHAnsi"/>
          <w:lang w:bidi="en-GB"/>
        </w:rPr>
        <w:t>the extent that a third party publishes a competing offer or otherwise publishes a decision to conduct an alternative transaction or publishes any decision to make a competing offer or an alternative transaction, in each case provided that such competing offer or other alternative transaction is a superior alternative transaction proposal,</w:t>
      </w:r>
      <w:r w:rsidR="00236474">
        <w:rPr>
          <w:rFonts w:asciiTheme="minorHAnsi" w:hAnsiTheme="minorHAnsi" w:cstheme="minorHAnsi"/>
          <w:lang w:bidi="en-GB"/>
        </w:rPr>
        <w:t xml:space="preserve"> then</w:t>
      </w:r>
      <w:r w:rsidR="00CF207B">
        <w:rPr>
          <w:rFonts w:asciiTheme="minorHAnsi" w:hAnsiTheme="minorHAnsi" w:cstheme="minorHAnsi"/>
          <w:lang w:bidi="en-GB"/>
        </w:rPr>
        <w:t xml:space="preserve"> the </w:t>
      </w:r>
      <w:r w:rsidR="00236474" w:rsidRPr="003B74E0">
        <w:rPr>
          <w:rFonts w:asciiTheme="minorHAnsi" w:hAnsiTheme="minorHAnsi" w:cstheme="minorHAnsi"/>
          <w:lang w:bidi="en-GB"/>
        </w:rPr>
        <w:t xml:space="preserve">Board of Directors </w:t>
      </w:r>
      <w:r w:rsidR="00236474" w:rsidRPr="00236474">
        <w:rPr>
          <w:rFonts w:asciiTheme="minorHAnsi" w:hAnsiTheme="minorHAnsi" w:cstheme="minorHAnsi"/>
          <w:lang w:bidi="en-GB"/>
        </w:rPr>
        <w:t xml:space="preserve">shall not be under any obligation to </w:t>
      </w:r>
      <w:r w:rsidR="00942474">
        <w:rPr>
          <w:rFonts w:asciiTheme="minorHAnsi" w:hAnsiTheme="minorHAnsi" w:cstheme="minorHAnsi"/>
          <w:lang w:bidi="en-GB"/>
        </w:rPr>
        <w:t>not withdraw</w:t>
      </w:r>
      <w:r w:rsidR="00236474" w:rsidRPr="00236474">
        <w:rPr>
          <w:rFonts w:asciiTheme="minorHAnsi" w:hAnsiTheme="minorHAnsi" w:cstheme="minorHAnsi"/>
          <w:lang w:bidi="en-GB"/>
        </w:rPr>
        <w:t xml:space="preserve"> </w:t>
      </w:r>
      <w:r w:rsidR="001F7315">
        <w:rPr>
          <w:rFonts w:asciiTheme="minorHAnsi" w:hAnsiTheme="minorHAnsi" w:cstheme="minorHAnsi"/>
          <w:lang w:bidi="en-GB"/>
        </w:rPr>
        <w:t>its re</w:t>
      </w:r>
      <w:r w:rsidR="00F146B1">
        <w:rPr>
          <w:rFonts w:asciiTheme="minorHAnsi" w:hAnsiTheme="minorHAnsi" w:cstheme="minorHAnsi"/>
          <w:lang w:bidi="en-GB"/>
        </w:rPr>
        <w:t xml:space="preserve">commendation or amend it </w:t>
      </w:r>
      <w:r w:rsidR="00DA5EC8">
        <w:rPr>
          <w:rFonts w:asciiTheme="minorHAnsi" w:hAnsiTheme="minorHAnsi" w:cstheme="minorHAnsi"/>
          <w:lang w:bidi="en-GB"/>
        </w:rPr>
        <w:t>in a manner adverse to the Offer</w:t>
      </w:r>
      <w:r w:rsidR="000F12ED">
        <w:rPr>
          <w:rFonts w:asciiTheme="minorHAnsi" w:hAnsiTheme="minorHAnsi" w:cstheme="minorHAnsi"/>
          <w:lang w:bidi="en-GB"/>
        </w:rPr>
        <w:t xml:space="preserve">, provided that the </w:t>
      </w:r>
      <w:r w:rsidR="00614342">
        <w:rPr>
          <w:rFonts w:asciiTheme="minorHAnsi" w:hAnsiTheme="minorHAnsi" w:cstheme="minorHAnsi"/>
          <w:lang w:bidi="en-GB"/>
        </w:rPr>
        <w:t xml:space="preserve">Board of Directors shall give the Offeror </w:t>
      </w:r>
      <w:r w:rsidR="00494B07">
        <w:rPr>
          <w:rFonts w:asciiTheme="minorHAnsi" w:hAnsiTheme="minorHAnsi" w:cstheme="minorHAnsi"/>
          <w:lang w:bidi="en-GB"/>
        </w:rPr>
        <w:t>five (</w:t>
      </w:r>
      <w:r w:rsidR="00614342">
        <w:rPr>
          <w:rFonts w:asciiTheme="minorHAnsi" w:hAnsiTheme="minorHAnsi" w:cstheme="minorHAnsi"/>
          <w:lang w:bidi="en-GB"/>
        </w:rPr>
        <w:t>5</w:t>
      </w:r>
      <w:r w:rsidR="00494B07">
        <w:rPr>
          <w:rFonts w:asciiTheme="minorHAnsi" w:hAnsiTheme="minorHAnsi" w:cstheme="minorHAnsi"/>
          <w:lang w:bidi="en-GB"/>
        </w:rPr>
        <w:t>)</w:t>
      </w:r>
      <w:r w:rsidR="00614342">
        <w:rPr>
          <w:rFonts w:asciiTheme="minorHAnsi" w:hAnsiTheme="minorHAnsi" w:cstheme="minorHAnsi"/>
          <w:lang w:bidi="en-GB"/>
        </w:rPr>
        <w:t xml:space="preserve"> business days written notice of its intention to</w:t>
      </w:r>
      <w:r w:rsidR="00ED1766">
        <w:rPr>
          <w:rFonts w:asciiTheme="minorHAnsi" w:hAnsiTheme="minorHAnsi" w:cstheme="minorHAnsi"/>
          <w:lang w:bidi="en-GB"/>
        </w:rPr>
        <w:t xml:space="preserve"> withdraw </w:t>
      </w:r>
      <w:r w:rsidR="002125F2">
        <w:rPr>
          <w:rFonts w:asciiTheme="minorHAnsi" w:hAnsiTheme="minorHAnsi" w:cstheme="minorHAnsi"/>
          <w:lang w:bidi="en-GB"/>
        </w:rPr>
        <w:t xml:space="preserve">its recommendation </w:t>
      </w:r>
      <w:r w:rsidR="00ED1766">
        <w:rPr>
          <w:rFonts w:asciiTheme="minorHAnsi" w:hAnsiTheme="minorHAnsi" w:cstheme="minorHAnsi"/>
          <w:lang w:bidi="en-GB"/>
        </w:rPr>
        <w:t>or amend it in a manner adverse to the Offer</w:t>
      </w:r>
      <w:r w:rsidR="00EC568B">
        <w:rPr>
          <w:rFonts w:asciiTheme="minorHAnsi" w:hAnsiTheme="minorHAnsi" w:cstheme="minorHAnsi"/>
          <w:lang w:bidi="en-GB"/>
        </w:rPr>
        <w:t xml:space="preserve">, including to provide the Offeror with the </w:t>
      </w:r>
      <w:r w:rsidR="00EC568B" w:rsidRPr="00236474">
        <w:rPr>
          <w:rFonts w:asciiTheme="minorHAnsi" w:hAnsiTheme="minorHAnsi" w:cstheme="minorHAnsi"/>
          <w:lang w:bidi="en-GB"/>
        </w:rPr>
        <w:t>material terms of such</w:t>
      </w:r>
      <w:r w:rsidR="00EC568B">
        <w:rPr>
          <w:rFonts w:asciiTheme="minorHAnsi" w:hAnsiTheme="minorHAnsi" w:cstheme="minorHAnsi"/>
          <w:lang w:bidi="en-GB"/>
        </w:rPr>
        <w:t xml:space="preserve"> </w:t>
      </w:r>
      <w:r w:rsidR="00EC568B" w:rsidRPr="003B74E0">
        <w:rPr>
          <w:rFonts w:asciiTheme="minorHAnsi" w:hAnsiTheme="minorHAnsi" w:cstheme="minorHAnsi"/>
          <w:lang w:bidi="en-GB"/>
        </w:rPr>
        <w:t>superior alternative transaction proposal</w:t>
      </w:r>
      <w:r w:rsidR="00E92A14">
        <w:rPr>
          <w:rFonts w:asciiTheme="minorHAnsi" w:hAnsiTheme="minorHAnsi" w:cstheme="minorHAnsi"/>
          <w:lang w:bidi="en-GB"/>
        </w:rPr>
        <w:t xml:space="preserve"> subject to certain terms and conditions. </w:t>
      </w:r>
      <w:r w:rsidR="00B144B7">
        <w:rPr>
          <w:rFonts w:asciiTheme="minorHAnsi" w:hAnsiTheme="minorHAnsi" w:cstheme="minorHAnsi"/>
          <w:lang w:bidi="en-GB"/>
        </w:rPr>
        <w:t>In order for a transaction proposal to qualify as a superior alternative transaction proposal, the Board of Directors will have to determine</w:t>
      </w:r>
      <w:r w:rsidR="00B144B7" w:rsidRPr="00B144B7">
        <w:rPr>
          <w:rFonts w:asciiTheme="minorHAnsi" w:hAnsiTheme="minorHAnsi" w:cstheme="minorHAnsi"/>
          <w:lang w:bidi="en-GB"/>
        </w:rPr>
        <w:t xml:space="preserve"> (acting reasonably and in good faith)</w:t>
      </w:r>
      <w:r w:rsidR="00B144B7">
        <w:rPr>
          <w:rFonts w:asciiTheme="minorHAnsi" w:hAnsiTheme="minorHAnsi" w:cstheme="minorHAnsi"/>
          <w:lang w:bidi="en-GB"/>
        </w:rPr>
        <w:t xml:space="preserve"> and</w:t>
      </w:r>
      <w:r w:rsidR="00B144B7" w:rsidRPr="00B144B7">
        <w:rPr>
          <w:rFonts w:asciiTheme="minorHAnsi" w:hAnsiTheme="minorHAnsi" w:cstheme="minorHAnsi"/>
          <w:lang w:bidi="en-GB"/>
        </w:rPr>
        <w:t xml:space="preserve"> after having received advice from its external legal counsel(s) and financial adviser(s) to support such</w:t>
      </w:r>
      <w:r w:rsidR="00B144B7">
        <w:rPr>
          <w:rFonts w:asciiTheme="minorHAnsi" w:hAnsiTheme="minorHAnsi" w:cstheme="minorHAnsi"/>
          <w:lang w:bidi="en-GB"/>
        </w:rPr>
        <w:t xml:space="preserve"> determination, that the transaction (</w:t>
      </w:r>
      <w:proofErr w:type="spellStart"/>
      <w:r w:rsidR="00B144B7" w:rsidRPr="00B144B7">
        <w:rPr>
          <w:rFonts w:asciiTheme="minorHAnsi" w:hAnsiTheme="minorHAnsi" w:cstheme="minorHAnsi"/>
          <w:lang w:bidi="en-GB"/>
        </w:rPr>
        <w:t>i</w:t>
      </w:r>
      <w:proofErr w:type="spellEnd"/>
      <w:r w:rsidR="00B144B7" w:rsidRPr="00B144B7">
        <w:rPr>
          <w:rFonts w:asciiTheme="minorHAnsi" w:hAnsiTheme="minorHAnsi" w:cstheme="minorHAnsi"/>
          <w:lang w:bidi="en-GB"/>
        </w:rPr>
        <w:t>) is (or in the Board</w:t>
      </w:r>
      <w:r w:rsidR="00B144B7">
        <w:rPr>
          <w:rFonts w:asciiTheme="minorHAnsi" w:hAnsiTheme="minorHAnsi" w:cstheme="minorHAnsi"/>
          <w:lang w:bidi="en-GB"/>
        </w:rPr>
        <w:t xml:space="preserve"> of Director</w:t>
      </w:r>
      <w:r w:rsidR="00B144B7" w:rsidRPr="00B144B7">
        <w:rPr>
          <w:rFonts w:asciiTheme="minorHAnsi" w:hAnsiTheme="minorHAnsi" w:cstheme="minorHAnsi"/>
          <w:lang w:bidi="en-GB"/>
        </w:rPr>
        <w:t>s</w:t>
      </w:r>
      <w:r w:rsidR="00B144B7">
        <w:rPr>
          <w:rFonts w:asciiTheme="minorHAnsi" w:hAnsiTheme="minorHAnsi" w:cstheme="minorHAnsi"/>
          <w:lang w:bidi="en-GB"/>
        </w:rPr>
        <w:t>'</w:t>
      </w:r>
      <w:r w:rsidR="00B144B7" w:rsidRPr="00B144B7">
        <w:rPr>
          <w:rFonts w:asciiTheme="minorHAnsi" w:hAnsiTheme="minorHAnsi" w:cstheme="minorHAnsi"/>
          <w:lang w:bidi="en-GB"/>
        </w:rPr>
        <w:t xml:space="preserve"> opinion (acting reasonably and in good faith) will upon announcement be) fully financed in accordance with the Takeover Order (as applicable); (ii) is, in the Board</w:t>
      </w:r>
      <w:r w:rsidR="00B144B7">
        <w:rPr>
          <w:rFonts w:asciiTheme="minorHAnsi" w:hAnsiTheme="minorHAnsi" w:cstheme="minorHAnsi"/>
          <w:lang w:bidi="en-GB"/>
        </w:rPr>
        <w:t xml:space="preserve"> of Director</w:t>
      </w:r>
      <w:r w:rsidR="00B144B7" w:rsidRPr="00B144B7">
        <w:rPr>
          <w:rFonts w:asciiTheme="minorHAnsi" w:hAnsiTheme="minorHAnsi" w:cstheme="minorHAnsi"/>
          <w:lang w:bidi="en-GB"/>
        </w:rPr>
        <w:t>s</w:t>
      </w:r>
      <w:r w:rsidR="00B144B7">
        <w:rPr>
          <w:rFonts w:asciiTheme="minorHAnsi" w:hAnsiTheme="minorHAnsi" w:cstheme="minorHAnsi"/>
          <w:lang w:bidi="en-GB"/>
        </w:rPr>
        <w:t>'</w:t>
      </w:r>
      <w:r w:rsidR="00B144B7" w:rsidRPr="00B144B7">
        <w:rPr>
          <w:rFonts w:asciiTheme="minorHAnsi" w:hAnsiTheme="minorHAnsi" w:cstheme="minorHAnsi"/>
          <w:lang w:bidi="en-GB"/>
        </w:rPr>
        <w:t xml:space="preserve"> opinion (acting reasonably and in good faith), capable of being completed in accordance with its terms, taking into account all relevant legal, financial, regulatory, timing and other conditions associated with such </w:t>
      </w:r>
      <w:r w:rsidR="00B144B7">
        <w:rPr>
          <w:rFonts w:asciiTheme="minorHAnsi" w:hAnsiTheme="minorHAnsi" w:cstheme="minorHAnsi"/>
          <w:lang w:bidi="en-GB"/>
        </w:rPr>
        <w:t>t</w:t>
      </w:r>
      <w:r w:rsidR="00B144B7" w:rsidRPr="00B144B7">
        <w:rPr>
          <w:rFonts w:asciiTheme="minorHAnsi" w:hAnsiTheme="minorHAnsi" w:cstheme="minorHAnsi"/>
          <w:lang w:bidi="en-GB"/>
        </w:rPr>
        <w:t>ransaction; and (iii) is, in the Board</w:t>
      </w:r>
      <w:r w:rsidR="00B144B7">
        <w:rPr>
          <w:rFonts w:asciiTheme="minorHAnsi" w:hAnsiTheme="minorHAnsi" w:cstheme="minorHAnsi"/>
          <w:lang w:bidi="en-GB"/>
        </w:rPr>
        <w:t xml:space="preserve"> of Director</w:t>
      </w:r>
      <w:r w:rsidR="00B144B7" w:rsidRPr="00B144B7">
        <w:rPr>
          <w:rFonts w:asciiTheme="minorHAnsi" w:hAnsiTheme="minorHAnsi" w:cstheme="minorHAnsi"/>
          <w:lang w:bidi="en-GB"/>
        </w:rPr>
        <w:t>s</w:t>
      </w:r>
      <w:r w:rsidR="00B144B7">
        <w:rPr>
          <w:rFonts w:asciiTheme="minorHAnsi" w:hAnsiTheme="minorHAnsi" w:cstheme="minorHAnsi"/>
          <w:lang w:bidi="en-GB"/>
        </w:rPr>
        <w:t>'</w:t>
      </w:r>
      <w:r w:rsidR="00B144B7" w:rsidRPr="00B144B7">
        <w:rPr>
          <w:rFonts w:asciiTheme="minorHAnsi" w:hAnsiTheme="minorHAnsi" w:cstheme="minorHAnsi"/>
          <w:lang w:bidi="en-GB"/>
        </w:rPr>
        <w:t xml:space="preserve"> opinion (acting reasonably and in good faith), superior to the Offer for the Shareholders based on an overall assessment of the totality of terms, taking into account the financial aspects of the Offer, including where the </w:t>
      </w:r>
      <w:r w:rsidR="00B144B7">
        <w:rPr>
          <w:rFonts w:asciiTheme="minorHAnsi" w:hAnsiTheme="minorHAnsi" w:cstheme="minorHAnsi"/>
          <w:lang w:bidi="en-GB"/>
        </w:rPr>
        <w:t>t</w:t>
      </w:r>
      <w:r w:rsidR="00B144B7" w:rsidRPr="00B144B7">
        <w:rPr>
          <w:rFonts w:asciiTheme="minorHAnsi" w:hAnsiTheme="minorHAnsi" w:cstheme="minorHAnsi"/>
          <w:lang w:bidi="en-GB"/>
        </w:rPr>
        <w:t xml:space="preserve">ransaction includes an element of non-cash consideration and all other relevant legal, financial, regulatory, timing and other aspects of the </w:t>
      </w:r>
      <w:r w:rsidR="00B144B7">
        <w:rPr>
          <w:rFonts w:asciiTheme="minorHAnsi" w:hAnsiTheme="minorHAnsi" w:cstheme="minorHAnsi"/>
          <w:lang w:bidi="en-GB"/>
        </w:rPr>
        <w:t>t</w:t>
      </w:r>
      <w:r w:rsidR="00B144B7" w:rsidRPr="00B144B7">
        <w:rPr>
          <w:rFonts w:asciiTheme="minorHAnsi" w:hAnsiTheme="minorHAnsi" w:cstheme="minorHAnsi"/>
          <w:lang w:bidi="en-GB"/>
        </w:rPr>
        <w:t>ransaction</w:t>
      </w:r>
      <w:r w:rsidR="00B144B7">
        <w:rPr>
          <w:rFonts w:asciiTheme="minorHAnsi" w:hAnsiTheme="minorHAnsi" w:cstheme="minorHAnsi"/>
          <w:lang w:bidi="en-GB"/>
        </w:rPr>
        <w:t>.</w:t>
      </w:r>
    </w:p>
    <w:p w14:paraId="62F5991E" w14:textId="77777777" w:rsidR="00614342" w:rsidRDefault="00614342" w:rsidP="00236474">
      <w:pPr>
        <w:ind w:left="851"/>
        <w:jc w:val="both"/>
        <w:rPr>
          <w:rFonts w:asciiTheme="minorHAnsi" w:hAnsiTheme="minorHAnsi" w:cstheme="minorHAnsi"/>
          <w:lang w:bidi="en-GB"/>
        </w:rPr>
      </w:pPr>
    </w:p>
    <w:p w14:paraId="79B473B5" w14:textId="4F56BDB3" w:rsidR="00236474" w:rsidRDefault="00236474" w:rsidP="00236474">
      <w:pPr>
        <w:ind w:left="851"/>
        <w:jc w:val="both"/>
        <w:rPr>
          <w:rFonts w:asciiTheme="minorHAnsi" w:hAnsiTheme="minorHAnsi" w:cstheme="minorHAnsi"/>
          <w:lang w:bidi="en-GB"/>
        </w:rPr>
      </w:pPr>
      <w:r w:rsidRPr="00236474">
        <w:rPr>
          <w:rFonts w:asciiTheme="minorHAnsi" w:hAnsiTheme="minorHAnsi" w:cstheme="minorHAnsi"/>
          <w:lang w:bidi="en-GB"/>
        </w:rPr>
        <w:t xml:space="preserve">In the event that the Offeror decides (in its sole discretion) to match or exceed the more favourable terms of any </w:t>
      </w:r>
      <w:r w:rsidR="002125F2">
        <w:rPr>
          <w:rFonts w:asciiTheme="minorHAnsi" w:hAnsiTheme="minorHAnsi" w:cstheme="minorHAnsi"/>
          <w:lang w:bidi="en-GB"/>
        </w:rPr>
        <w:t>s</w:t>
      </w:r>
      <w:r w:rsidRPr="00236474">
        <w:rPr>
          <w:rFonts w:asciiTheme="minorHAnsi" w:hAnsiTheme="minorHAnsi" w:cstheme="minorHAnsi"/>
          <w:lang w:bidi="en-GB"/>
        </w:rPr>
        <w:t xml:space="preserve">uperior </w:t>
      </w:r>
      <w:r w:rsidR="002125F2">
        <w:rPr>
          <w:rFonts w:asciiTheme="minorHAnsi" w:hAnsiTheme="minorHAnsi" w:cstheme="minorHAnsi"/>
          <w:lang w:bidi="en-GB"/>
        </w:rPr>
        <w:t>a</w:t>
      </w:r>
      <w:r w:rsidRPr="00236474">
        <w:rPr>
          <w:rFonts w:asciiTheme="minorHAnsi" w:hAnsiTheme="minorHAnsi" w:cstheme="minorHAnsi"/>
          <w:lang w:bidi="en-GB"/>
        </w:rPr>
        <w:t xml:space="preserve">lternative </w:t>
      </w:r>
      <w:r w:rsidR="002125F2">
        <w:rPr>
          <w:rFonts w:asciiTheme="minorHAnsi" w:hAnsiTheme="minorHAnsi" w:cstheme="minorHAnsi"/>
          <w:lang w:bidi="en-GB"/>
        </w:rPr>
        <w:t>t</w:t>
      </w:r>
      <w:r w:rsidRPr="00236474">
        <w:rPr>
          <w:rFonts w:asciiTheme="minorHAnsi" w:hAnsiTheme="minorHAnsi" w:cstheme="minorHAnsi"/>
          <w:lang w:bidi="en-GB"/>
        </w:rPr>
        <w:t xml:space="preserve">ransaction </w:t>
      </w:r>
      <w:r w:rsidR="002125F2">
        <w:rPr>
          <w:rFonts w:asciiTheme="minorHAnsi" w:hAnsiTheme="minorHAnsi" w:cstheme="minorHAnsi"/>
          <w:lang w:bidi="en-GB"/>
        </w:rPr>
        <w:t>p</w:t>
      </w:r>
      <w:r w:rsidRPr="00236474">
        <w:rPr>
          <w:rFonts w:asciiTheme="minorHAnsi" w:hAnsiTheme="minorHAnsi" w:cstheme="minorHAnsi"/>
          <w:lang w:bidi="en-GB"/>
        </w:rPr>
        <w:t xml:space="preserve">roposal </w:t>
      </w:r>
      <w:r w:rsidR="00043C1D">
        <w:rPr>
          <w:rFonts w:asciiTheme="minorHAnsi" w:hAnsiTheme="minorHAnsi" w:cstheme="minorHAnsi"/>
          <w:lang w:bidi="en-GB"/>
        </w:rPr>
        <w:t xml:space="preserve">within ten (10) Business Days </w:t>
      </w:r>
      <w:r w:rsidR="00D54687">
        <w:rPr>
          <w:rFonts w:asciiTheme="minorHAnsi" w:hAnsiTheme="minorHAnsi" w:cstheme="minorHAnsi"/>
          <w:lang w:bidi="en-GB"/>
        </w:rPr>
        <w:t>of the Company's notice pursuant</w:t>
      </w:r>
      <w:r w:rsidRPr="00236474">
        <w:rPr>
          <w:rFonts w:asciiTheme="minorHAnsi" w:hAnsiTheme="minorHAnsi" w:cstheme="minorHAnsi"/>
          <w:lang w:bidi="en-GB"/>
        </w:rPr>
        <w:t xml:space="preserve"> to the </w:t>
      </w:r>
      <w:r w:rsidR="00D54687">
        <w:rPr>
          <w:rFonts w:asciiTheme="minorHAnsi" w:hAnsiTheme="minorHAnsi" w:cstheme="minorHAnsi"/>
          <w:lang w:bidi="en-GB"/>
        </w:rPr>
        <w:t>foregoing paragraph,</w:t>
      </w:r>
      <w:r w:rsidR="002125F2">
        <w:rPr>
          <w:rFonts w:asciiTheme="minorHAnsi" w:hAnsiTheme="minorHAnsi" w:cstheme="minorHAnsi"/>
          <w:lang w:bidi="en-GB"/>
        </w:rPr>
        <w:t xml:space="preserve"> the</w:t>
      </w:r>
      <w:r w:rsidR="00685AF3">
        <w:rPr>
          <w:rFonts w:asciiTheme="minorHAnsi" w:hAnsiTheme="minorHAnsi" w:cstheme="minorHAnsi"/>
          <w:lang w:bidi="en-GB"/>
        </w:rPr>
        <w:t xml:space="preserve"> </w:t>
      </w:r>
      <w:r w:rsidR="006C0B88">
        <w:rPr>
          <w:rFonts w:asciiTheme="minorHAnsi" w:hAnsiTheme="minorHAnsi" w:cstheme="minorHAnsi"/>
          <w:lang w:bidi="en-GB"/>
        </w:rPr>
        <w:t xml:space="preserve">Board of Directors </w:t>
      </w:r>
      <w:r w:rsidR="00082130">
        <w:rPr>
          <w:rFonts w:asciiTheme="minorHAnsi" w:hAnsiTheme="minorHAnsi" w:cstheme="minorHAnsi"/>
          <w:lang w:bidi="en-GB"/>
        </w:rPr>
        <w:t xml:space="preserve">has undertaken to </w:t>
      </w:r>
      <w:r w:rsidRPr="00236474">
        <w:rPr>
          <w:rFonts w:asciiTheme="minorHAnsi" w:hAnsiTheme="minorHAnsi" w:cstheme="minorHAnsi"/>
          <w:lang w:bidi="en-GB"/>
        </w:rPr>
        <w:t>recommend only such matching or improved Offer of the Offeror, provided that the matching or improved Offer of the Offeror is determined by the Board</w:t>
      </w:r>
      <w:r w:rsidR="006C0B88">
        <w:rPr>
          <w:rFonts w:asciiTheme="minorHAnsi" w:hAnsiTheme="minorHAnsi" w:cstheme="minorHAnsi"/>
          <w:lang w:bidi="en-GB"/>
        </w:rPr>
        <w:t xml:space="preserve"> of Directors</w:t>
      </w:r>
      <w:r w:rsidRPr="00236474">
        <w:rPr>
          <w:rFonts w:asciiTheme="minorHAnsi" w:hAnsiTheme="minorHAnsi" w:cstheme="minorHAnsi"/>
          <w:lang w:bidi="en-GB"/>
        </w:rPr>
        <w:t>, after having received advice from its external legal counsel and financial advisers, to be superior to the Shareholders on the basis of an overall assessment of the totality of terms, taking into account all relevant legal, financial and regulatory aspects.</w:t>
      </w:r>
    </w:p>
    <w:p w14:paraId="0E02BDA7" w14:textId="77777777" w:rsidR="00BF71DB" w:rsidRDefault="00BF71DB" w:rsidP="00A05058">
      <w:pPr>
        <w:ind w:left="851"/>
        <w:jc w:val="both"/>
        <w:rPr>
          <w:rFonts w:asciiTheme="minorHAnsi" w:hAnsiTheme="minorHAnsi" w:cstheme="minorHAnsi"/>
          <w:lang w:bidi="en-GB"/>
        </w:rPr>
      </w:pPr>
    </w:p>
    <w:p w14:paraId="18B6309F" w14:textId="77777777" w:rsidR="008D7332" w:rsidRDefault="00E201EA" w:rsidP="00247870">
      <w:pPr>
        <w:ind w:left="851"/>
        <w:jc w:val="both"/>
        <w:rPr>
          <w:rFonts w:asciiTheme="minorHAnsi" w:hAnsiTheme="minorHAnsi" w:cstheme="minorHAnsi"/>
          <w:lang w:bidi="en-GB"/>
        </w:rPr>
      </w:pPr>
      <w:r w:rsidRPr="003B74E0">
        <w:rPr>
          <w:rFonts w:asciiTheme="minorHAnsi" w:hAnsiTheme="minorHAnsi" w:cstheme="minorHAnsi"/>
          <w:lang w:bidi="en-GB"/>
        </w:rPr>
        <w:t>As is customary</w:t>
      </w:r>
      <w:r w:rsidR="00E33E47" w:rsidRPr="003B74E0">
        <w:rPr>
          <w:rFonts w:asciiTheme="minorHAnsi" w:hAnsiTheme="minorHAnsi" w:cstheme="minorHAnsi"/>
          <w:lang w:bidi="en-GB"/>
        </w:rPr>
        <w:t xml:space="preserve"> in the context of recommended public takeover offers</w:t>
      </w:r>
      <w:r w:rsidRPr="003B74E0">
        <w:rPr>
          <w:rFonts w:asciiTheme="minorHAnsi" w:hAnsiTheme="minorHAnsi" w:cstheme="minorHAnsi"/>
          <w:lang w:bidi="en-GB"/>
        </w:rPr>
        <w:t xml:space="preserve">, the Company has in the Announcement Agreement undertaken not to, and to ensure that its </w:t>
      </w:r>
      <w:r w:rsidR="00D50C75" w:rsidRPr="003B74E0">
        <w:rPr>
          <w:rFonts w:asciiTheme="minorHAnsi" w:hAnsiTheme="minorHAnsi" w:cstheme="minorHAnsi"/>
          <w:lang w:bidi="en-GB"/>
        </w:rPr>
        <w:t>s</w:t>
      </w:r>
      <w:r w:rsidRPr="003B74E0">
        <w:rPr>
          <w:rFonts w:asciiTheme="minorHAnsi" w:hAnsiTheme="minorHAnsi" w:cstheme="minorHAnsi"/>
          <w:lang w:bidi="en-GB"/>
        </w:rPr>
        <w:t xml:space="preserve">ubsidiaries as well as the Company’s and its </w:t>
      </w:r>
      <w:r w:rsidR="00D50C75" w:rsidRPr="003B74E0">
        <w:rPr>
          <w:rFonts w:asciiTheme="minorHAnsi" w:hAnsiTheme="minorHAnsi" w:cstheme="minorHAnsi"/>
          <w:lang w:bidi="en-GB"/>
        </w:rPr>
        <w:t>s</w:t>
      </w:r>
      <w:r w:rsidRPr="003B74E0">
        <w:rPr>
          <w:rFonts w:asciiTheme="minorHAnsi" w:hAnsiTheme="minorHAnsi" w:cstheme="minorHAnsi"/>
          <w:lang w:bidi="en-GB"/>
        </w:rPr>
        <w:t>ubsidiaries</w:t>
      </w:r>
      <w:r w:rsidR="00834BC2" w:rsidRPr="003B74E0">
        <w:rPr>
          <w:rFonts w:asciiTheme="minorHAnsi" w:hAnsiTheme="minorHAnsi" w:cstheme="minorHAnsi"/>
          <w:lang w:bidi="en-GB"/>
        </w:rPr>
        <w:t>'</w:t>
      </w:r>
      <w:r w:rsidRPr="003B74E0">
        <w:rPr>
          <w:rFonts w:asciiTheme="minorHAnsi" w:hAnsiTheme="minorHAnsi" w:cstheme="minorHAnsi"/>
          <w:lang w:bidi="en-GB"/>
        </w:rPr>
        <w:t xml:space="preserve"> representatives do not, directly or indirectly, initiate, solicit, engage in, continue or intentionally encourage any approach from, or discussions or negotiations with, or provide information to, or enter into any agreement or arrangement with, any person other than the Offeror (and/or its representatives) concerning any alternative transaction.</w:t>
      </w:r>
      <w:r w:rsidR="00363C76">
        <w:rPr>
          <w:rFonts w:asciiTheme="minorHAnsi" w:hAnsiTheme="minorHAnsi" w:cstheme="minorHAnsi"/>
          <w:lang w:bidi="en-GB"/>
        </w:rPr>
        <w:t xml:space="preserve"> </w:t>
      </w:r>
      <w:r w:rsidR="003560F5" w:rsidRPr="00395721">
        <w:rPr>
          <w:rFonts w:asciiTheme="minorHAnsi" w:hAnsiTheme="minorHAnsi" w:cstheme="minorHAnsi"/>
          <w:lang w:bidi="en-GB"/>
        </w:rPr>
        <w:t xml:space="preserve">However, </w:t>
      </w:r>
      <w:r w:rsidR="008D7332" w:rsidRPr="00395721">
        <w:rPr>
          <w:rFonts w:asciiTheme="minorHAnsi" w:hAnsiTheme="minorHAnsi" w:cstheme="minorHAnsi"/>
          <w:lang w:bidi="en-GB"/>
        </w:rPr>
        <w:t xml:space="preserve">the Company's undertakings </w:t>
      </w:r>
      <w:r w:rsidR="00363C76" w:rsidRPr="00395721">
        <w:rPr>
          <w:rFonts w:asciiTheme="minorHAnsi" w:hAnsiTheme="minorHAnsi" w:cstheme="minorHAnsi"/>
          <w:lang w:bidi="en-GB"/>
        </w:rPr>
        <w:t xml:space="preserve">in this regard </w:t>
      </w:r>
      <w:r w:rsidR="007E336C" w:rsidRPr="00395721">
        <w:rPr>
          <w:rFonts w:asciiTheme="minorHAnsi" w:hAnsiTheme="minorHAnsi" w:cstheme="minorHAnsi"/>
          <w:lang w:bidi="en-GB"/>
        </w:rPr>
        <w:t>are subject to</w:t>
      </w:r>
      <w:r w:rsidR="00363C76" w:rsidRPr="00395721">
        <w:rPr>
          <w:rFonts w:asciiTheme="minorHAnsi" w:hAnsiTheme="minorHAnsi" w:cstheme="minorHAnsi"/>
          <w:lang w:bidi="en-GB"/>
        </w:rPr>
        <w:t xml:space="preserve"> the fiduciary duties of the Board of Directors and their obligations arising out of applicable laws and shall not prevent the Company from providing information and engaging in discussions in respect of any unsolicited approach concerning a bona fide potential superior alternative transaction proposal.</w:t>
      </w:r>
    </w:p>
    <w:p w14:paraId="76ECCAA6" w14:textId="1B091A89" w:rsidR="00FD471E" w:rsidRPr="00247870" w:rsidRDefault="00247870" w:rsidP="00827461">
      <w:pPr>
        <w:ind w:left="851"/>
        <w:jc w:val="both"/>
        <w:rPr>
          <w:rFonts w:asciiTheme="minorHAnsi" w:hAnsiTheme="minorHAnsi" w:cstheme="minorHAnsi"/>
          <w:lang w:bidi="en-GB"/>
        </w:rPr>
      </w:pPr>
      <w:r>
        <w:rPr>
          <w:rFonts w:asciiTheme="minorHAnsi" w:hAnsiTheme="minorHAnsi" w:cstheme="minorHAnsi"/>
          <w:lang w:bidi="en-GB"/>
        </w:rPr>
        <w:br/>
      </w:r>
      <w:r w:rsidR="00624173" w:rsidRPr="003B74E0">
        <w:rPr>
          <w:rFonts w:asciiTheme="minorHAnsi" w:hAnsiTheme="minorHAnsi" w:cstheme="minorHAnsi"/>
          <w:lang w:bidi="en-GB"/>
        </w:rPr>
        <w:t xml:space="preserve">The </w:t>
      </w:r>
      <w:r w:rsidR="004C237F" w:rsidRPr="003B74E0">
        <w:rPr>
          <w:rFonts w:asciiTheme="minorHAnsi" w:hAnsiTheme="minorHAnsi" w:cstheme="minorHAnsi"/>
          <w:lang w:bidi="en-GB"/>
        </w:rPr>
        <w:t xml:space="preserve">Announcement </w:t>
      </w:r>
      <w:r w:rsidR="00624173" w:rsidRPr="003B74E0">
        <w:rPr>
          <w:rFonts w:asciiTheme="minorHAnsi" w:hAnsiTheme="minorHAnsi" w:cstheme="minorHAnsi"/>
          <w:lang w:bidi="en-GB"/>
        </w:rPr>
        <w:t xml:space="preserve">Agreement contains certain undertakings by each </w:t>
      </w:r>
      <w:r w:rsidR="00827461">
        <w:rPr>
          <w:rFonts w:asciiTheme="minorHAnsi" w:hAnsiTheme="minorHAnsi" w:cstheme="minorHAnsi"/>
          <w:lang w:bidi="en-GB"/>
        </w:rPr>
        <w:t>of the Company and the Offeror</w:t>
      </w:r>
      <w:r w:rsidR="00827461" w:rsidRPr="003B74E0">
        <w:rPr>
          <w:rFonts w:asciiTheme="minorHAnsi" w:hAnsiTheme="minorHAnsi" w:cstheme="minorHAnsi"/>
          <w:lang w:bidi="en-GB"/>
        </w:rPr>
        <w:t xml:space="preserve"> </w:t>
      </w:r>
      <w:r w:rsidR="00624173" w:rsidRPr="003B74E0">
        <w:rPr>
          <w:rFonts w:asciiTheme="minorHAnsi" w:hAnsiTheme="minorHAnsi" w:cstheme="minorHAnsi"/>
          <w:lang w:bidi="en-GB"/>
        </w:rPr>
        <w:t xml:space="preserve">to ensure that the Conditions are fulfilled. </w:t>
      </w:r>
      <w:r w:rsidR="00E201EA" w:rsidRPr="003B74E0">
        <w:rPr>
          <w:rFonts w:asciiTheme="minorHAnsi" w:hAnsiTheme="minorHAnsi" w:cstheme="minorHAnsi"/>
          <w:lang w:bidi="en-GB"/>
        </w:rPr>
        <w:t xml:space="preserve">Specifically, </w:t>
      </w:r>
      <w:r w:rsidR="00E574D1">
        <w:rPr>
          <w:rFonts w:asciiTheme="minorHAnsi" w:hAnsiTheme="minorHAnsi" w:cstheme="minorHAnsi"/>
          <w:lang w:bidi="en-GB"/>
        </w:rPr>
        <w:t>i</w:t>
      </w:r>
      <w:r w:rsidR="00E201EA" w:rsidRPr="003B74E0">
        <w:rPr>
          <w:rFonts w:asciiTheme="minorHAnsi" w:hAnsiTheme="minorHAnsi" w:cstheme="minorHAnsi"/>
          <w:lang w:bidi="en-GB"/>
        </w:rPr>
        <w:t xml:space="preserve">n the Announcement Agreement, the Offeror has, subject to the terms and conditions of the Announcement Agreement, made certain undertakings and commitments to the Company for the purpose of ensuring that the </w:t>
      </w:r>
      <w:r w:rsidR="00DB391D" w:rsidRPr="003B74E0">
        <w:rPr>
          <w:rFonts w:asciiTheme="minorHAnsi" w:hAnsiTheme="minorHAnsi" w:cstheme="minorHAnsi"/>
          <w:lang w:bidi="en-GB"/>
        </w:rPr>
        <w:t xml:space="preserve">Regulatory Conditions </w:t>
      </w:r>
      <w:r w:rsidR="00394535" w:rsidRPr="003B74E0">
        <w:rPr>
          <w:rFonts w:asciiTheme="minorHAnsi" w:hAnsiTheme="minorHAnsi" w:cstheme="minorHAnsi"/>
          <w:lang w:bidi="en-GB"/>
        </w:rPr>
        <w:t>will be</w:t>
      </w:r>
      <w:r w:rsidR="00DB391D" w:rsidRPr="003B74E0">
        <w:rPr>
          <w:rFonts w:asciiTheme="minorHAnsi" w:hAnsiTheme="minorHAnsi" w:cstheme="minorHAnsi"/>
          <w:lang w:bidi="en-GB"/>
        </w:rPr>
        <w:t xml:space="preserve"> satisfied</w:t>
      </w:r>
      <w:r w:rsidR="00E201EA" w:rsidRPr="003B74E0">
        <w:rPr>
          <w:rFonts w:asciiTheme="minorHAnsi" w:hAnsiTheme="minorHAnsi" w:cstheme="minorHAnsi"/>
          <w:lang w:bidi="en-GB"/>
        </w:rPr>
        <w:t xml:space="preserve">, including that the Offeror has undertaken for the benefit of the Company </w:t>
      </w:r>
      <w:r w:rsidR="00A20378" w:rsidRPr="003B74E0">
        <w:rPr>
          <w:rFonts w:asciiTheme="minorHAnsi" w:hAnsiTheme="minorHAnsi" w:cstheme="minorHAnsi"/>
          <w:lang w:bidi="en-GB"/>
        </w:rPr>
        <w:t>to accept and implement any required regulatory commitments</w:t>
      </w:r>
      <w:r w:rsidR="00905E17" w:rsidRPr="003B74E0">
        <w:rPr>
          <w:rFonts w:asciiTheme="minorHAnsi" w:hAnsiTheme="minorHAnsi" w:cstheme="minorHAnsi"/>
          <w:lang w:bidi="en-GB"/>
        </w:rPr>
        <w:t xml:space="preserve"> necessary to </w:t>
      </w:r>
      <w:r w:rsidR="007B6AD8" w:rsidRPr="003B74E0">
        <w:rPr>
          <w:rFonts w:asciiTheme="minorHAnsi" w:hAnsiTheme="minorHAnsi" w:cstheme="minorHAnsi"/>
          <w:lang w:bidi="en-GB"/>
        </w:rPr>
        <w:t>fulfil the Regulatory Conditions</w:t>
      </w:r>
      <w:r w:rsidR="0055713A">
        <w:rPr>
          <w:rFonts w:asciiTheme="minorHAnsi" w:hAnsiTheme="minorHAnsi" w:cstheme="minorHAnsi"/>
          <w:lang w:bidi="en-GB"/>
        </w:rPr>
        <w:t>, provided that such acceptance does not affect either the European business of the Offeror and its subsidiaries</w:t>
      </w:r>
      <w:r w:rsidR="007F7BD3">
        <w:rPr>
          <w:rFonts w:asciiTheme="minorHAnsi" w:hAnsiTheme="minorHAnsi" w:cstheme="minorHAnsi"/>
          <w:lang w:bidi="en-GB"/>
        </w:rPr>
        <w:t xml:space="preserve"> or the European business of any other </w:t>
      </w:r>
      <w:r w:rsidR="00B3748E">
        <w:rPr>
          <w:rFonts w:asciiTheme="minorHAnsi" w:hAnsiTheme="minorHAnsi" w:cstheme="minorHAnsi"/>
          <w:lang w:bidi="en-GB"/>
        </w:rPr>
        <w:t>a</w:t>
      </w:r>
      <w:r w:rsidR="007F7BD3">
        <w:rPr>
          <w:rFonts w:asciiTheme="minorHAnsi" w:hAnsiTheme="minorHAnsi" w:cstheme="minorHAnsi"/>
          <w:lang w:bidi="en-GB"/>
        </w:rPr>
        <w:t>ffiliate of Fre</w:t>
      </w:r>
      <w:r w:rsidR="004A39C2">
        <w:rPr>
          <w:rFonts w:asciiTheme="minorHAnsi" w:hAnsiTheme="minorHAnsi" w:cstheme="minorHAnsi"/>
          <w:lang w:bidi="en-GB"/>
        </w:rPr>
        <w:t>u</w:t>
      </w:r>
      <w:r w:rsidR="007F7BD3">
        <w:rPr>
          <w:rFonts w:asciiTheme="minorHAnsi" w:hAnsiTheme="minorHAnsi" w:cstheme="minorHAnsi"/>
          <w:lang w:bidi="en-GB"/>
        </w:rPr>
        <w:t>denberg SE in a material and adverse manner</w:t>
      </w:r>
      <w:r w:rsidR="009738F5" w:rsidRPr="003B74E0">
        <w:rPr>
          <w:rFonts w:asciiTheme="minorHAnsi" w:hAnsiTheme="minorHAnsi" w:cstheme="minorHAnsi"/>
          <w:lang w:bidi="en-GB"/>
        </w:rPr>
        <w:t xml:space="preserve">. </w:t>
      </w:r>
    </w:p>
    <w:p w14:paraId="40FC7206" w14:textId="77777777" w:rsidR="00F314F6" w:rsidRPr="003B74E0" w:rsidRDefault="00F314F6" w:rsidP="00F314F6">
      <w:pPr>
        <w:ind w:left="851"/>
        <w:jc w:val="both"/>
        <w:rPr>
          <w:highlight w:val="yellow"/>
        </w:rPr>
      </w:pPr>
    </w:p>
    <w:p w14:paraId="4919B1E0" w14:textId="1740262A" w:rsidR="008F2186" w:rsidRPr="003B74E0" w:rsidRDefault="00624173" w:rsidP="00A05058">
      <w:pPr>
        <w:pStyle w:val="NormalIndent"/>
        <w:jc w:val="both"/>
      </w:pPr>
      <w:r w:rsidRPr="003B74E0">
        <w:t xml:space="preserve">In the Announcement Agreement, the Company has made certain customary and limited warranties and representations regarding </w:t>
      </w:r>
      <w:r w:rsidR="00FE3135" w:rsidRPr="003B74E0">
        <w:t>itself</w:t>
      </w:r>
      <w:r w:rsidRPr="003B74E0">
        <w:t xml:space="preserve">, it being specifically provided that the sole and exclusive remedy for any breach of such warranties and representations is the right of the Offeror to terminate the Announcement Agreement with immediate effect. </w:t>
      </w:r>
      <w:r w:rsidR="004C237F" w:rsidRPr="003B74E0">
        <w:t>The Offeror has also provided certain customary and limited warranties and representations regarding it</w:t>
      </w:r>
      <w:r w:rsidR="00495A38" w:rsidRPr="003B74E0">
        <w:t>self</w:t>
      </w:r>
      <w:r w:rsidR="004C237F" w:rsidRPr="003B74E0">
        <w:t xml:space="preserve">. </w:t>
      </w:r>
    </w:p>
    <w:p w14:paraId="6162F754" w14:textId="77777777" w:rsidR="008F2186" w:rsidRPr="003B74E0" w:rsidRDefault="008F2186" w:rsidP="00A05058">
      <w:pPr>
        <w:pStyle w:val="NormalIndent"/>
        <w:jc w:val="both"/>
        <w:rPr>
          <w:highlight w:val="yellow"/>
        </w:rPr>
      </w:pPr>
    </w:p>
    <w:p w14:paraId="58A83D35" w14:textId="0F3A8823" w:rsidR="009B30D3" w:rsidRPr="003B74E0" w:rsidRDefault="00624173" w:rsidP="00A05058">
      <w:pPr>
        <w:pStyle w:val="NormalIndent"/>
        <w:jc w:val="both"/>
      </w:pPr>
      <w:r w:rsidRPr="003B74E0">
        <w:t xml:space="preserve">Furthermore, the Company has in the Announcement Agreement made certain customary covenants and undertakings concerning, </w:t>
      </w:r>
      <w:r w:rsidRPr="003B74E0">
        <w:rPr>
          <w:i/>
          <w:iCs/>
        </w:rPr>
        <w:t>inter alia</w:t>
      </w:r>
      <w:r w:rsidRPr="003B74E0">
        <w:t>, distribution of the Offer Document to the Shareholders</w:t>
      </w:r>
      <w:r w:rsidR="009B30D3" w:rsidRPr="003B74E0">
        <w:t xml:space="preserve"> as well as conducting </w:t>
      </w:r>
      <w:r w:rsidR="009B30D3" w:rsidRPr="003B74E0">
        <w:rPr>
          <w:rFonts w:asciiTheme="minorHAnsi" w:hAnsiTheme="minorHAnsi" w:cstheme="minorHAnsi"/>
        </w:rPr>
        <w:t>its activities in all material respects in the ordinary course of business consistent with past practice</w:t>
      </w:r>
      <w:r w:rsidR="00495A38" w:rsidRPr="003B74E0">
        <w:rPr>
          <w:rFonts w:asciiTheme="minorHAnsi" w:hAnsiTheme="minorHAnsi" w:cstheme="minorHAnsi"/>
        </w:rPr>
        <w:t>, subject to customary exceptions</w:t>
      </w:r>
      <w:r w:rsidR="009B30D3" w:rsidRPr="003B74E0">
        <w:rPr>
          <w:rFonts w:asciiTheme="minorHAnsi" w:hAnsiTheme="minorHAnsi" w:cstheme="minorHAnsi"/>
        </w:rPr>
        <w:t>.</w:t>
      </w:r>
    </w:p>
    <w:p w14:paraId="5CA48598" w14:textId="77777777" w:rsidR="009B30D3" w:rsidRPr="003B74E0" w:rsidRDefault="009B30D3" w:rsidP="00A05058">
      <w:pPr>
        <w:pStyle w:val="NormalIndent"/>
        <w:jc w:val="both"/>
        <w:rPr>
          <w:highlight w:val="yellow"/>
        </w:rPr>
      </w:pPr>
    </w:p>
    <w:p w14:paraId="7C58819D" w14:textId="7EA2F2B9" w:rsidR="009B30D3" w:rsidRPr="003B74E0" w:rsidRDefault="009B30D3" w:rsidP="00917699">
      <w:pPr>
        <w:pStyle w:val="NormalIndent"/>
        <w:jc w:val="both"/>
      </w:pPr>
      <w:r w:rsidRPr="003B74E0">
        <w:t>Under the Announcement Agreement, the Offeror agrees to indemnify current and former directors</w:t>
      </w:r>
      <w:r w:rsidR="00464214" w:rsidRPr="003B74E0">
        <w:t xml:space="preserve">, </w:t>
      </w:r>
      <w:r w:rsidRPr="003B74E0">
        <w:t xml:space="preserve">officers </w:t>
      </w:r>
      <w:r w:rsidR="00464214" w:rsidRPr="003B74E0">
        <w:t xml:space="preserve">and employees </w:t>
      </w:r>
      <w:r w:rsidRPr="003B74E0">
        <w:t>of the Company</w:t>
      </w:r>
      <w:r w:rsidR="00603C34" w:rsidRPr="003B74E0">
        <w:t xml:space="preserve"> </w:t>
      </w:r>
      <w:r w:rsidR="00FF4AD6">
        <w:t xml:space="preserve">and its affiliates </w:t>
      </w:r>
      <w:r w:rsidR="00603C34" w:rsidRPr="003B74E0">
        <w:t>(</w:t>
      </w:r>
      <w:r w:rsidR="00603C34" w:rsidRPr="003B74E0">
        <w:rPr>
          <w:b/>
          <w:bCs/>
        </w:rPr>
        <w:t>Covered Persons</w:t>
      </w:r>
      <w:r w:rsidR="00603C34" w:rsidRPr="003B74E0">
        <w:t>)</w:t>
      </w:r>
      <w:r w:rsidRPr="003B74E0">
        <w:t xml:space="preserve"> for liabilities arising from actions taken in their official roles before Completion</w:t>
      </w:r>
      <w:r w:rsidR="00676F72">
        <w:t>,</w:t>
      </w:r>
      <w:r w:rsidR="00603C34" w:rsidRPr="003B74E0">
        <w:t xml:space="preserve"> </w:t>
      </w:r>
      <w:r w:rsidRPr="003B74E0">
        <w:t>except in cases of fraud</w:t>
      </w:r>
      <w:r w:rsidR="00BF46E0" w:rsidRPr="003B74E0">
        <w:t>ulent behavio</w:t>
      </w:r>
      <w:r w:rsidR="00676F72">
        <w:t>u</w:t>
      </w:r>
      <w:r w:rsidR="00BF46E0" w:rsidRPr="003B74E0">
        <w:t xml:space="preserve">r prior to </w:t>
      </w:r>
      <w:r w:rsidR="00FE5047" w:rsidRPr="003B74E0">
        <w:t>C</w:t>
      </w:r>
      <w:r w:rsidR="00332089" w:rsidRPr="003B74E0">
        <w:t>ompletion</w:t>
      </w:r>
      <w:r w:rsidR="00917699" w:rsidRPr="003B74E0">
        <w:t xml:space="preserve">. </w:t>
      </w:r>
      <w:r w:rsidRPr="003B74E0">
        <w:t>In addition,</w:t>
      </w:r>
      <w:r w:rsidR="00051C0F" w:rsidRPr="003B74E0">
        <w:t xml:space="preserve"> </w:t>
      </w:r>
      <w:r w:rsidRPr="003B74E0">
        <w:t xml:space="preserve">for five years after Completion, </w:t>
      </w:r>
      <w:r w:rsidR="00D23DF9" w:rsidRPr="003B74E0">
        <w:t xml:space="preserve">the Offeror </w:t>
      </w:r>
      <w:r w:rsidRPr="003B74E0">
        <w:t xml:space="preserve">must maintain </w:t>
      </w:r>
      <w:proofErr w:type="spellStart"/>
      <w:r w:rsidRPr="003B74E0">
        <w:t>D&amp;O</w:t>
      </w:r>
      <w:proofErr w:type="spellEnd"/>
      <w:r w:rsidRPr="003B74E0">
        <w:t xml:space="preserve"> insurance coverage for </w:t>
      </w:r>
      <w:r w:rsidR="00240E87" w:rsidRPr="003B74E0">
        <w:t>Company's directors</w:t>
      </w:r>
      <w:r w:rsidR="00464214" w:rsidRPr="003B74E0">
        <w:t xml:space="preserve"> and officers</w:t>
      </w:r>
      <w:r w:rsidR="00240E87" w:rsidRPr="003B74E0">
        <w:t xml:space="preserve"> as of </w:t>
      </w:r>
      <w:r w:rsidR="001D57F4">
        <w:t>11 December 2025</w:t>
      </w:r>
      <w:r w:rsidR="00240E87" w:rsidRPr="003B74E0">
        <w:t xml:space="preserve"> and as of Completion</w:t>
      </w:r>
      <w:r w:rsidRPr="003B74E0">
        <w:t xml:space="preserve"> that is no less </w:t>
      </w:r>
      <w:r w:rsidR="00603C34" w:rsidRPr="003B74E0">
        <w:t>favo</w:t>
      </w:r>
      <w:r w:rsidR="00676F72">
        <w:t>u</w:t>
      </w:r>
      <w:r w:rsidR="00603C34" w:rsidRPr="003B74E0">
        <w:t>rable</w:t>
      </w:r>
      <w:r w:rsidRPr="003B74E0">
        <w:t xml:space="preserve"> than </w:t>
      </w:r>
      <w:r w:rsidR="00CB0A0B" w:rsidRPr="003B74E0">
        <w:t>the Company's</w:t>
      </w:r>
      <w:r w:rsidRPr="003B74E0">
        <w:t xml:space="preserve"> current policy</w:t>
      </w:r>
      <w:r w:rsidR="00603C34" w:rsidRPr="003B74E0">
        <w:t xml:space="preserve">. </w:t>
      </w:r>
      <w:r w:rsidRPr="003B74E0">
        <w:t xml:space="preserve">Finally, the Offeror </w:t>
      </w:r>
      <w:r w:rsidR="00603C34" w:rsidRPr="003B74E0">
        <w:t xml:space="preserve">waives, and will ensure that the Company and its </w:t>
      </w:r>
      <w:r w:rsidR="00464214" w:rsidRPr="003B74E0">
        <w:t>affiliates</w:t>
      </w:r>
      <w:r w:rsidR="00603C34" w:rsidRPr="003B74E0">
        <w:t xml:space="preserve"> waive, any right to seek indemnification or recourse against Covered Persons in connection with the Announcement Agreement, the Offer, or related transaction</w:t>
      </w:r>
      <w:r w:rsidR="00AA204C" w:rsidRPr="003B74E0">
        <w:t>s</w:t>
      </w:r>
      <w:r w:rsidR="00603C34" w:rsidRPr="003B74E0">
        <w:t xml:space="preserve"> as well as for actions taken in their official roles before Completion</w:t>
      </w:r>
      <w:r w:rsidR="00676F72">
        <w:t>,</w:t>
      </w:r>
      <w:r w:rsidR="00603C34" w:rsidRPr="003B74E0">
        <w:t xml:space="preserve"> </w:t>
      </w:r>
      <w:r w:rsidR="00FE5047" w:rsidRPr="003B74E0">
        <w:t>except in cases of fraudulent behavio</w:t>
      </w:r>
      <w:r w:rsidR="00676F72">
        <w:t>u</w:t>
      </w:r>
      <w:r w:rsidR="00FE5047" w:rsidRPr="003B74E0">
        <w:t xml:space="preserve">r </w:t>
      </w:r>
      <w:r w:rsidR="00603C34" w:rsidRPr="003B74E0">
        <w:t>by the Covered Person</w:t>
      </w:r>
      <w:r w:rsidR="00FE5047" w:rsidRPr="003B74E0">
        <w:t xml:space="preserve"> prior to Completion</w:t>
      </w:r>
      <w:r w:rsidR="00603C34" w:rsidRPr="003B74E0">
        <w:t>.</w:t>
      </w:r>
      <w:r w:rsidR="00917699" w:rsidRPr="003B74E0">
        <w:t xml:space="preserve"> These undertakings in favo</w:t>
      </w:r>
      <w:r w:rsidR="00676F72">
        <w:t>u</w:t>
      </w:r>
      <w:r w:rsidR="00917699" w:rsidRPr="003B74E0">
        <w:t>r of the Covered Persons are otherwise subject to certain customary terms and conditions.</w:t>
      </w:r>
    </w:p>
    <w:p w14:paraId="7206B3E2" w14:textId="77777777" w:rsidR="009B30D3" w:rsidRPr="003B74E0" w:rsidRDefault="009B30D3" w:rsidP="00A05058">
      <w:pPr>
        <w:pStyle w:val="NormalIndent"/>
        <w:ind w:left="0"/>
        <w:jc w:val="both"/>
        <w:rPr>
          <w:highlight w:val="yellow"/>
        </w:rPr>
      </w:pPr>
    </w:p>
    <w:p w14:paraId="26F502FE" w14:textId="0BD940BD" w:rsidR="00624173" w:rsidRPr="003B74E0" w:rsidRDefault="00624173" w:rsidP="00A05058">
      <w:pPr>
        <w:pStyle w:val="NormalIndent"/>
        <w:jc w:val="both"/>
      </w:pPr>
      <w:r w:rsidRPr="003B74E0">
        <w:t xml:space="preserve">Termination of the Announcement Agreement may occur in certain circumstances, </w:t>
      </w:r>
      <w:r w:rsidR="009B30D3" w:rsidRPr="003B74E0">
        <w:t>being:</w:t>
      </w:r>
    </w:p>
    <w:p w14:paraId="20809C06" w14:textId="77777777" w:rsidR="00624173" w:rsidRPr="003B74E0" w:rsidRDefault="00624173" w:rsidP="00A05058">
      <w:pPr>
        <w:pStyle w:val="NormalIndent"/>
        <w:ind w:left="0"/>
        <w:jc w:val="both"/>
      </w:pPr>
    </w:p>
    <w:p w14:paraId="00EE4C2E" w14:textId="77777777" w:rsidR="00624173" w:rsidRPr="003B74E0" w:rsidRDefault="00624173" w:rsidP="00F96D13">
      <w:pPr>
        <w:pStyle w:val="NormalIndent"/>
        <w:numPr>
          <w:ilvl w:val="0"/>
          <w:numId w:val="26"/>
        </w:numPr>
        <w:jc w:val="both"/>
      </w:pPr>
      <w:r w:rsidRPr="003B74E0">
        <w:t>by mutual written consent of the Company and the Offeror;</w:t>
      </w:r>
    </w:p>
    <w:p w14:paraId="50ED2473" w14:textId="77777777" w:rsidR="00624173" w:rsidRPr="003B74E0" w:rsidRDefault="00624173" w:rsidP="00A05058">
      <w:pPr>
        <w:pStyle w:val="NormalIndent"/>
        <w:ind w:left="1571"/>
        <w:jc w:val="both"/>
      </w:pPr>
    </w:p>
    <w:p w14:paraId="0A042957" w14:textId="38201C16" w:rsidR="009B30D3" w:rsidRPr="003B74E0" w:rsidRDefault="00624173" w:rsidP="00F96D13">
      <w:pPr>
        <w:pStyle w:val="NormalIndent"/>
        <w:numPr>
          <w:ilvl w:val="0"/>
          <w:numId w:val="26"/>
        </w:numPr>
        <w:jc w:val="both"/>
      </w:pPr>
      <w:r w:rsidRPr="003B74E0">
        <w:lastRenderedPageBreak/>
        <w:t xml:space="preserve">by </w:t>
      </w:r>
      <w:r w:rsidR="009B30D3" w:rsidRPr="003B74E0">
        <w:t xml:space="preserve">either party, in the event, prior to Completion, (a) </w:t>
      </w:r>
      <w:r w:rsidR="00AA734A" w:rsidRPr="003B74E0">
        <w:t xml:space="preserve">the </w:t>
      </w:r>
      <w:r w:rsidR="009B30D3" w:rsidRPr="003B74E0">
        <w:t xml:space="preserve">Offeror, subject to the terms of the Announcement Agreement, withdraws the Offer in accordance with and subject to the terms and conditions of </w:t>
      </w:r>
      <w:r w:rsidR="00676F72">
        <w:t>the</w:t>
      </w:r>
      <w:r w:rsidR="00676F72" w:rsidRPr="003B74E0">
        <w:t xml:space="preserve"> </w:t>
      </w:r>
      <w:r w:rsidR="009B30D3" w:rsidRPr="003B74E0">
        <w:t xml:space="preserve">Announcement Agreement, (b) due </w:t>
      </w:r>
      <w:r w:rsidR="00667C40" w:rsidRPr="003B74E0">
        <w:t xml:space="preserve">to the Board of Directors </w:t>
      </w:r>
      <w:r w:rsidR="00667C40" w:rsidRPr="003B74E0">
        <w:rPr>
          <w:rFonts w:asciiTheme="minorHAnsi" w:hAnsiTheme="minorHAnsi" w:cstheme="minorHAnsi"/>
          <w:lang w:bidi="en-GB"/>
        </w:rPr>
        <w:t>withdrawing its recommendation of the Offer or amending it in a manner adverse to the Offer</w:t>
      </w:r>
      <w:r w:rsidR="009B30D3" w:rsidRPr="003B74E0">
        <w:t xml:space="preserve"> and/or (c) due to the other party's material breach of </w:t>
      </w:r>
      <w:r w:rsidR="00D23DF9" w:rsidRPr="003B74E0">
        <w:t xml:space="preserve">the Announcement </w:t>
      </w:r>
      <w:r w:rsidR="009B30D3" w:rsidRPr="003B74E0">
        <w:t>Agreement provided that such breach is materially adverse to the Offer (including Completion thereof)</w:t>
      </w:r>
      <w:r w:rsidR="00495A38" w:rsidRPr="003B74E0">
        <w:t>;</w:t>
      </w:r>
      <w:r w:rsidR="009B30D3" w:rsidRPr="003B74E0">
        <w:t xml:space="preserve"> </w:t>
      </w:r>
    </w:p>
    <w:p w14:paraId="6DCD98A8" w14:textId="77777777" w:rsidR="009B30D3" w:rsidRPr="003B74E0" w:rsidRDefault="009B30D3" w:rsidP="00A05058">
      <w:pPr>
        <w:pStyle w:val="Opstillingmedi"/>
        <w:numPr>
          <w:ilvl w:val="0"/>
          <w:numId w:val="0"/>
        </w:numPr>
        <w:ind w:left="1571"/>
        <w:rPr>
          <w:rFonts w:asciiTheme="minorHAnsi" w:hAnsiTheme="minorHAnsi" w:cstheme="minorHAnsi"/>
          <w:sz w:val="18"/>
          <w:szCs w:val="16"/>
        </w:rPr>
      </w:pPr>
    </w:p>
    <w:p w14:paraId="4AEC49BC" w14:textId="26513647" w:rsidR="009B30D3" w:rsidRPr="003B74E0" w:rsidRDefault="009B30D3" w:rsidP="00B972AD">
      <w:pPr>
        <w:pStyle w:val="NormalIndent"/>
        <w:ind w:left="1571"/>
        <w:jc w:val="both"/>
        <w:rPr>
          <w:rFonts w:asciiTheme="minorHAnsi" w:hAnsiTheme="minorHAnsi" w:cstheme="minorHAnsi"/>
          <w:szCs w:val="16"/>
        </w:rPr>
      </w:pPr>
      <w:r w:rsidRPr="00B972AD">
        <w:t xml:space="preserve">A </w:t>
      </w:r>
      <w:r w:rsidR="00AA204C" w:rsidRPr="003B74E0">
        <w:rPr>
          <w:rFonts w:asciiTheme="minorHAnsi" w:hAnsiTheme="minorHAnsi" w:cstheme="minorHAnsi"/>
          <w:szCs w:val="16"/>
        </w:rPr>
        <w:t>p</w:t>
      </w:r>
      <w:r w:rsidRPr="003B74E0">
        <w:rPr>
          <w:rFonts w:asciiTheme="minorHAnsi" w:hAnsiTheme="minorHAnsi" w:cstheme="minorHAnsi"/>
          <w:szCs w:val="16"/>
        </w:rPr>
        <w:t>arty's right to terminate th</w:t>
      </w:r>
      <w:r w:rsidR="00AA204C" w:rsidRPr="003B74E0">
        <w:rPr>
          <w:rFonts w:asciiTheme="minorHAnsi" w:hAnsiTheme="minorHAnsi" w:cstheme="minorHAnsi"/>
          <w:szCs w:val="16"/>
        </w:rPr>
        <w:t xml:space="preserve">e Announcement </w:t>
      </w:r>
      <w:r w:rsidRPr="003B74E0">
        <w:rPr>
          <w:rFonts w:asciiTheme="minorHAnsi" w:hAnsiTheme="minorHAnsi" w:cstheme="minorHAnsi"/>
          <w:szCs w:val="16"/>
        </w:rPr>
        <w:t xml:space="preserve">Agreement </w:t>
      </w:r>
      <w:r w:rsidR="00AA204C" w:rsidRPr="003B74E0">
        <w:rPr>
          <w:rFonts w:asciiTheme="minorHAnsi" w:hAnsiTheme="minorHAnsi" w:cstheme="minorHAnsi"/>
          <w:szCs w:val="16"/>
        </w:rPr>
        <w:t>due to material breach</w:t>
      </w:r>
      <w:r w:rsidRPr="003B74E0">
        <w:rPr>
          <w:rFonts w:asciiTheme="minorHAnsi" w:hAnsiTheme="minorHAnsi" w:cstheme="minorHAnsi"/>
          <w:szCs w:val="16"/>
        </w:rPr>
        <w:t xml:space="preserve"> is further subject to (x) the non-breaching </w:t>
      </w:r>
      <w:r w:rsidR="00AA204C" w:rsidRPr="003B74E0">
        <w:rPr>
          <w:rFonts w:asciiTheme="minorHAnsi" w:hAnsiTheme="minorHAnsi" w:cstheme="minorHAnsi"/>
          <w:szCs w:val="16"/>
        </w:rPr>
        <w:t>p</w:t>
      </w:r>
      <w:r w:rsidRPr="003B74E0">
        <w:rPr>
          <w:rFonts w:asciiTheme="minorHAnsi" w:hAnsiTheme="minorHAnsi" w:cstheme="minorHAnsi"/>
          <w:szCs w:val="16"/>
        </w:rPr>
        <w:t xml:space="preserve">arty prior to such termination being effected having notified in writing the </w:t>
      </w:r>
      <w:r w:rsidR="00AA204C" w:rsidRPr="003B74E0">
        <w:rPr>
          <w:rFonts w:asciiTheme="minorHAnsi" w:hAnsiTheme="minorHAnsi" w:cstheme="minorHAnsi"/>
          <w:szCs w:val="16"/>
        </w:rPr>
        <w:t>p</w:t>
      </w:r>
      <w:r w:rsidRPr="003B74E0">
        <w:rPr>
          <w:rFonts w:asciiTheme="minorHAnsi" w:hAnsiTheme="minorHAnsi" w:cstheme="minorHAnsi"/>
          <w:szCs w:val="16"/>
        </w:rPr>
        <w:t xml:space="preserve">arty in alleged breach of the matter(s) constituting a breach immediately upon becoming aware of the breach, and (y) the </w:t>
      </w:r>
      <w:r w:rsidR="00AA204C" w:rsidRPr="003B74E0">
        <w:rPr>
          <w:rFonts w:asciiTheme="minorHAnsi" w:hAnsiTheme="minorHAnsi" w:cstheme="minorHAnsi"/>
          <w:szCs w:val="16"/>
        </w:rPr>
        <w:t>p</w:t>
      </w:r>
      <w:r w:rsidRPr="003B74E0">
        <w:rPr>
          <w:rFonts w:asciiTheme="minorHAnsi" w:hAnsiTheme="minorHAnsi" w:cstheme="minorHAnsi"/>
          <w:szCs w:val="16"/>
        </w:rPr>
        <w:t>arty in alleged breach being afforded the opportunity to respond to, challenge and, if possible, remedy the alleged breach for a period of not less than ten</w:t>
      </w:r>
      <w:r w:rsidR="00997307" w:rsidRPr="003B74E0">
        <w:rPr>
          <w:rFonts w:asciiTheme="minorHAnsi" w:hAnsiTheme="minorHAnsi" w:cstheme="minorHAnsi"/>
          <w:szCs w:val="16"/>
        </w:rPr>
        <w:t xml:space="preserve"> (10)</w:t>
      </w:r>
      <w:r w:rsidRPr="003B74E0">
        <w:rPr>
          <w:rFonts w:asciiTheme="minorHAnsi" w:hAnsiTheme="minorHAnsi" w:cstheme="minorHAnsi"/>
          <w:szCs w:val="16"/>
        </w:rPr>
        <w:t xml:space="preserve"> </w:t>
      </w:r>
      <w:r w:rsidR="00AA204C" w:rsidRPr="003B74E0">
        <w:rPr>
          <w:rFonts w:asciiTheme="minorHAnsi" w:hAnsiTheme="minorHAnsi" w:cstheme="minorHAnsi"/>
          <w:szCs w:val="16"/>
        </w:rPr>
        <w:t>business days;</w:t>
      </w:r>
      <w:r w:rsidRPr="003B74E0">
        <w:rPr>
          <w:rFonts w:asciiTheme="minorHAnsi" w:hAnsiTheme="minorHAnsi" w:cstheme="minorHAnsi"/>
          <w:szCs w:val="16"/>
        </w:rPr>
        <w:t xml:space="preserve"> or </w:t>
      </w:r>
    </w:p>
    <w:p w14:paraId="349C4245" w14:textId="5CB2B7F5" w:rsidR="00624173" w:rsidRPr="003B74E0" w:rsidRDefault="00624173" w:rsidP="00A05058">
      <w:pPr>
        <w:pStyle w:val="NormalIndent"/>
        <w:ind w:left="1571"/>
        <w:jc w:val="both"/>
      </w:pPr>
    </w:p>
    <w:p w14:paraId="2EBFD623" w14:textId="5CED869F" w:rsidR="009B30D3" w:rsidRPr="003B74E0" w:rsidRDefault="009B30D3" w:rsidP="00F96D13">
      <w:pPr>
        <w:pStyle w:val="Opstillingmedi"/>
        <w:numPr>
          <w:ilvl w:val="0"/>
          <w:numId w:val="26"/>
        </w:numPr>
        <w:rPr>
          <w:rFonts w:asciiTheme="minorHAnsi" w:hAnsiTheme="minorHAnsi" w:cstheme="minorHAnsi"/>
          <w:sz w:val="18"/>
          <w:szCs w:val="16"/>
        </w:rPr>
      </w:pPr>
      <w:r w:rsidRPr="003B74E0">
        <w:rPr>
          <w:rFonts w:asciiTheme="minorHAnsi" w:hAnsiTheme="minorHAnsi" w:cstheme="minorHAnsi"/>
          <w:sz w:val="18"/>
          <w:szCs w:val="16"/>
        </w:rPr>
        <w:t xml:space="preserve">by the Company, if (a) </w:t>
      </w:r>
      <w:r w:rsidR="00FA4430" w:rsidRPr="003B74E0">
        <w:rPr>
          <w:rFonts w:asciiTheme="minorHAnsi" w:hAnsiTheme="minorHAnsi" w:cstheme="minorHAnsi"/>
          <w:sz w:val="18"/>
          <w:szCs w:val="16"/>
        </w:rPr>
        <w:t xml:space="preserve">the </w:t>
      </w:r>
      <w:r w:rsidRPr="003B74E0">
        <w:rPr>
          <w:rFonts w:asciiTheme="minorHAnsi" w:hAnsiTheme="minorHAnsi" w:cstheme="minorHAnsi"/>
          <w:sz w:val="18"/>
          <w:szCs w:val="16"/>
        </w:rPr>
        <w:t xml:space="preserve">Offeror has not </w:t>
      </w:r>
      <w:r w:rsidR="00AA204C" w:rsidRPr="003B74E0">
        <w:rPr>
          <w:rFonts w:asciiTheme="minorHAnsi" w:hAnsiTheme="minorHAnsi" w:cstheme="minorHAnsi"/>
          <w:sz w:val="18"/>
          <w:szCs w:val="16"/>
        </w:rPr>
        <w:t>p</w:t>
      </w:r>
      <w:r w:rsidRPr="003B74E0">
        <w:rPr>
          <w:rFonts w:asciiTheme="minorHAnsi" w:hAnsiTheme="minorHAnsi" w:cstheme="minorHAnsi"/>
          <w:sz w:val="18"/>
          <w:szCs w:val="16"/>
        </w:rPr>
        <w:t xml:space="preserve">ublished within </w:t>
      </w:r>
      <w:r w:rsidR="00997307" w:rsidRPr="003B74E0">
        <w:rPr>
          <w:rFonts w:asciiTheme="minorHAnsi" w:hAnsiTheme="minorHAnsi" w:cstheme="minorHAnsi"/>
          <w:sz w:val="18"/>
          <w:szCs w:val="16"/>
        </w:rPr>
        <w:t>four (</w:t>
      </w:r>
      <w:r w:rsidR="00D23DF9" w:rsidRPr="003B74E0">
        <w:rPr>
          <w:rFonts w:asciiTheme="minorHAnsi" w:hAnsiTheme="minorHAnsi" w:cstheme="minorHAnsi"/>
          <w:sz w:val="18"/>
          <w:szCs w:val="16"/>
        </w:rPr>
        <w:t>4</w:t>
      </w:r>
      <w:r w:rsidR="00997307" w:rsidRPr="003B74E0">
        <w:rPr>
          <w:rFonts w:asciiTheme="minorHAnsi" w:hAnsiTheme="minorHAnsi" w:cstheme="minorHAnsi"/>
          <w:sz w:val="18"/>
          <w:szCs w:val="16"/>
        </w:rPr>
        <w:t>)</w:t>
      </w:r>
      <w:r w:rsidR="00D23DF9" w:rsidRPr="003B74E0">
        <w:rPr>
          <w:rFonts w:asciiTheme="minorHAnsi" w:hAnsiTheme="minorHAnsi" w:cstheme="minorHAnsi"/>
          <w:sz w:val="18"/>
          <w:szCs w:val="16"/>
        </w:rPr>
        <w:t xml:space="preserve"> </w:t>
      </w:r>
      <w:r w:rsidR="00AA204C" w:rsidRPr="003B74E0">
        <w:rPr>
          <w:rFonts w:asciiTheme="minorHAnsi" w:hAnsiTheme="minorHAnsi" w:cstheme="minorHAnsi"/>
          <w:sz w:val="18"/>
          <w:szCs w:val="16"/>
        </w:rPr>
        <w:t>business days</w:t>
      </w:r>
      <w:r w:rsidRPr="003B74E0">
        <w:rPr>
          <w:rFonts w:asciiTheme="minorHAnsi" w:hAnsiTheme="minorHAnsi" w:cstheme="minorHAnsi"/>
          <w:sz w:val="18"/>
          <w:szCs w:val="16"/>
        </w:rPr>
        <w:t xml:space="preserve"> after the expiry of the Offer Period that the Offer will be Completed, or (b) </w:t>
      </w:r>
      <w:r w:rsidR="00FA4430" w:rsidRPr="003B74E0">
        <w:rPr>
          <w:rFonts w:asciiTheme="minorHAnsi" w:hAnsiTheme="minorHAnsi" w:cstheme="minorHAnsi"/>
          <w:sz w:val="18"/>
          <w:szCs w:val="16"/>
        </w:rPr>
        <w:t xml:space="preserve">the </w:t>
      </w:r>
      <w:r w:rsidRPr="003B74E0">
        <w:rPr>
          <w:rFonts w:asciiTheme="minorHAnsi" w:hAnsiTheme="minorHAnsi" w:cstheme="minorHAnsi"/>
          <w:sz w:val="18"/>
          <w:szCs w:val="16"/>
        </w:rPr>
        <w:t>Offeror breaches its obligation to make payment to settle the Offer in accordance with the Offer Document.</w:t>
      </w:r>
    </w:p>
    <w:p w14:paraId="381FD7AB" w14:textId="77777777" w:rsidR="00624173" w:rsidRPr="003B74E0" w:rsidRDefault="00624173" w:rsidP="00A05058">
      <w:pPr>
        <w:pStyle w:val="NormalIndent"/>
        <w:jc w:val="both"/>
        <w:rPr>
          <w:highlight w:val="yellow"/>
        </w:rPr>
      </w:pPr>
    </w:p>
    <w:p w14:paraId="296F37F5" w14:textId="4C36396C" w:rsidR="00624173" w:rsidRPr="003B74E0" w:rsidRDefault="00991CA6" w:rsidP="00991CA6">
      <w:pPr>
        <w:pStyle w:val="NormalIndent"/>
        <w:jc w:val="both"/>
      </w:pPr>
      <w:r w:rsidRPr="003B74E0">
        <w:t xml:space="preserve">The Announcement Agreement shall terminate automatically with immediate effect upon the date falling </w:t>
      </w:r>
      <w:r w:rsidR="00997307" w:rsidRPr="003B74E0">
        <w:t>five (</w:t>
      </w:r>
      <w:r w:rsidR="009B32DF" w:rsidRPr="003B74E0">
        <w:t>5</w:t>
      </w:r>
      <w:r w:rsidR="00997307" w:rsidRPr="003B74E0">
        <w:t>)</w:t>
      </w:r>
      <w:r w:rsidR="008A562E" w:rsidRPr="003B74E0">
        <w:t xml:space="preserve"> </w:t>
      </w:r>
      <w:r w:rsidRPr="003B74E0">
        <w:t>business days af</w:t>
      </w:r>
      <w:r w:rsidR="002C5F76" w:rsidRPr="003B74E0">
        <w:t xml:space="preserve">ter </w:t>
      </w:r>
      <w:r w:rsidR="00315242">
        <w:t xml:space="preserve">the </w:t>
      </w:r>
      <w:r w:rsidR="007A1E64" w:rsidRPr="007A1E64">
        <w:t xml:space="preserve">date falling nine (9) months after the date of </w:t>
      </w:r>
      <w:r w:rsidR="007A1E64">
        <w:t>p</w:t>
      </w:r>
      <w:r w:rsidR="007A1E64" w:rsidRPr="007A1E64">
        <w:t xml:space="preserve">ublication of the Offer Document </w:t>
      </w:r>
      <w:r w:rsidRPr="003B74E0">
        <w:t xml:space="preserve">(the </w:t>
      </w:r>
      <w:r w:rsidRPr="003B74E0">
        <w:rPr>
          <w:b/>
          <w:bCs/>
        </w:rPr>
        <w:t>Long Stop Date</w:t>
      </w:r>
      <w:r w:rsidRPr="003B74E0">
        <w:t xml:space="preserve">), provided that the Offeror has not </w:t>
      </w:r>
      <w:r w:rsidR="008E1F99" w:rsidRPr="003B74E0">
        <w:t>p</w:t>
      </w:r>
      <w:r w:rsidRPr="003B74E0">
        <w:t>ublished an announcement of the final results of the Offer prior thereto to the effect that the Conditions have been satisfied or, to the extent permitted, waived and the Offer will be Completed.</w:t>
      </w:r>
    </w:p>
    <w:p w14:paraId="18B6BC30" w14:textId="77777777" w:rsidR="00991CA6" w:rsidRPr="003B74E0" w:rsidRDefault="00991CA6" w:rsidP="00991CA6">
      <w:pPr>
        <w:pStyle w:val="NormalIndent"/>
        <w:ind w:left="0"/>
        <w:jc w:val="both"/>
        <w:rPr>
          <w:highlight w:val="yellow"/>
        </w:rPr>
      </w:pPr>
    </w:p>
    <w:p w14:paraId="2AC2682E" w14:textId="1C3BF2D5" w:rsidR="00624173" w:rsidRPr="003B74E0" w:rsidRDefault="00624173" w:rsidP="00A05058">
      <w:pPr>
        <w:pStyle w:val="NormalIndent"/>
        <w:jc w:val="both"/>
        <w:rPr>
          <w:rFonts w:asciiTheme="minorHAnsi" w:hAnsiTheme="minorHAnsi" w:cstheme="minorHAnsi"/>
        </w:rPr>
      </w:pPr>
      <w:r w:rsidRPr="003B74E0">
        <w:rPr>
          <w:rFonts w:asciiTheme="minorHAnsi" w:hAnsiTheme="minorHAnsi" w:cstheme="minorHAnsi"/>
        </w:rPr>
        <w:t xml:space="preserve">The Announcement Agreement provides that except for any costs incurred by the Company </w:t>
      </w:r>
      <w:r w:rsidR="00F66DC5">
        <w:rPr>
          <w:rFonts w:asciiTheme="minorHAnsi" w:hAnsiTheme="minorHAnsi" w:cstheme="minorHAnsi"/>
        </w:rPr>
        <w:t>(</w:t>
      </w:r>
      <w:proofErr w:type="spellStart"/>
      <w:r w:rsidR="00F66DC5">
        <w:rPr>
          <w:rFonts w:asciiTheme="minorHAnsi" w:hAnsiTheme="minorHAnsi" w:cstheme="minorHAnsi"/>
        </w:rPr>
        <w:t>i</w:t>
      </w:r>
      <w:proofErr w:type="spellEnd"/>
      <w:r w:rsidR="00F66DC5">
        <w:rPr>
          <w:rFonts w:asciiTheme="minorHAnsi" w:hAnsiTheme="minorHAnsi" w:cstheme="minorHAnsi"/>
        </w:rPr>
        <w:t xml:space="preserve">) </w:t>
      </w:r>
      <w:r w:rsidRPr="003B74E0">
        <w:rPr>
          <w:rFonts w:asciiTheme="minorHAnsi" w:hAnsiTheme="minorHAnsi" w:cstheme="minorHAnsi"/>
        </w:rPr>
        <w:t>related to the distribution of the Offer Document and other material related to the Offer</w:t>
      </w:r>
      <w:r w:rsidR="00D562C5">
        <w:rPr>
          <w:rFonts w:asciiTheme="minorHAnsi" w:hAnsiTheme="minorHAnsi" w:cstheme="minorHAnsi"/>
        </w:rPr>
        <w:t xml:space="preserve"> and </w:t>
      </w:r>
      <w:r w:rsidR="00F66DC5">
        <w:rPr>
          <w:rFonts w:asciiTheme="minorHAnsi" w:hAnsiTheme="minorHAnsi" w:cstheme="minorHAnsi"/>
        </w:rPr>
        <w:t xml:space="preserve">(ii) </w:t>
      </w:r>
      <w:r w:rsidR="00417381" w:rsidRPr="00417381">
        <w:rPr>
          <w:rFonts w:asciiTheme="minorHAnsi" w:hAnsiTheme="minorHAnsi" w:cstheme="minorHAnsi"/>
        </w:rPr>
        <w:t>related to assistance provided by the Company</w:t>
      </w:r>
      <w:r w:rsidR="00894619">
        <w:rPr>
          <w:rFonts w:asciiTheme="minorHAnsi" w:hAnsiTheme="minorHAnsi" w:cstheme="minorHAnsi"/>
        </w:rPr>
        <w:t xml:space="preserve"> </w:t>
      </w:r>
      <w:r w:rsidR="00F66DC5">
        <w:rPr>
          <w:rFonts w:asciiTheme="minorHAnsi" w:hAnsiTheme="minorHAnsi" w:cstheme="minorHAnsi"/>
        </w:rPr>
        <w:t xml:space="preserve">in relation to </w:t>
      </w:r>
      <w:r w:rsidR="00DE2BBE" w:rsidRPr="00DE2BBE">
        <w:rPr>
          <w:rFonts w:asciiTheme="minorHAnsi" w:hAnsiTheme="minorHAnsi" w:cstheme="minorHAnsi"/>
        </w:rPr>
        <w:t>repayment and termination and/or continuance</w:t>
      </w:r>
      <w:r w:rsidR="00DE2BBE">
        <w:rPr>
          <w:rFonts w:asciiTheme="minorHAnsi" w:hAnsiTheme="minorHAnsi" w:cstheme="minorHAnsi"/>
        </w:rPr>
        <w:t xml:space="preserve"> of the </w:t>
      </w:r>
      <w:r w:rsidR="00F66DC5">
        <w:rPr>
          <w:rFonts w:asciiTheme="minorHAnsi" w:hAnsiTheme="minorHAnsi" w:cstheme="minorHAnsi"/>
        </w:rPr>
        <w:t xml:space="preserve">Company's existing financing and </w:t>
      </w:r>
      <w:r w:rsidR="00885A7E">
        <w:rPr>
          <w:rFonts w:asciiTheme="minorHAnsi" w:hAnsiTheme="minorHAnsi" w:cstheme="minorHAnsi"/>
        </w:rPr>
        <w:t xml:space="preserve">in relation to </w:t>
      </w:r>
      <w:r w:rsidR="00B31CBB">
        <w:rPr>
          <w:rFonts w:asciiTheme="minorHAnsi" w:hAnsiTheme="minorHAnsi" w:cstheme="minorHAnsi"/>
        </w:rPr>
        <w:t>any financing implemented by the</w:t>
      </w:r>
      <w:r w:rsidR="00885A7E">
        <w:rPr>
          <w:rFonts w:asciiTheme="minorHAnsi" w:hAnsiTheme="minorHAnsi" w:cstheme="minorHAnsi"/>
        </w:rPr>
        <w:t xml:space="preserve"> Offeror</w:t>
      </w:r>
      <w:r w:rsidRPr="003B74E0">
        <w:rPr>
          <w:rFonts w:asciiTheme="minorHAnsi" w:hAnsiTheme="minorHAnsi" w:cstheme="minorHAnsi"/>
        </w:rPr>
        <w:t xml:space="preserve">, each party shall carry and pay for its own costs and expenses in connection with the entering into and carrying out of the transactions (including the Offer) contemplated by the Announcement Agreement. </w:t>
      </w:r>
    </w:p>
    <w:p w14:paraId="7F236CB2" w14:textId="77777777" w:rsidR="00624173" w:rsidRPr="003B74E0" w:rsidRDefault="00624173" w:rsidP="00A05058">
      <w:pPr>
        <w:pStyle w:val="NormalIndent"/>
        <w:jc w:val="both"/>
        <w:rPr>
          <w:rFonts w:asciiTheme="minorHAnsi" w:hAnsiTheme="minorHAnsi" w:cstheme="minorHAnsi"/>
          <w:highlight w:val="yellow"/>
        </w:rPr>
      </w:pPr>
    </w:p>
    <w:p w14:paraId="235ECE46" w14:textId="77777777" w:rsidR="00624173" w:rsidRPr="003B74E0" w:rsidRDefault="00624173" w:rsidP="00A05058">
      <w:pPr>
        <w:ind w:left="851"/>
        <w:jc w:val="both"/>
        <w:rPr>
          <w:rFonts w:asciiTheme="minorHAnsi" w:hAnsiTheme="minorHAnsi" w:cstheme="minorHAnsi"/>
        </w:rPr>
      </w:pPr>
      <w:r w:rsidRPr="003B74E0">
        <w:rPr>
          <w:rFonts w:asciiTheme="minorHAnsi" w:hAnsiTheme="minorHAnsi" w:cstheme="minorHAnsi"/>
        </w:rPr>
        <w:t>The Announcement Agreement is governed by Danish law, excluding the application of its conflict of law rules.</w:t>
      </w:r>
    </w:p>
    <w:p w14:paraId="542BC86D" w14:textId="77777777" w:rsidR="00C23D0B" w:rsidRPr="003B74E0" w:rsidRDefault="00C23D0B" w:rsidP="00A05058">
      <w:pPr>
        <w:pStyle w:val="NormalIndent"/>
        <w:ind w:left="0"/>
        <w:jc w:val="both"/>
        <w:rPr>
          <w:lang w:bidi="en-GB"/>
        </w:rPr>
      </w:pPr>
    </w:p>
    <w:p w14:paraId="2300C16A" w14:textId="77777777" w:rsidR="00F5133F" w:rsidRPr="003B74E0" w:rsidRDefault="00F5133F" w:rsidP="00A05058">
      <w:pPr>
        <w:pStyle w:val="NormalIndent"/>
        <w:ind w:left="0"/>
        <w:jc w:val="both"/>
        <w:rPr>
          <w:lang w:bidi="en-GB"/>
        </w:rPr>
      </w:pPr>
    </w:p>
    <w:p w14:paraId="1C5E304A" w14:textId="77777777" w:rsidR="00DC53D0" w:rsidRPr="003B74E0" w:rsidRDefault="00DC53D0">
      <w:pPr>
        <w:spacing w:after="160" w:line="259" w:lineRule="auto"/>
        <w:rPr>
          <w:rFonts w:asciiTheme="majorHAnsi" w:eastAsiaTheme="majorEastAsia" w:hAnsiTheme="majorHAnsi" w:cstheme="majorBidi"/>
          <w:b/>
          <w:caps/>
          <w:spacing w:val="5"/>
          <w:szCs w:val="32"/>
          <w:lang w:bidi="en-GB"/>
        </w:rPr>
      </w:pPr>
      <w:bookmarkStart w:id="72" w:name="_Ref205898127"/>
      <w:r w:rsidRPr="003B74E0">
        <w:rPr>
          <w:lang w:bidi="en-GB"/>
        </w:rPr>
        <w:br w:type="page"/>
      </w:r>
    </w:p>
    <w:p w14:paraId="764AED50" w14:textId="1FB9221B" w:rsidR="00C23D0B" w:rsidRPr="003B74E0" w:rsidRDefault="00C409D1" w:rsidP="00664093">
      <w:pPr>
        <w:pStyle w:val="Heading1"/>
        <w:jc w:val="both"/>
        <w:rPr>
          <w:lang w:bidi="en-GB"/>
        </w:rPr>
      </w:pPr>
      <w:bookmarkStart w:id="73" w:name="_Ref206831235"/>
      <w:bookmarkStart w:id="74" w:name="_Toc218590562"/>
      <w:r w:rsidRPr="003B74E0">
        <w:rPr>
          <w:lang w:bidi="en-GB"/>
        </w:rPr>
        <w:lastRenderedPageBreak/>
        <w:t>Events and process leading up to the Offer</w:t>
      </w:r>
      <w:bookmarkEnd w:id="65"/>
      <w:bookmarkEnd w:id="72"/>
      <w:bookmarkEnd w:id="73"/>
      <w:bookmarkEnd w:id="74"/>
    </w:p>
    <w:p w14:paraId="11F774B7" w14:textId="5B33021A" w:rsidR="003E0632" w:rsidRPr="003E0632" w:rsidRDefault="003E0632" w:rsidP="003E0632">
      <w:pPr>
        <w:pStyle w:val="DSBodyTextIndent1"/>
        <w:jc w:val="both"/>
        <w:rPr>
          <w:lang w:val="en-US"/>
        </w:rPr>
      </w:pPr>
      <w:bookmarkStart w:id="75" w:name="_Ref507507098"/>
      <w:r>
        <w:rPr>
          <w:lang w:val="en-US"/>
        </w:rPr>
        <w:t xml:space="preserve">In March 2025, the Company was informally approached by a third party expressing interest in </w:t>
      </w:r>
      <w:r w:rsidR="004B7DA7">
        <w:rPr>
          <w:lang w:val="en-US"/>
        </w:rPr>
        <w:t xml:space="preserve">a transaction involving </w:t>
      </w:r>
      <w:r w:rsidR="00704265">
        <w:rPr>
          <w:lang w:val="en-US"/>
        </w:rPr>
        <w:t>the Company</w:t>
      </w:r>
      <w:r>
        <w:rPr>
          <w:lang w:val="en-US"/>
        </w:rPr>
        <w:t>. Prompted by this approach, the Board of Directors engaged Guggenheim as its financial adviser and Krogerus</w:t>
      </w:r>
      <w:r w:rsidR="005E4315">
        <w:rPr>
          <w:lang w:val="en-US"/>
        </w:rPr>
        <w:t xml:space="preserve"> as its international legal adviser</w:t>
      </w:r>
      <w:r>
        <w:rPr>
          <w:lang w:val="en-US"/>
        </w:rPr>
        <w:t xml:space="preserve"> and Kromann Reumert as its </w:t>
      </w:r>
      <w:r w:rsidR="005E4315">
        <w:rPr>
          <w:lang w:val="en-US"/>
        </w:rPr>
        <w:t xml:space="preserve">Danish </w:t>
      </w:r>
      <w:r>
        <w:rPr>
          <w:lang w:val="en-US"/>
        </w:rPr>
        <w:t xml:space="preserve">legal advisers to support the Board of Directors in the assessment of this unsolicited approach. </w:t>
      </w:r>
    </w:p>
    <w:p w14:paraId="0A085C20" w14:textId="77777777" w:rsidR="003E0632" w:rsidRDefault="003E0632" w:rsidP="003E0632">
      <w:pPr>
        <w:pStyle w:val="DSBodyTextIndent1"/>
        <w:jc w:val="both"/>
        <w:rPr>
          <w:lang w:val="en-US"/>
        </w:rPr>
      </w:pPr>
    </w:p>
    <w:p w14:paraId="446F89A2" w14:textId="7E1D457A" w:rsidR="003E0632" w:rsidRDefault="003E0632" w:rsidP="003E0632">
      <w:pPr>
        <w:pStyle w:val="DSBodyTextIndent1"/>
        <w:jc w:val="both"/>
        <w:rPr>
          <w:lang w:val="en-US"/>
        </w:rPr>
      </w:pPr>
      <w:r>
        <w:rPr>
          <w:lang w:val="en-US"/>
        </w:rPr>
        <w:t>Since the initial unsolicited third-party approach, the Board of Directors considered it its duty, acting in the best interest of the Company and its Shareholders, to assess whether such approach, or interest by another party, could lead to the making of a public takeover offer that would, if accepted by the Shareholders, deliver superior value for the Shareholders and be in the best interest of the Company and its Shareholders.</w:t>
      </w:r>
    </w:p>
    <w:p w14:paraId="0EB62E5C" w14:textId="77777777" w:rsidR="003E0632" w:rsidRDefault="003E0632" w:rsidP="003E0632">
      <w:pPr>
        <w:pStyle w:val="DSBodyTextIndent1"/>
        <w:jc w:val="both"/>
        <w:rPr>
          <w:lang w:val="en-US"/>
        </w:rPr>
      </w:pPr>
    </w:p>
    <w:p w14:paraId="05FFEFA9" w14:textId="155FC593" w:rsidR="003E0632" w:rsidRDefault="003E0632" w:rsidP="003E0632">
      <w:pPr>
        <w:pStyle w:val="DSBodyTextIndent1"/>
        <w:jc w:val="both"/>
        <w:rPr>
          <w:lang w:val="en-US"/>
        </w:rPr>
      </w:pPr>
      <w:r>
        <w:rPr>
          <w:lang w:val="en-US"/>
        </w:rPr>
        <w:t xml:space="preserve">To that end the Board of Directors has, together with the Company's advisers, since the initial approach, conducted a broad </w:t>
      </w:r>
      <w:r w:rsidR="008B3A92">
        <w:rPr>
          <w:lang w:val="en-US"/>
        </w:rPr>
        <w:t xml:space="preserve">competitive </w:t>
      </w:r>
      <w:r>
        <w:rPr>
          <w:lang w:val="en-US"/>
        </w:rPr>
        <w:t>process actively exploring the potential interest of a range of strategic and financial parties in a transaction concerning the Company</w:t>
      </w:r>
      <w:r w:rsidR="003A7F0F">
        <w:rPr>
          <w:lang w:val="en-US"/>
        </w:rPr>
        <w:t xml:space="preserve">, including by making available certain information for interested parties to perform a customary review of the Company. </w:t>
      </w:r>
    </w:p>
    <w:p w14:paraId="4BB86844" w14:textId="77777777" w:rsidR="003E0632" w:rsidRDefault="003E0632" w:rsidP="003E0632">
      <w:pPr>
        <w:pStyle w:val="DSBodyTextIndent1"/>
        <w:jc w:val="both"/>
        <w:rPr>
          <w:lang w:val="en-US"/>
        </w:rPr>
      </w:pPr>
    </w:p>
    <w:p w14:paraId="2CA41B41" w14:textId="4699D7C6" w:rsidR="008A71FE" w:rsidRPr="00D6169C" w:rsidRDefault="003E0632" w:rsidP="003E0632">
      <w:pPr>
        <w:pStyle w:val="DSBodyTextIndent1"/>
        <w:jc w:val="both"/>
      </w:pPr>
      <w:r>
        <w:rPr>
          <w:lang w:val="en-US"/>
        </w:rPr>
        <w:t>Based on the final offers, the Board of Directors engaged in further negotiations with the parties that had submitted a final offer. The Board of Directors, assisted by its advisers, was able to improve the terms of one of the offers through the negotiation process. At this stage, it was determined to enter into final negotiations with the Offeror.</w:t>
      </w:r>
    </w:p>
    <w:p w14:paraId="2EB64ACE" w14:textId="77777777" w:rsidR="008A71FE" w:rsidRPr="003B74E0" w:rsidRDefault="008A71FE" w:rsidP="00670232">
      <w:pPr>
        <w:pStyle w:val="DSBodyTextIndent1"/>
        <w:rPr>
          <w:highlight w:val="yellow"/>
        </w:rPr>
      </w:pPr>
    </w:p>
    <w:p w14:paraId="5CA90C11" w14:textId="77777777" w:rsidR="008A71FE" w:rsidRPr="003B74E0" w:rsidRDefault="008A71FE" w:rsidP="008A71FE">
      <w:pPr>
        <w:pStyle w:val="DSBodyTextIndent1"/>
        <w:jc w:val="both"/>
      </w:pPr>
      <w:r w:rsidRPr="003B74E0">
        <w:t>From initiation of this phase and during the period leading up to the publication of the Offer, the parties have thoroughly discussed and negotiated the terms and conditions of the Offer.</w:t>
      </w:r>
      <w:r w:rsidRPr="003B74E0">
        <w:rPr>
          <w:lang w:bidi="en-GB"/>
        </w:rPr>
        <w:t xml:space="preserve"> </w:t>
      </w:r>
      <w:r w:rsidRPr="003B74E0">
        <w:t>Further, over the same period the parties have exchanged and negotiated the Announcement Agreement and other documents between them, and the parties and their advisers analysed the regulatory approvals and clearances that the Offeror would need to obtain to complete the Offer, if made. During these discussions and negotiations, it has been the aim of the Board of Directors to ensure the best possible terms for the Shareholders within accepted market standards.</w:t>
      </w:r>
    </w:p>
    <w:p w14:paraId="5C40D053" w14:textId="77777777" w:rsidR="008A71FE" w:rsidRPr="003B74E0" w:rsidRDefault="008A71FE" w:rsidP="00670232">
      <w:pPr>
        <w:pStyle w:val="DSBodyTextIndent1"/>
        <w:rPr>
          <w:highlight w:val="yellow"/>
        </w:rPr>
      </w:pPr>
    </w:p>
    <w:p w14:paraId="31A8727E" w14:textId="235B4348" w:rsidR="003A7F0F" w:rsidRDefault="008A71FE" w:rsidP="008A71FE">
      <w:pPr>
        <w:pStyle w:val="DSBodyTextIndent1"/>
        <w:jc w:val="both"/>
      </w:pPr>
      <w:r w:rsidRPr="003B74E0">
        <w:t xml:space="preserve">Following these discussions and negotiations with the </w:t>
      </w:r>
      <w:r w:rsidR="00612057" w:rsidRPr="003B74E0">
        <w:t>Offeror</w:t>
      </w:r>
      <w:r w:rsidRPr="003B74E0">
        <w:t xml:space="preserve">, the Board of Directors resolved to recommend the Offer, when made. In taking this decision, the Board of Directors considered both the financial and other terms and conditions proposed </w:t>
      </w:r>
      <w:r w:rsidR="00B972AD">
        <w:t>in</w:t>
      </w:r>
      <w:r w:rsidRPr="003B74E0">
        <w:t xml:space="preserve"> the Offer. </w:t>
      </w:r>
    </w:p>
    <w:p w14:paraId="126E6E7F" w14:textId="77777777" w:rsidR="003A7F0F" w:rsidRDefault="003A7F0F" w:rsidP="008A71FE">
      <w:pPr>
        <w:pStyle w:val="DSBodyTextIndent1"/>
        <w:jc w:val="both"/>
      </w:pPr>
    </w:p>
    <w:p w14:paraId="23CE14DA" w14:textId="54E489B8" w:rsidR="003A7F0F" w:rsidRDefault="008A71FE" w:rsidP="008A71FE">
      <w:pPr>
        <w:pStyle w:val="DSBodyTextIndent1"/>
        <w:jc w:val="both"/>
      </w:pPr>
      <w:r w:rsidRPr="003B74E0">
        <w:rPr>
          <w:bCs/>
          <w:iCs/>
        </w:rPr>
        <w:t xml:space="preserve">On </w:t>
      </w:r>
      <w:r w:rsidR="0041259C">
        <w:t>11 December 2025</w:t>
      </w:r>
      <w:r w:rsidRPr="003B74E0">
        <w:rPr>
          <w:bCs/>
          <w:iCs/>
        </w:rPr>
        <w:t xml:space="preserve">, </w:t>
      </w:r>
      <w:r w:rsidRPr="00D8039E">
        <w:rPr>
          <w:bCs/>
          <w:iCs/>
        </w:rPr>
        <w:t xml:space="preserve">the Offeror and </w:t>
      </w:r>
      <w:r w:rsidR="00612057" w:rsidRPr="00D8039E">
        <w:rPr>
          <w:bCs/>
          <w:iCs/>
        </w:rPr>
        <w:t>the Company</w:t>
      </w:r>
      <w:r w:rsidRPr="00D8039E">
        <w:rPr>
          <w:bCs/>
          <w:iCs/>
        </w:rPr>
        <w:t xml:space="preserve"> entered into the Announcement Agreement and </w:t>
      </w:r>
      <w:r w:rsidR="00612057" w:rsidRPr="00D8039E">
        <w:rPr>
          <w:bCs/>
          <w:iCs/>
        </w:rPr>
        <w:t xml:space="preserve">the Major Shareholders and those </w:t>
      </w:r>
      <w:r w:rsidRPr="00D8039E">
        <w:rPr>
          <w:bCs/>
          <w:iCs/>
        </w:rPr>
        <w:t xml:space="preserve">members of the Board of Directors and Executive Management </w:t>
      </w:r>
      <w:r w:rsidR="00612057" w:rsidRPr="00D8039E">
        <w:rPr>
          <w:bCs/>
          <w:iCs/>
        </w:rPr>
        <w:t xml:space="preserve">who hold Shares </w:t>
      </w:r>
      <w:r w:rsidRPr="00D8039E">
        <w:rPr>
          <w:bCs/>
          <w:iCs/>
        </w:rPr>
        <w:t xml:space="preserve">entered into the Irrevocable Undertakings </w:t>
      </w:r>
      <w:r w:rsidRPr="00D8039E">
        <w:t>with the Offeror to accept the Offer at the Offer Price and on the terms and conditions applicable to the</w:t>
      </w:r>
      <w:r w:rsidRPr="003B74E0">
        <w:t xml:space="preserve"> Offer, subject to certain customary conditions</w:t>
      </w:r>
      <w:r w:rsidR="00B143F1">
        <w:t xml:space="preserve">, including that the Irrevocable Undertakings shall lapse </w:t>
      </w:r>
      <w:r w:rsidR="003A7F0F" w:rsidRPr="006A3934">
        <w:t xml:space="preserve">if, among others, </w:t>
      </w:r>
      <w:r w:rsidR="003A7F0F" w:rsidRPr="0026368D">
        <w:t>a third party announces a</w:t>
      </w:r>
      <w:r w:rsidR="003A7F0F">
        <w:t xml:space="preserve">n alternative transaction in which the total consideration offered to </w:t>
      </w:r>
      <w:r w:rsidR="003A7F0F" w:rsidRPr="00E752BE">
        <w:t>Shareholders exceeds the Offer Price (as adjusted for any dividends or other distributions declared or paid to the Shareholders prior to completion of the Offer as described in the Offer Documen</w:t>
      </w:r>
      <w:r w:rsidR="003A7F0F">
        <w:t>t</w:t>
      </w:r>
      <w:r w:rsidR="003A7F0F" w:rsidRPr="00E752BE">
        <w:t xml:space="preserve">) by at least ten (10) per cent, provided that the Offeror does not match or exceed such superior alternative transaction within </w:t>
      </w:r>
      <w:r w:rsidR="003A7F0F">
        <w:t>ten (10)</w:t>
      </w:r>
      <w:r w:rsidR="003A7F0F" w:rsidRPr="00E752BE">
        <w:t xml:space="preserve"> business days of the announcement thereof</w:t>
      </w:r>
      <w:r w:rsidR="003A7F0F">
        <w:t>.</w:t>
      </w:r>
    </w:p>
    <w:p w14:paraId="6AE978F3" w14:textId="77777777" w:rsidR="00B01FE3" w:rsidRDefault="00B01FE3" w:rsidP="008A71FE">
      <w:pPr>
        <w:pStyle w:val="DSBodyTextIndent1"/>
        <w:jc w:val="both"/>
      </w:pPr>
    </w:p>
    <w:p w14:paraId="4A3FFC68" w14:textId="77777777" w:rsidR="008A71FE" w:rsidRPr="003B74E0" w:rsidRDefault="008A71FE" w:rsidP="008A71FE">
      <w:pPr>
        <w:pStyle w:val="DSBodyTextIndent1"/>
        <w:jc w:val="both"/>
      </w:pPr>
      <w:r w:rsidRPr="003B74E0">
        <w:t xml:space="preserve">Following the execution of the Announcement Agreement, each of the Offeror and the Company published announcements concerning the decision by the Offeror to make the Offer and the Board of Directors' decision to recommend the Offer. </w:t>
      </w:r>
    </w:p>
    <w:p w14:paraId="13C2FF72" w14:textId="77777777" w:rsidR="008A71FE" w:rsidRPr="003B74E0" w:rsidRDefault="008A71FE" w:rsidP="008A71FE">
      <w:pPr>
        <w:pStyle w:val="DSBodyTextIndent1"/>
        <w:jc w:val="both"/>
      </w:pPr>
    </w:p>
    <w:p w14:paraId="2B519271" w14:textId="5287E4AB" w:rsidR="00F5133F" w:rsidRPr="003B74E0" w:rsidRDefault="008A71FE" w:rsidP="008A71FE">
      <w:pPr>
        <w:pStyle w:val="NormalIndent"/>
        <w:jc w:val="both"/>
      </w:pPr>
      <w:r w:rsidRPr="003B74E0">
        <w:lastRenderedPageBreak/>
        <w:t xml:space="preserve">On </w:t>
      </w:r>
      <w:r w:rsidR="00DA0B34">
        <w:t>7 January 2026</w:t>
      </w:r>
      <w:r w:rsidRPr="003B74E0">
        <w:t>, the Danish FSA approved the Offer Document, which was subsequently published by the Offeror</w:t>
      </w:r>
      <w:r w:rsidR="00116A2B">
        <w:t xml:space="preserve"> on the same day</w:t>
      </w:r>
      <w:r w:rsidRPr="003B74E0">
        <w:t>.</w:t>
      </w:r>
    </w:p>
    <w:p w14:paraId="05BADDBA" w14:textId="77777777" w:rsidR="00F5133F" w:rsidRPr="003B74E0" w:rsidRDefault="00F5133F" w:rsidP="008A71FE">
      <w:pPr>
        <w:pStyle w:val="NormalIndent"/>
        <w:jc w:val="both"/>
      </w:pPr>
    </w:p>
    <w:p w14:paraId="6F566366" w14:textId="736BB2E5" w:rsidR="006D15EF" w:rsidRPr="003B74E0" w:rsidRDefault="00243FC5" w:rsidP="008A71FE">
      <w:pPr>
        <w:pStyle w:val="NormalIndent"/>
        <w:jc w:val="both"/>
      </w:pPr>
      <w:r w:rsidRPr="003B74E0">
        <w:br w:type="page"/>
      </w:r>
    </w:p>
    <w:p w14:paraId="4982B3E6" w14:textId="617B296B" w:rsidR="00C409D1" w:rsidRPr="003B74E0" w:rsidRDefault="00C409D1" w:rsidP="00A05058">
      <w:pPr>
        <w:pStyle w:val="Heading1"/>
        <w:jc w:val="both"/>
      </w:pPr>
      <w:bookmarkStart w:id="76" w:name="_Toc194440321"/>
      <w:bookmarkStart w:id="77" w:name="_Toc218590563"/>
      <w:r w:rsidRPr="003B74E0">
        <w:rPr>
          <w:lang w:bidi="en-GB"/>
        </w:rPr>
        <w:lastRenderedPageBreak/>
        <w:t xml:space="preserve">The </w:t>
      </w:r>
      <w:r w:rsidR="00B86488" w:rsidRPr="003B74E0">
        <w:rPr>
          <w:lang w:bidi="en-GB"/>
        </w:rPr>
        <w:t>Board of Directors</w:t>
      </w:r>
      <w:r w:rsidRPr="003B74E0">
        <w:rPr>
          <w:lang w:bidi="en-GB"/>
        </w:rPr>
        <w:t>' view on certain factors relating to the Offer</w:t>
      </w:r>
      <w:bookmarkEnd w:id="75"/>
      <w:bookmarkEnd w:id="76"/>
      <w:bookmarkEnd w:id="77"/>
    </w:p>
    <w:p w14:paraId="363C5685" w14:textId="77777777" w:rsidR="00C409D1" w:rsidRPr="003B74E0" w:rsidRDefault="00C409D1" w:rsidP="00A05058">
      <w:pPr>
        <w:pStyle w:val="Heading2"/>
        <w:jc w:val="both"/>
      </w:pPr>
      <w:bookmarkStart w:id="78" w:name="_Toc194440322"/>
      <w:bookmarkStart w:id="79" w:name="_Toc218590564"/>
      <w:bookmarkStart w:id="80" w:name="_Ref282257249"/>
      <w:r w:rsidRPr="003B74E0">
        <w:rPr>
          <w:lang w:bidi="en-GB"/>
        </w:rPr>
        <w:t>Introduction</w:t>
      </w:r>
      <w:bookmarkEnd w:id="78"/>
      <w:bookmarkEnd w:id="79"/>
    </w:p>
    <w:p w14:paraId="3DDE9569" w14:textId="3164960D" w:rsidR="000917FE" w:rsidRPr="000917FE" w:rsidRDefault="000917FE" w:rsidP="000917FE">
      <w:pPr>
        <w:pStyle w:val="NormalIndent"/>
        <w:jc w:val="both"/>
        <w:rPr>
          <w:lang w:bidi="en-GB"/>
        </w:rPr>
      </w:pPr>
      <w:bookmarkStart w:id="81" w:name="_Ref506714465"/>
      <w:bookmarkStart w:id="82" w:name="_Toc194440323"/>
      <w:r w:rsidRPr="000917FE">
        <w:rPr>
          <w:lang w:bidi="en-GB"/>
        </w:rPr>
        <w:t xml:space="preserve">The Board of Directors has had – and continues to have – full confidence in the Company's strategy and its continuation on a stand-alone basis. As such, the Board of Directors had not, prior to receiving an informal unsolicited approach from a third party in March 2025 </w:t>
      </w:r>
      <w:r w:rsidR="00B35F19">
        <w:rPr>
          <w:lang w:val="en-US"/>
        </w:rPr>
        <w:t>expressing interest in a transaction involving the Company</w:t>
      </w:r>
      <w:r w:rsidRPr="000917FE">
        <w:rPr>
          <w:lang w:bidi="en-GB"/>
        </w:rPr>
        <w:t>, actively solicited approaches from potential offerors for a takeover offer for Nilfisk or other strategic transactions involving Nilfisk.</w:t>
      </w:r>
    </w:p>
    <w:p w14:paraId="770CC2E3" w14:textId="77777777" w:rsidR="000917FE" w:rsidRDefault="000917FE" w:rsidP="000917FE">
      <w:pPr>
        <w:pStyle w:val="NormalIndent"/>
        <w:jc w:val="both"/>
        <w:rPr>
          <w:lang w:bidi="en-GB"/>
        </w:rPr>
      </w:pPr>
    </w:p>
    <w:p w14:paraId="1F16A84D" w14:textId="68975E6B" w:rsidR="000917FE" w:rsidRPr="000917FE" w:rsidRDefault="000917FE" w:rsidP="000917FE">
      <w:pPr>
        <w:pStyle w:val="NormalIndent"/>
        <w:jc w:val="both"/>
        <w:rPr>
          <w:lang w:bidi="en-GB"/>
        </w:rPr>
      </w:pPr>
      <w:r w:rsidRPr="000917FE">
        <w:rPr>
          <w:lang w:bidi="en-GB"/>
        </w:rPr>
        <w:t xml:space="preserve">However, in </w:t>
      </w:r>
      <w:r w:rsidR="00116A2B">
        <w:rPr>
          <w:lang w:bidi="en-GB"/>
        </w:rPr>
        <w:t>light</w:t>
      </w:r>
      <w:r w:rsidRPr="000917FE">
        <w:rPr>
          <w:lang w:bidi="en-GB"/>
        </w:rPr>
        <w:t xml:space="preserve"> of this unsolicited third-party approach, the Board of Directors considered it its duty, acting in the best interest of the Company and its Shareholders, to assess whether such an approach, or interest by another party in the Company, could lead to the making of a public takeover offer that would, if accepted by the Shareholders, deliver superior value for the Shareholders and be in the best interests of the Company and its Shareholders.</w:t>
      </w:r>
    </w:p>
    <w:p w14:paraId="0FE22CCB" w14:textId="77777777" w:rsidR="000917FE" w:rsidRDefault="000917FE" w:rsidP="000917FE">
      <w:pPr>
        <w:pStyle w:val="NormalIndent"/>
        <w:jc w:val="both"/>
        <w:rPr>
          <w:lang w:bidi="en-GB"/>
        </w:rPr>
      </w:pPr>
    </w:p>
    <w:p w14:paraId="43434C91" w14:textId="7B62CF8B" w:rsidR="000917FE" w:rsidRPr="000917FE" w:rsidRDefault="000917FE" w:rsidP="000917FE">
      <w:pPr>
        <w:pStyle w:val="NormalIndent"/>
        <w:jc w:val="both"/>
        <w:rPr>
          <w:lang w:bidi="en-GB"/>
        </w:rPr>
      </w:pPr>
      <w:r w:rsidRPr="000917FE">
        <w:rPr>
          <w:lang w:bidi="en-GB"/>
        </w:rPr>
        <w:t xml:space="preserve">To that end the Board of Directors has, together with the Company's advisers, since the initial approach actively explored the potential interest of a range of strategic and financial parties in a transaction concerning the Company. </w:t>
      </w:r>
    </w:p>
    <w:p w14:paraId="69B59EF3" w14:textId="77777777" w:rsidR="002E490A" w:rsidRPr="003B74E0" w:rsidRDefault="002E490A" w:rsidP="002E490A">
      <w:pPr>
        <w:pStyle w:val="NormalIndent"/>
        <w:jc w:val="both"/>
        <w:rPr>
          <w:lang w:bidi="en-GB"/>
        </w:rPr>
      </w:pPr>
    </w:p>
    <w:p w14:paraId="290769BB" w14:textId="353E5C70" w:rsidR="001C5619" w:rsidRDefault="002E490A" w:rsidP="002E490A">
      <w:pPr>
        <w:pStyle w:val="NormalIndent"/>
        <w:jc w:val="both"/>
        <w:rPr>
          <w:lang w:bidi="en-GB"/>
        </w:rPr>
      </w:pPr>
      <w:r w:rsidRPr="003B74E0">
        <w:rPr>
          <w:lang w:bidi="en-GB"/>
        </w:rPr>
        <w:t xml:space="preserve">On this basis and taking into consideration the Board of Directors' assumptions regarding the Group's business and financials and performance and outlook, including the Group's future prospects on a stand-alone basis as well as the commitments, covenants, and undertakings made by the Offeror in the Announcement Agreement for the benefit of the Company and its stakeholders, the Board of Directors has, assisted by the Executive Management as well as </w:t>
      </w:r>
      <w:r w:rsidR="00C830B1" w:rsidRPr="003B74E0">
        <w:rPr>
          <w:lang w:bidi="en-GB"/>
        </w:rPr>
        <w:t xml:space="preserve">Guggenheim </w:t>
      </w:r>
      <w:r w:rsidRPr="003B74E0">
        <w:rPr>
          <w:lang w:bidi="en-GB"/>
        </w:rPr>
        <w:t xml:space="preserve">as financial adviser and </w:t>
      </w:r>
      <w:r w:rsidR="00C830B1" w:rsidRPr="003B74E0">
        <w:rPr>
          <w:lang w:bidi="en-GB"/>
        </w:rPr>
        <w:t xml:space="preserve">Krogerus and </w:t>
      </w:r>
      <w:r w:rsidRPr="003B74E0">
        <w:rPr>
          <w:lang w:bidi="en-GB"/>
        </w:rPr>
        <w:t>Kromann Reumert as legal adviser</w:t>
      </w:r>
      <w:r w:rsidR="00C830B1" w:rsidRPr="003B74E0">
        <w:rPr>
          <w:lang w:bidi="en-GB"/>
        </w:rPr>
        <w:t>s</w:t>
      </w:r>
      <w:r w:rsidRPr="003B74E0">
        <w:rPr>
          <w:lang w:bidi="en-GB"/>
        </w:rPr>
        <w:t>, analysed the Offer.</w:t>
      </w:r>
      <w:r w:rsidR="005F5EBA">
        <w:rPr>
          <w:lang w:bidi="en-GB"/>
        </w:rPr>
        <w:t xml:space="preserve"> </w:t>
      </w:r>
    </w:p>
    <w:p w14:paraId="2F684B59" w14:textId="77777777" w:rsidR="001C5619" w:rsidRDefault="001C5619" w:rsidP="002E490A">
      <w:pPr>
        <w:pStyle w:val="NormalIndent"/>
        <w:jc w:val="both"/>
        <w:rPr>
          <w:lang w:bidi="en-GB"/>
        </w:rPr>
      </w:pPr>
    </w:p>
    <w:p w14:paraId="6F223918" w14:textId="48096400" w:rsidR="00243FC5" w:rsidRPr="003B74E0" w:rsidRDefault="005F5EBA" w:rsidP="002E490A">
      <w:pPr>
        <w:pStyle w:val="NormalIndent"/>
        <w:jc w:val="both"/>
        <w:rPr>
          <w:lang w:bidi="en-GB"/>
        </w:rPr>
      </w:pPr>
      <w:r w:rsidRPr="003B74E0">
        <w:t xml:space="preserve">The Board of Directors' </w:t>
      </w:r>
      <w:r w:rsidRPr="003B74E0">
        <w:rPr>
          <w:lang w:bidi="en-GB"/>
        </w:rPr>
        <w:t xml:space="preserve">assessment of the financial merits of the Offer took </w:t>
      </w:r>
      <w:r w:rsidRPr="003B74E0">
        <w:t xml:space="preserve">into account, among other factors, the Fairness Opinion, dated </w:t>
      </w:r>
      <w:r w:rsidR="0041259C">
        <w:t>10 December 2025</w:t>
      </w:r>
      <w:r w:rsidRPr="003B74E0">
        <w:t>, from DNB Carnegie, that, as of such date and based on and subject to the various assumptions made, procedures followed, matters considered and limitations and qualifications on the reviews undertaken by DN</w:t>
      </w:r>
      <w:r>
        <w:t>B</w:t>
      </w:r>
      <w:r w:rsidRPr="003B74E0">
        <w:t xml:space="preserve"> Carnegie, as set forth in the written opinion, the Offer Price was fair, from a financial point of view, to the Shareholders.</w:t>
      </w:r>
    </w:p>
    <w:p w14:paraId="1FF32DE9" w14:textId="77777777" w:rsidR="00C409D1" w:rsidRPr="003B74E0" w:rsidRDefault="00C409D1" w:rsidP="00A05058">
      <w:pPr>
        <w:pStyle w:val="Heading2"/>
        <w:jc w:val="both"/>
      </w:pPr>
      <w:bookmarkStart w:id="83" w:name="_Toc218590565"/>
      <w:r w:rsidRPr="003B74E0">
        <w:rPr>
          <w:lang w:bidi="en-GB"/>
        </w:rPr>
        <w:t>The Offer Price</w:t>
      </w:r>
      <w:bookmarkEnd w:id="81"/>
      <w:bookmarkEnd w:id="82"/>
      <w:bookmarkEnd w:id="83"/>
    </w:p>
    <w:p w14:paraId="409413EE" w14:textId="21F7924A" w:rsidR="00C409D1" w:rsidRPr="003B74E0" w:rsidRDefault="00C409D1" w:rsidP="00A05058">
      <w:pPr>
        <w:pStyle w:val="Heading3"/>
        <w:jc w:val="both"/>
      </w:pPr>
      <w:bookmarkStart w:id="84" w:name="_Ref194075176"/>
      <w:bookmarkStart w:id="85" w:name="_Toc194440324"/>
      <w:bookmarkStart w:id="86" w:name="_Ref203811345"/>
      <w:bookmarkStart w:id="87" w:name="_Toc218590566"/>
      <w:r w:rsidRPr="003B74E0">
        <w:rPr>
          <w:lang w:bidi="en-GB"/>
        </w:rPr>
        <w:t xml:space="preserve">Comparison against </w:t>
      </w:r>
      <w:r w:rsidR="00BA4872" w:rsidRPr="003B74E0">
        <w:rPr>
          <w:lang w:bidi="en-GB"/>
        </w:rPr>
        <w:t>r</w:t>
      </w:r>
      <w:r w:rsidRPr="003B74E0">
        <w:rPr>
          <w:lang w:bidi="en-GB"/>
        </w:rPr>
        <w:t xml:space="preserve">elevant </w:t>
      </w:r>
      <w:r w:rsidR="00BA4872" w:rsidRPr="003B74E0">
        <w:rPr>
          <w:lang w:bidi="en-GB"/>
        </w:rPr>
        <w:t>h</w:t>
      </w:r>
      <w:r w:rsidRPr="003B74E0">
        <w:rPr>
          <w:lang w:bidi="en-GB"/>
        </w:rPr>
        <w:t xml:space="preserve">istorical </w:t>
      </w:r>
      <w:r w:rsidR="00BA4872" w:rsidRPr="003B74E0">
        <w:rPr>
          <w:lang w:bidi="en-GB"/>
        </w:rPr>
        <w:t>p</w:t>
      </w:r>
      <w:r w:rsidRPr="003B74E0">
        <w:rPr>
          <w:lang w:bidi="en-GB"/>
        </w:rPr>
        <w:t>rices</w:t>
      </w:r>
      <w:bookmarkEnd w:id="84"/>
      <w:bookmarkEnd w:id="85"/>
      <w:bookmarkEnd w:id="86"/>
      <w:bookmarkEnd w:id="87"/>
    </w:p>
    <w:p w14:paraId="6293AC4F" w14:textId="5679981D" w:rsidR="00036DEF" w:rsidRPr="003B74E0" w:rsidRDefault="00C409D1" w:rsidP="00A05058">
      <w:pPr>
        <w:pStyle w:val="DSBodyTextIndent1"/>
        <w:jc w:val="both"/>
        <w:rPr>
          <w:lang w:bidi="en-GB"/>
        </w:rPr>
      </w:pPr>
      <w:r w:rsidRPr="003B74E0">
        <w:rPr>
          <w:lang w:bidi="en-GB"/>
        </w:rPr>
        <w:t>The table below shows the Offer Price compared to the market price of the Shares on certain relevant historical dates and in relevant historical periods:</w:t>
      </w:r>
      <w:r w:rsidR="003A1E91" w:rsidRPr="003B74E0">
        <w:rPr>
          <w:lang w:bidi="en-GB"/>
        </w:rPr>
        <w:t xml:space="preserve"> </w:t>
      </w:r>
    </w:p>
    <w:p w14:paraId="62FBF63F" w14:textId="77777777" w:rsidR="00C409D1" w:rsidRPr="003B74E0" w:rsidRDefault="00C409D1" w:rsidP="00A05058">
      <w:pPr>
        <w:spacing w:after="160" w:line="259" w:lineRule="auto"/>
        <w:jc w:val="both"/>
      </w:pPr>
    </w:p>
    <w:tbl>
      <w:tblPr>
        <w:tblW w:w="0" w:type="auto"/>
        <w:tblInd w:w="709" w:type="dxa"/>
        <w:tblLook w:val="04A0" w:firstRow="1" w:lastRow="0" w:firstColumn="1" w:lastColumn="0" w:noHBand="0" w:noVBand="1"/>
      </w:tblPr>
      <w:tblGrid>
        <w:gridCol w:w="5817"/>
        <w:gridCol w:w="1276"/>
        <w:gridCol w:w="2119"/>
      </w:tblGrid>
      <w:tr w:rsidR="00D0192F" w:rsidRPr="003B74E0" w14:paraId="17216BB8" w14:textId="77777777" w:rsidTr="00D0192F">
        <w:trPr>
          <w:cantSplit/>
        </w:trPr>
        <w:tc>
          <w:tcPr>
            <w:tcW w:w="5817" w:type="dxa"/>
            <w:vAlign w:val="bottom"/>
            <w:hideMark/>
          </w:tcPr>
          <w:p w14:paraId="7722B59C" w14:textId="1250CE52" w:rsidR="00D0192F" w:rsidRPr="003B74E0" w:rsidRDefault="009E0427" w:rsidP="00A05058">
            <w:pPr>
              <w:spacing w:after="160" w:line="259" w:lineRule="auto"/>
              <w:jc w:val="both"/>
              <w:rPr>
                <w:rFonts w:asciiTheme="majorHAnsi" w:hAnsiTheme="majorHAnsi" w:cstheme="majorHAnsi"/>
                <w:b/>
              </w:rPr>
            </w:pPr>
            <w:r w:rsidRPr="003B74E0">
              <w:rPr>
                <w:rFonts w:asciiTheme="majorHAnsi" w:hAnsiTheme="majorHAnsi" w:cstheme="majorHAnsi"/>
                <w:b/>
                <w:lang w:bidi="en-GB"/>
              </w:rPr>
              <w:t>Date/</w:t>
            </w:r>
            <w:r w:rsidR="00D0192F" w:rsidRPr="003B74E0">
              <w:rPr>
                <w:rFonts w:asciiTheme="majorHAnsi" w:hAnsiTheme="majorHAnsi" w:cstheme="majorHAnsi"/>
                <w:b/>
                <w:lang w:bidi="en-GB"/>
              </w:rPr>
              <w:t>Period</w:t>
            </w:r>
          </w:p>
        </w:tc>
        <w:tc>
          <w:tcPr>
            <w:tcW w:w="1276" w:type="dxa"/>
            <w:vAlign w:val="bottom"/>
            <w:hideMark/>
          </w:tcPr>
          <w:p w14:paraId="099E2300" w14:textId="6F7E390C" w:rsidR="00D0192F" w:rsidRPr="003B74E0" w:rsidRDefault="00D0192F" w:rsidP="00804204">
            <w:pPr>
              <w:spacing w:after="160" w:line="259" w:lineRule="auto"/>
              <w:jc w:val="center"/>
              <w:rPr>
                <w:b/>
                <w:bCs/>
              </w:rPr>
            </w:pPr>
            <w:r w:rsidRPr="003B74E0">
              <w:rPr>
                <w:rFonts w:cs="Arial"/>
                <w:b/>
                <w:bCs/>
                <w:lang w:eastAsia="en-GB"/>
              </w:rPr>
              <w:t>Price per Share (DKK)</w:t>
            </w:r>
          </w:p>
        </w:tc>
        <w:tc>
          <w:tcPr>
            <w:tcW w:w="2119" w:type="dxa"/>
            <w:vAlign w:val="bottom"/>
            <w:hideMark/>
          </w:tcPr>
          <w:p w14:paraId="30145584" w14:textId="5FB5C89E" w:rsidR="00D0192F" w:rsidRPr="003B74E0" w:rsidRDefault="00D0192F" w:rsidP="00804204">
            <w:pPr>
              <w:spacing w:after="160" w:line="259" w:lineRule="auto"/>
              <w:jc w:val="center"/>
              <w:rPr>
                <w:b/>
                <w:bCs/>
              </w:rPr>
            </w:pPr>
            <w:r w:rsidRPr="003B74E0">
              <w:rPr>
                <w:rFonts w:cs="Arial"/>
                <w:b/>
                <w:bCs/>
                <w:lang w:eastAsia="en-GB"/>
              </w:rPr>
              <w:t>Offer Price premium compared with relevant historical share price per Share (in per cent)</w:t>
            </w:r>
          </w:p>
        </w:tc>
      </w:tr>
      <w:tr w:rsidR="00955009" w:rsidRPr="003B74E0" w14:paraId="4E29DEB3" w14:textId="77777777" w:rsidTr="004464F6">
        <w:trPr>
          <w:cantSplit/>
          <w:trHeight w:val="773"/>
        </w:trPr>
        <w:tc>
          <w:tcPr>
            <w:tcW w:w="5817" w:type="dxa"/>
            <w:vAlign w:val="center"/>
          </w:tcPr>
          <w:p w14:paraId="5183E330" w14:textId="6933B5D2" w:rsidR="00955009" w:rsidRPr="003B74E0" w:rsidRDefault="000722BD" w:rsidP="00A05058">
            <w:pPr>
              <w:spacing w:after="160" w:line="259" w:lineRule="auto"/>
              <w:jc w:val="both"/>
              <w:rPr>
                <w:rFonts w:asciiTheme="majorHAnsi" w:hAnsiTheme="majorHAnsi" w:cstheme="majorHAnsi"/>
                <w:lang w:bidi="en-GB"/>
              </w:rPr>
            </w:pPr>
            <w:r>
              <w:rPr>
                <w:rFonts w:asciiTheme="majorHAnsi" w:hAnsiTheme="majorHAnsi" w:cstheme="majorHAnsi"/>
                <w:lang w:eastAsia="en-GB"/>
              </w:rPr>
              <w:t>10 December 2025</w:t>
            </w:r>
            <w:r w:rsidR="00955009" w:rsidRPr="003B74E0">
              <w:rPr>
                <w:rFonts w:asciiTheme="majorHAnsi" w:hAnsiTheme="majorHAnsi" w:cstheme="majorHAnsi"/>
                <w:lang w:eastAsia="en-GB"/>
              </w:rPr>
              <w:t xml:space="preserve"> (</w:t>
            </w:r>
            <w:r w:rsidR="00C01579" w:rsidRPr="003B74E0">
              <w:rPr>
                <w:rFonts w:asciiTheme="majorHAnsi" w:eastAsia="Aptos" w:hAnsiTheme="majorHAnsi" w:cstheme="majorHAnsi"/>
              </w:rPr>
              <w:t xml:space="preserve">the last day of trading prior to </w:t>
            </w:r>
            <w:r w:rsidR="00052509" w:rsidRPr="003B74E0">
              <w:rPr>
                <w:rFonts w:asciiTheme="majorHAnsi" w:eastAsia="Aptos" w:hAnsiTheme="majorHAnsi" w:cstheme="majorHAnsi"/>
              </w:rPr>
              <w:t>a</w:t>
            </w:r>
            <w:r w:rsidR="00C01579" w:rsidRPr="003B74E0">
              <w:rPr>
                <w:rFonts w:asciiTheme="majorHAnsi" w:eastAsia="Aptos" w:hAnsiTheme="majorHAnsi" w:cstheme="majorHAnsi"/>
              </w:rPr>
              <w:t xml:space="preserve">nnouncement </w:t>
            </w:r>
            <w:r w:rsidR="00BD620B">
              <w:rPr>
                <w:rFonts w:asciiTheme="majorHAnsi" w:eastAsia="Aptos" w:hAnsiTheme="majorHAnsi" w:cstheme="majorHAnsi"/>
              </w:rPr>
              <w:t>of the Offer</w:t>
            </w:r>
            <w:r w:rsidR="00955009" w:rsidRPr="003B74E0">
              <w:rPr>
                <w:rFonts w:asciiTheme="majorHAnsi" w:hAnsiTheme="majorHAnsi" w:cstheme="majorHAnsi"/>
                <w:lang w:eastAsia="en-GB"/>
              </w:rPr>
              <w:t>)</w:t>
            </w:r>
          </w:p>
        </w:tc>
        <w:tc>
          <w:tcPr>
            <w:tcW w:w="1276" w:type="dxa"/>
            <w:vAlign w:val="center"/>
            <w:hideMark/>
          </w:tcPr>
          <w:p w14:paraId="4BAF85A6" w14:textId="23D381E0" w:rsidR="00955009" w:rsidRPr="003B74E0" w:rsidRDefault="00C61881" w:rsidP="00804204">
            <w:pPr>
              <w:spacing w:after="160" w:line="259" w:lineRule="auto"/>
              <w:jc w:val="center"/>
            </w:pPr>
            <w:r>
              <w:rPr>
                <w:rFonts w:asciiTheme="majorHAnsi" w:hAnsiTheme="majorHAnsi" w:cstheme="majorHAnsi"/>
                <w:lang w:eastAsia="en-GB"/>
              </w:rPr>
              <w:t>103</w:t>
            </w:r>
          </w:p>
        </w:tc>
        <w:tc>
          <w:tcPr>
            <w:tcW w:w="2119" w:type="dxa"/>
            <w:vAlign w:val="center"/>
            <w:hideMark/>
          </w:tcPr>
          <w:p w14:paraId="27A709A6" w14:textId="0B23C408" w:rsidR="00955009" w:rsidRPr="003B74E0" w:rsidRDefault="00276DA2" w:rsidP="00804204">
            <w:pPr>
              <w:spacing w:after="160" w:line="259" w:lineRule="auto"/>
              <w:jc w:val="center"/>
            </w:pPr>
            <w:r>
              <w:rPr>
                <w:rFonts w:asciiTheme="majorHAnsi" w:hAnsiTheme="majorHAnsi" w:cstheme="majorHAnsi"/>
                <w:lang w:eastAsia="en-GB"/>
              </w:rPr>
              <w:t>35.9</w:t>
            </w:r>
            <w:r w:rsidRPr="003B74E0">
              <w:t>%</w:t>
            </w:r>
          </w:p>
        </w:tc>
      </w:tr>
      <w:tr w:rsidR="00AA3DD4" w:rsidRPr="003B74E0" w14:paraId="5FC68CD0" w14:textId="77777777" w:rsidTr="004464F6">
        <w:trPr>
          <w:cantSplit/>
          <w:trHeight w:val="980"/>
        </w:trPr>
        <w:tc>
          <w:tcPr>
            <w:tcW w:w="5817" w:type="dxa"/>
            <w:vAlign w:val="center"/>
          </w:tcPr>
          <w:p w14:paraId="23D549B1" w14:textId="12980AA3" w:rsidR="00AA3DD4" w:rsidRPr="003B74E0" w:rsidRDefault="005A095C" w:rsidP="00AA3DD4">
            <w:pPr>
              <w:jc w:val="both"/>
              <w:rPr>
                <w:rFonts w:asciiTheme="majorHAnsi" w:hAnsiTheme="majorHAnsi" w:cstheme="majorHAnsi"/>
                <w:lang w:eastAsia="en-GB"/>
              </w:rPr>
            </w:pPr>
            <w:r>
              <w:rPr>
                <w:rFonts w:asciiTheme="majorHAnsi" w:hAnsiTheme="majorHAnsi" w:cstheme="majorHAnsi"/>
                <w:lang w:eastAsia="en-GB"/>
              </w:rPr>
              <w:lastRenderedPageBreak/>
              <w:t>One</w:t>
            </w:r>
            <w:r w:rsidR="00AA3DD4" w:rsidRPr="003B74E0">
              <w:rPr>
                <w:rFonts w:asciiTheme="majorHAnsi" w:hAnsiTheme="majorHAnsi" w:cstheme="majorHAnsi"/>
                <w:lang w:eastAsia="en-GB"/>
              </w:rPr>
              <w:t>-month</w:t>
            </w:r>
            <w:r w:rsidR="00710A06" w:rsidRPr="003B74E0">
              <w:rPr>
                <w:rFonts w:asciiTheme="majorHAnsi" w:hAnsiTheme="majorHAnsi" w:cstheme="majorHAnsi"/>
                <w:lang w:eastAsia="en-GB"/>
              </w:rPr>
              <w:t xml:space="preserve"> </w:t>
            </w:r>
            <w:r w:rsidR="00AA3DD4" w:rsidRPr="003B74E0">
              <w:rPr>
                <w:rFonts w:asciiTheme="majorHAnsi" w:hAnsiTheme="majorHAnsi" w:cstheme="majorHAnsi"/>
                <w:lang w:eastAsia="en-GB"/>
              </w:rPr>
              <w:t xml:space="preserve">volume-weighted average </w:t>
            </w:r>
            <w:r w:rsidR="00AA3DD4" w:rsidRPr="003B74E0">
              <w:rPr>
                <w:rFonts w:asciiTheme="majorHAnsi" w:eastAsia="Aptos" w:hAnsiTheme="majorHAnsi" w:cstheme="majorHAnsi"/>
              </w:rPr>
              <w:t xml:space="preserve">for the period ending </w:t>
            </w:r>
            <w:r w:rsidR="001A3EE1">
              <w:rPr>
                <w:rFonts w:asciiTheme="majorHAnsi" w:hAnsiTheme="majorHAnsi" w:cstheme="majorHAnsi"/>
                <w:lang w:eastAsia="en-GB"/>
              </w:rPr>
              <w:t>10 December 2025</w:t>
            </w:r>
          </w:p>
          <w:p w14:paraId="6C4F9F69" w14:textId="77777777" w:rsidR="00AA3DD4" w:rsidRPr="003B74E0" w:rsidRDefault="00AA3DD4" w:rsidP="00A05058">
            <w:pPr>
              <w:jc w:val="both"/>
              <w:rPr>
                <w:rFonts w:asciiTheme="majorHAnsi" w:hAnsiTheme="majorHAnsi" w:cstheme="majorHAnsi"/>
                <w:lang w:eastAsia="en-GB"/>
              </w:rPr>
            </w:pPr>
          </w:p>
        </w:tc>
        <w:tc>
          <w:tcPr>
            <w:tcW w:w="1276" w:type="dxa"/>
            <w:vAlign w:val="center"/>
          </w:tcPr>
          <w:p w14:paraId="45A36127" w14:textId="648E5837" w:rsidR="00AA3DD4" w:rsidRPr="003B74E0" w:rsidRDefault="0017179E" w:rsidP="00804204">
            <w:pPr>
              <w:spacing w:after="160" w:line="259" w:lineRule="auto"/>
              <w:jc w:val="center"/>
            </w:pPr>
            <w:r>
              <w:rPr>
                <w:rFonts w:asciiTheme="majorHAnsi" w:hAnsiTheme="majorHAnsi" w:cstheme="majorHAnsi"/>
                <w:lang w:eastAsia="en-GB"/>
              </w:rPr>
              <w:t>100.11</w:t>
            </w:r>
          </w:p>
        </w:tc>
        <w:tc>
          <w:tcPr>
            <w:tcW w:w="2119" w:type="dxa"/>
            <w:vAlign w:val="center"/>
          </w:tcPr>
          <w:p w14:paraId="27D2DF20" w14:textId="53A51145" w:rsidR="00AA3DD4" w:rsidRPr="003B74E0" w:rsidRDefault="00276DA2" w:rsidP="00804204">
            <w:pPr>
              <w:spacing w:after="160" w:line="259" w:lineRule="auto"/>
              <w:jc w:val="center"/>
            </w:pPr>
            <w:r>
              <w:rPr>
                <w:rFonts w:asciiTheme="majorHAnsi" w:hAnsiTheme="majorHAnsi" w:cstheme="majorHAnsi"/>
                <w:lang w:eastAsia="en-GB"/>
              </w:rPr>
              <w:t>39.8</w:t>
            </w:r>
            <w:r w:rsidRPr="003B74E0">
              <w:t>%</w:t>
            </w:r>
          </w:p>
        </w:tc>
      </w:tr>
      <w:tr w:rsidR="00C02368" w:rsidRPr="003B74E0" w14:paraId="0207CB2C" w14:textId="77777777" w:rsidTr="004464F6">
        <w:trPr>
          <w:cantSplit/>
          <w:trHeight w:val="980"/>
        </w:trPr>
        <w:tc>
          <w:tcPr>
            <w:tcW w:w="5817" w:type="dxa"/>
            <w:vAlign w:val="center"/>
          </w:tcPr>
          <w:p w14:paraId="14BDA550" w14:textId="401E4571" w:rsidR="00C02368" w:rsidRDefault="00C02368" w:rsidP="00C02368">
            <w:pPr>
              <w:jc w:val="both"/>
              <w:rPr>
                <w:rFonts w:asciiTheme="majorHAnsi" w:hAnsiTheme="majorHAnsi" w:cstheme="majorHAnsi"/>
                <w:lang w:eastAsia="en-GB"/>
              </w:rPr>
            </w:pPr>
            <w:r>
              <w:rPr>
                <w:rFonts w:asciiTheme="majorHAnsi" w:hAnsiTheme="majorHAnsi" w:cstheme="majorHAnsi"/>
                <w:lang w:eastAsia="en-GB"/>
              </w:rPr>
              <w:t>Three</w:t>
            </w:r>
            <w:r w:rsidRPr="003B74E0">
              <w:rPr>
                <w:rFonts w:asciiTheme="majorHAnsi" w:hAnsiTheme="majorHAnsi" w:cstheme="majorHAnsi"/>
                <w:lang w:eastAsia="en-GB"/>
              </w:rPr>
              <w:t>-month</w:t>
            </w:r>
            <w:r>
              <w:rPr>
                <w:rFonts w:asciiTheme="majorHAnsi" w:hAnsiTheme="majorHAnsi" w:cstheme="majorHAnsi"/>
                <w:lang w:eastAsia="en-GB"/>
              </w:rPr>
              <w:t>s</w:t>
            </w:r>
            <w:r w:rsidRPr="003B74E0">
              <w:rPr>
                <w:rFonts w:asciiTheme="majorHAnsi" w:hAnsiTheme="majorHAnsi" w:cstheme="majorHAnsi"/>
                <w:lang w:eastAsia="en-GB"/>
              </w:rPr>
              <w:t xml:space="preserve"> volume-weighted average </w:t>
            </w:r>
            <w:r w:rsidRPr="003B74E0">
              <w:rPr>
                <w:rFonts w:asciiTheme="majorHAnsi" w:eastAsia="Aptos" w:hAnsiTheme="majorHAnsi" w:cstheme="majorHAnsi"/>
              </w:rPr>
              <w:t xml:space="preserve">for the period ending </w:t>
            </w:r>
            <w:r w:rsidR="001A3EE1">
              <w:rPr>
                <w:rFonts w:asciiTheme="majorHAnsi" w:hAnsiTheme="majorHAnsi" w:cstheme="majorHAnsi"/>
                <w:lang w:eastAsia="en-GB"/>
              </w:rPr>
              <w:t>10 December 2025</w:t>
            </w:r>
          </w:p>
        </w:tc>
        <w:tc>
          <w:tcPr>
            <w:tcW w:w="1276" w:type="dxa"/>
            <w:vAlign w:val="center"/>
          </w:tcPr>
          <w:p w14:paraId="4A7BAD3A" w14:textId="24A031EF" w:rsidR="00C02368" w:rsidRPr="003B74E0" w:rsidRDefault="0017179E" w:rsidP="00C02368">
            <w:pPr>
              <w:spacing w:after="160" w:line="259" w:lineRule="auto"/>
              <w:jc w:val="center"/>
              <w:rPr>
                <w:rFonts w:asciiTheme="majorHAnsi" w:hAnsiTheme="majorHAnsi" w:cstheme="majorHAnsi"/>
                <w:lang w:eastAsia="en-GB"/>
              </w:rPr>
            </w:pPr>
            <w:r>
              <w:rPr>
                <w:rFonts w:asciiTheme="majorHAnsi" w:hAnsiTheme="majorHAnsi" w:cstheme="majorHAnsi"/>
                <w:lang w:eastAsia="en-GB"/>
              </w:rPr>
              <w:t>107.60</w:t>
            </w:r>
          </w:p>
        </w:tc>
        <w:tc>
          <w:tcPr>
            <w:tcW w:w="2119" w:type="dxa"/>
            <w:vAlign w:val="center"/>
          </w:tcPr>
          <w:p w14:paraId="05B168A2" w14:textId="15E0391A" w:rsidR="00C02368" w:rsidRPr="003B74E0" w:rsidRDefault="00276DA2" w:rsidP="00C02368">
            <w:pPr>
              <w:spacing w:after="160" w:line="259" w:lineRule="auto"/>
              <w:jc w:val="center"/>
              <w:rPr>
                <w:rFonts w:asciiTheme="majorHAnsi" w:hAnsiTheme="majorHAnsi" w:cstheme="majorHAnsi"/>
                <w:lang w:eastAsia="en-GB"/>
              </w:rPr>
            </w:pPr>
            <w:r>
              <w:rPr>
                <w:rFonts w:asciiTheme="majorHAnsi" w:hAnsiTheme="majorHAnsi" w:cstheme="majorHAnsi"/>
                <w:lang w:eastAsia="en-GB"/>
              </w:rPr>
              <w:t>30.1</w:t>
            </w:r>
            <w:r w:rsidRPr="003B74E0">
              <w:t>%</w:t>
            </w:r>
          </w:p>
        </w:tc>
      </w:tr>
      <w:tr w:rsidR="00C02368" w:rsidRPr="003B74E0" w14:paraId="6CCB2BC4" w14:textId="77777777" w:rsidTr="004464F6">
        <w:trPr>
          <w:cantSplit/>
          <w:trHeight w:val="980"/>
        </w:trPr>
        <w:tc>
          <w:tcPr>
            <w:tcW w:w="5817" w:type="dxa"/>
            <w:vAlign w:val="center"/>
          </w:tcPr>
          <w:p w14:paraId="676D722A" w14:textId="498F8702" w:rsidR="00C02368" w:rsidRPr="003B74E0" w:rsidRDefault="00C02368" w:rsidP="00C02368">
            <w:pPr>
              <w:jc w:val="both"/>
              <w:rPr>
                <w:rFonts w:asciiTheme="majorHAnsi" w:hAnsiTheme="majorHAnsi" w:cstheme="majorHAnsi"/>
                <w:lang w:eastAsia="en-GB"/>
              </w:rPr>
            </w:pPr>
            <w:r>
              <w:rPr>
                <w:rFonts w:asciiTheme="majorHAnsi" w:hAnsiTheme="majorHAnsi" w:cstheme="majorHAnsi"/>
                <w:lang w:eastAsia="en-GB"/>
              </w:rPr>
              <w:t>Six</w:t>
            </w:r>
            <w:r w:rsidRPr="003B74E0">
              <w:rPr>
                <w:rFonts w:asciiTheme="majorHAnsi" w:hAnsiTheme="majorHAnsi" w:cstheme="majorHAnsi"/>
                <w:lang w:eastAsia="en-GB"/>
              </w:rPr>
              <w:t xml:space="preserve">-months volume-weighted average </w:t>
            </w:r>
            <w:r w:rsidRPr="003B74E0">
              <w:rPr>
                <w:rFonts w:asciiTheme="majorHAnsi" w:eastAsia="Aptos" w:hAnsiTheme="majorHAnsi" w:cstheme="majorHAnsi"/>
              </w:rPr>
              <w:t xml:space="preserve">for the period ending </w:t>
            </w:r>
            <w:r w:rsidR="001A3EE1">
              <w:rPr>
                <w:rFonts w:asciiTheme="majorHAnsi" w:hAnsiTheme="majorHAnsi" w:cstheme="majorHAnsi"/>
                <w:lang w:eastAsia="en-GB"/>
              </w:rPr>
              <w:t>10 December 2025</w:t>
            </w:r>
          </w:p>
          <w:p w14:paraId="46AE1744" w14:textId="579AC466" w:rsidR="00C02368" w:rsidRPr="003B74E0" w:rsidRDefault="00C02368" w:rsidP="00C02368">
            <w:pPr>
              <w:spacing w:after="160" w:line="259" w:lineRule="auto"/>
              <w:jc w:val="both"/>
              <w:rPr>
                <w:rFonts w:asciiTheme="majorHAnsi" w:hAnsiTheme="majorHAnsi" w:cstheme="majorHAnsi"/>
              </w:rPr>
            </w:pPr>
          </w:p>
        </w:tc>
        <w:tc>
          <w:tcPr>
            <w:tcW w:w="1276" w:type="dxa"/>
            <w:vAlign w:val="center"/>
            <w:hideMark/>
          </w:tcPr>
          <w:p w14:paraId="1FBF7787" w14:textId="1D23ED6A" w:rsidR="00C02368" w:rsidRPr="003B74E0" w:rsidRDefault="0017179E" w:rsidP="00C02368">
            <w:pPr>
              <w:spacing w:after="160" w:line="259" w:lineRule="auto"/>
              <w:jc w:val="center"/>
            </w:pPr>
            <w:r>
              <w:rPr>
                <w:rFonts w:asciiTheme="majorHAnsi" w:hAnsiTheme="majorHAnsi" w:cstheme="majorHAnsi"/>
                <w:lang w:eastAsia="en-GB"/>
              </w:rPr>
              <w:t>103.05</w:t>
            </w:r>
          </w:p>
        </w:tc>
        <w:tc>
          <w:tcPr>
            <w:tcW w:w="2119" w:type="dxa"/>
            <w:vAlign w:val="center"/>
            <w:hideMark/>
          </w:tcPr>
          <w:p w14:paraId="0F593822" w14:textId="2B853B20" w:rsidR="00C02368" w:rsidRPr="003B74E0" w:rsidRDefault="00276DA2" w:rsidP="00C02368">
            <w:pPr>
              <w:spacing w:after="160" w:line="259" w:lineRule="auto"/>
              <w:jc w:val="center"/>
            </w:pPr>
            <w:r>
              <w:rPr>
                <w:rFonts w:asciiTheme="majorHAnsi" w:hAnsiTheme="majorHAnsi" w:cstheme="majorHAnsi"/>
                <w:lang w:eastAsia="en-GB"/>
              </w:rPr>
              <w:t>35.9</w:t>
            </w:r>
            <w:r w:rsidRPr="003B74E0">
              <w:t>%</w:t>
            </w:r>
          </w:p>
        </w:tc>
      </w:tr>
      <w:tr w:rsidR="001A3EE1" w:rsidRPr="003B74E0" w14:paraId="3DA7D0EE" w14:textId="77777777" w:rsidTr="004464F6">
        <w:trPr>
          <w:cantSplit/>
          <w:trHeight w:val="980"/>
        </w:trPr>
        <w:tc>
          <w:tcPr>
            <w:tcW w:w="5817" w:type="dxa"/>
            <w:vAlign w:val="center"/>
          </w:tcPr>
          <w:p w14:paraId="157794BF" w14:textId="0388D1C9" w:rsidR="001A3EE1" w:rsidRDefault="00687E53" w:rsidP="00C02368">
            <w:pPr>
              <w:jc w:val="both"/>
              <w:rPr>
                <w:rFonts w:asciiTheme="majorHAnsi" w:hAnsiTheme="majorHAnsi" w:cstheme="majorHAnsi"/>
                <w:lang w:eastAsia="en-GB"/>
              </w:rPr>
            </w:pPr>
            <w:r>
              <w:rPr>
                <w:rFonts w:asciiTheme="majorHAnsi" w:hAnsiTheme="majorHAnsi" w:cstheme="majorHAnsi"/>
                <w:lang w:eastAsia="en-GB"/>
              </w:rPr>
              <w:t>Twelve-month volume-weighted average for the period ending 10 December 2025</w:t>
            </w:r>
          </w:p>
        </w:tc>
        <w:tc>
          <w:tcPr>
            <w:tcW w:w="1276" w:type="dxa"/>
            <w:vAlign w:val="center"/>
          </w:tcPr>
          <w:p w14:paraId="27921F68" w14:textId="6F51F498" w:rsidR="001A3EE1" w:rsidRPr="003B74E0" w:rsidRDefault="00276DA2" w:rsidP="00C02368">
            <w:pPr>
              <w:spacing w:after="160" w:line="259" w:lineRule="auto"/>
              <w:jc w:val="center"/>
              <w:rPr>
                <w:rFonts w:asciiTheme="majorHAnsi" w:hAnsiTheme="majorHAnsi" w:cstheme="majorHAnsi"/>
                <w:lang w:eastAsia="en-GB"/>
              </w:rPr>
            </w:pPr>
            <w:r>
              <w:rPr>
                <w:rFonts w:asciiTheme="majorHAnsi" w:hAnsiTheme="majorHAnsi" w:cstheme="majorHAnsi"/>
                <w:lang w:eastAsia="en-GB"/>
              </w:rPr>
              <w:t>98.38</w:t>
            </w:r>
          </w:p>
        </w:tc>
        <w:tc>
          <w:tcPr>
            <w:tcW w:w="2119" w:type="dxa"/>
            <w:vAlign w:val="center"/>
          </w:tcPr>
          <w:p w14:paraId="2BCB9F37" w14:textId="40960301" w:rsidR="001A3EE1" w:rsidRPr="003B74E0" w:rsidRDefault="00276DA2" w:rsidP="00C02368">
            <w:pPr>
              <w:spacing w:after="160" w:line="259" w:lineRule="auto"/>
              <w:jc w:val="center"/>
              <w:rPr>
                <w:rFonts w:asciiTheme="majorHAnsi" w:hAnsiTheme="majorHAnsi" w:cstheme="majorHAnsi"/>
                <w:lang w:eastAsia="en-GB"/>
              </w:rPr>
            </w:pPr>
            <w:r>
              <w:rPr>
                <w:rFonts w:asciiTheme="majorHAnsi" w:hAnsiTheme="majorHAnsi" w:cstheme="majorHAnsi"/>
                <w:lang w:eastAsia="en-GB"/>
              </w:rPr>
              <w:t>42.3</w:t>
            </w:r>
            <w:r w:rsidR="00632EED" w:rsidRPr="003B74E0">
              <w:t>%</w:t>
            </w:r>
          </w:p>
        </w:tc>
      </w:tr>
    </w:tbl>
    <w:p w14:paraId="690ECCC0" w14:textId="6E80D592" w:rsidR="00AA3DD4" w:rsidRPr="003B74E0" w:rsidRDefault="00C90443" w:rsidP="008A73C5">
      <w:pPr>
        <w:pStyle w:val="DSBodyTextIndent1"/>
        <w:jc w:val="both"/>
        <w:rPr>
          <w:i/>
          <w:sz w:val="14"/>
          <w:szCs w:val="14"/>
        </w:rPr>
      </w:pPr>
      <w:bookmarkStart w:id="88" w:name="_9kR3WTr17858CZIggtfa0mj"/>
      <w:bookmarkStart w:id="89" w:name="_9kR3WTr24458DaIggtfa0mj"/>
      <w:bookmarkStart w:id="90" w:name="_9kR3WTr19A58EbIggtfa0mj"/>
      <w:bookmarkStart w:id="91" w:name="_Hlk194065010"/>
      <w:r>
        <w:rPr>
          <w:i/>
          <w:sz w:val="14"/>
          <w:szCs w:val="14"/>
        </w:rPr>
        <w:t>Source</w:t>
      </w:r>
      <w:r w:rsidR="00074712">
        <w:rPr>
          <w:i/>
          <w:sz w:val="14"/>
          <w:szCs w:val="14"/>
        </w:rPr>
        <w:t>: Fact</w:t>
      </w:r>
      <w:r w:rsidR="00653A8F">
        <w:rPr>
          <w:i/>
          <w:sz w:val="14"/>
          <w:szCs w:val="14"/>
        </w:rPr>
        <w:t>S</w:t>
      </w:r>
      <w:r w:rsidR="00074712">
        <w:rPr>
          <w:i/>
          <w:sz w:val="14"/>
          <w:szCs w:val="14"/>
        </w:rPr>
        <w:t>et</w:t>
      </w:r>
    </w:p>
    <w:p w14:paraId="3C9D32A1" w14:textId="2E5C10B1" w:rsidR="00C409D1" w:rsidRPr="003B74E0" w:rsidRDefault="00C409D1" w:rsidP="00350AC9">
      <w:pPr>
        <w:pStyle w:val="Heading2"/>
        <w:jc w:val="both"/>
      </w:pPr>
      <w:bookmarkStart w:id="92" w:name="_Toc194440326"/>
      <w:bookmarkStart w:id="93" w:name="_Toc218590567"/>
      <w:bookmarkEnd w:id="88"/>
      <w:bookmarkEnd w:id="89"/>
      <w:bookmarkEnd w:id="90"/>
      <w:bookmarkEnd w:id="91"/>
      <w:r w:rsidRPr="003B74E0">
        <w:rPr>
          <w:lang w:bidi="en-GB"/>
        </w:rPr>
        <w:t xml:space="preserve">The Offer's </w:t>
      </w:r>
      <w:r w:rsidR="0046560E" w:rsidRPr="003B74E0">
        <w:rPr>
          <w:lang w:bidi="en-GB"/>
        </w:rPr>
        <w:t>i</w:t>
      </w:r>
      <w:r w:rsidRPr="003B74E0">
        <w:rPr>
          <w:lang w:bidi="en-GB"/>
        </w:rPr>
        <w:t xml:space="preserve">mpact on the </w:t>
      </w:r>
      <w:r w:rsidR="0046560E" w:rsidRPr="003B74E0">
        <w:rPr>
          <w:lang w:bidi="en-GB"/>
        </w:rPr>
        <w:t>i</w:t>
      </w:r>
      <w:r w:rsidRPr="003B74E0">
        <w:rPr>
          <w:lang w:bidi="en-GB"/>
        </w:rPr>
        <w:t xml:space="preserve">nterests of the Shareholders and the Company, including on </w:t>
      </w:r>
      <w:r w:rsidR="00B31E7E" w:rsidRPr="003B74E0">
        <w:rPr>
          <w:lang w:bidi="en-GB"/>
        </w:rPr>
        <w:t>e</w:t>
      </w:r>
      <w:r w:rsidRPr="003B74E0">
        <w:rPr>
          <w:lang w:bidi="en-GB"/>
        </w:rPr>
        <w:t>mployment</w:t>
      </w:r>
      <w:bookmarkEnd w:id="92"/>
      <w:bookmarkEnd w:id="93"/>
    </w:p>
    <w:p w14:paraId="0D5AECB8" w14:textId="77777777" w:rsidR="002F6E6D" w:rsidRPr="003B74E0" w:rsidRDefault="00C409D1" w:rsidP="00A05058">
      <w:pPr>
        <w:pStyle w:val="DSBodyTextIndent1"/>
        <w:jc w:val="both"/>
        <w:rPr>
          <w:lang w:bidi="en-GB"/>
        </w:rPr>
      </w:pPr>
      <w:r w:rsidRPr="003B74E0">
        <w:rPr>
          <w:lang w:bidi="en-GB"/>
        </w:rPr>
        <w:t xml:space="preserve">The </w:t>
      </w:r>
      <w:r w:rsidR="00B86488" w:rsidRPr="003B74E0">
        <w:rPr>
          <w:lang w:bidi="en-GB"/>
        </w:rPr>
        <w:t>Board of Directors</w:t>
      </w:r>
      <w:r w:rsidRPr="003B74E0">
        <w:rPr>
          <w:lang w:bidi="en-GB"/>
        </w:rPr>
        <w:t xml:space="preserve"> </w:t>
      </w:r>
      <w:r w:rsidR="003A1E91" w:rsidRPr="003B74E0">
        <w:rPr>
          <w:lang w:bidi="en-GB"/>
        </w:rPr>
        <w:t>has</w:t>
      </w:r>
      <w:r w:rsidRPr="003B74E0">
        <w:rPr>
          <w:lang w:bidi="en-GB"/>
        </w:rPr>
        <w:t xml:space="preserve"> assessed a number of matters related to the Offer that have or may have an impact on the Group, the Shareholders, and other stakeholders, including the Group's employees, and which may be of importance to the Shareholders' position on the Offer. </w:t>
      </w:r>
    </w:p>
    <w:p w14:paraId="24C92970" w14:textId="77777777" w:rsidR="002F6E6D" w:rsidRPr="003B74E0" w:rsidRDefault="002F6E6D" w:rsidP="00A05058">
      <w:pPr>
        <w:pStyle w:val="DSBodyTextIndent1"/>
        <w:jc w:val="both"/>
        <w:rPr>
          <w:lang w:bidi="en-GB"/>
        </w:rPr>
      </w:pPr>
    </w:p>
    <w:p w14:paraId="75AC2C6B" w14:textId="74380949" w:rsidR="00C409D1" w:rsidRPr="003B74E0" w:rsidRDefault="00C409D1" w:rsidP="00A05058">
      <w:pPr>
        <w:pStyle w:val="DSBodyTextIndent1"/>
        <w:jc w:val="both"/>
        <w:rPr>
          <w:lang w:bidi="en-GB"/>
        </w:rPr>
      </w:pPr>
      <w:r w:rsidRPr="003B74E0">
        <w:rPr>
          <w:lang w:bidi="en-GB"/>
        </w:rPr>
        <w:t xml:space="preserve">The following is a non-exhaustive description of certain short-term and long-term potential consequences of the Offer on the Group, the Shareholders, and other stakeholders, including employees, considered by the </w:t>
      </w:r>
      <w:r w:rsidR="00B86488" w:rsidRPr="003B74E0">
        <w:rPr>
          <w:lang w:bidi="en-GB"/>
        </w:rPr>
        <w:t>Board of Directors</w:t>
      </w:r>
      <w:r w:rsidRPr="003B74E0">
        <w:rPr>
          <w:lang w:bidi="en-GB"/>
        </w:rPr>
        <w:t xml:space="preserve"> to be of particular importance to the Shareholders' position on the Offer.</w:t>
      </w:r>
      <w:r w:rsidRPr="003B74E0">
        <w:rPr>
          <w:vertAlign w:val="superscript"/>
          <w:lang w:bidi="en-GB"/>
        </w:rPr>
        <w:footnoteReference w:id="3"/>
      </w:r>
      <w:r w:rsidRPr="003B74E0">
        <w:rPr>
          <w:lang w:bidi="en-GB"/>
        </w:rPr>
        <w:t xml:space="preserve"> </w:t>
      </w:r>
    </w:p>
    <w:p w14:paraId="6930EE38" w14:textId="483EAA3D" w:rsidR="00C409D1" w:rsidRPr="003B74E0" w:rsidRDefault="00BE5403" w:rsidP="00A05058">
      <w:pPr>
        <w:pStyle w:val="Heading3"/>
        <w:jc w:val="both"/>
        <w:rPr>
          <w:lang w:bidi="en-GB"/>
        </w:rPr>
      </w:pPr>
      <w:bookmarkStart w:id="94" w:name="_Toc194440327"/>
      <w:bookmarkStart w:id="95" w:name="_Toc218590568"/>
      <w:r w:rsidRPr="003B74E0">
        <w:rPr>
          <w:lang w:bidi="en-GB"/>
        </w:rPr>
        <w:t>The Offeror's</w:t>
      </w:r>
      <w:r w:rsidR="00C409D1" w:rsidRPr="003B74E0">
        <w:rPr>
          <w:lang w:bidi="en-GB"/>
        </w:rPr>
        <w:t xml:space="preserve"> </w:t>
      </w:r>
      <w:r w:rsidR="0046560E" w:rsidRPr="003B74E0">
        <w:rPr>
          <w:lang w:bidi="en-GB"/>
        </w:rPr>
        <w:t>i</w:t>
      </w:r>
      <w:r w:rsidR="00C409D1" w:rsidRPr="003B74E0">
        <w:rPr>
          <w:lang w:bidi="en-GB"/>
        </w:rPr>
        <w:t xml:space="preserve">ntentions </w:t>
      </w:r>
      <w:r w:rsidR="0046560E" w:rsidRPr="003B74E0">
        <w:rPr>
          <w:lang w:bidi="en-GB"/>
        </w:rPr>
        <w:t>e</w:t>
      </w:r>
      <w:r w:rsidR="00C409D1" w:rsidRPr="003B74E0">
        <w:rPr>
          <w:lang w:bidi="en-GB"/>
        </w:rPr>
        <w:t>xpressed in the Offer Document</w:t>
      </w:r>
      <w:bookmarkEnd w:id="94"/>
      <w:bookmarkEnd w:id="95"/>
      <w:r w:rsidR="00C409D1" w:rsidRPr="003B74E0">
        <w:rPr>
          <w:lang w:bidi="en-GB"/>
        </w:rPr>
        <w:t xml:space="preserve"> </w:t>
      </w:r>
    </w:p>
    <w:p w14:paraId="152FC32C" w14:textId="5BCB810D" w:rsidR="00C409D1" w:rsidRPr="003B74E0" w:rsidRDefault="00C409D1" w:rsidP="00A05058">
      <w:pPr>
        <w:pStyle w:val="DSBodyTextIndent1"/>
        <w:jc w:val="both"/>
        <w:rPr>
          <w:lang w:bidi="en-GB"/>
        </w:rPr>
      </w:pPr>
      <w:r w:rsidRPr="003B74E0">
        <w:rPr>
          <w:lang w:bidi="en-GB"/>
        </w:rPr>
        <w:t xml:space="preserve">In the Offer Document, </w:t>
      </w:r>
      <w:r w:rsidR="000A0B9F" w:rsidRPr="003B74E0">
        <w:rPr>
          <w:lang w:bidi="en-GB"/>
        </w:rPr>
        <w:t xml:space="preserve">the Offeror </w:t>
      </w:r>
      <w:r w:rsidRPr="003B74E0">
        <w:rPr>
          <w:lang w:bidi="en-GB"/>
        </w:rPr>
        <w:t>has made certain statements regarding its intentions following Completion of the Offer.</w:t>
      </w:r>
    </w:p>
    <w:p w14:paraId="30C099AE" w14:textId="77777777" w:rsidR="00C409D1" w:rsidRPr="003B74E0" w:rsidRDefault="00C409D1" w:rsidP="00A05058">
      <w:pPr>
        <w:pStyle w:val="DSBodyTextIndent1"/>
        <w:jc w:val="both"/>
        <w:rPr>
          <w:i/>
          <w:lang w:bidi="en-GB"/>
        </w:rPr>
      </w:pPr>
    </w:p>
    <w:p w14:paraId="316372E9" w14:textId="05B3076B" w:rsidR="00C409D1" w:rsidRPr="003B74E0" w:rsidRDefault="00C409D1" w:rsidP="00A05058">
      <w:pPr>
        <w:pStyle w:val="DSBodyTextIndent1"/>
        <w:jc w:val="both"/>
        <w:rPr>
          <w:lang w:bidi="en-GB"/>
        </w:rPr>
      </w:pPr>
      <w:r w:rsidRPr="003B74E0">
        <w:rPr>
          <w:lang w:bidi="en-GB"/>
        </w:rPr>
        <w:t xml:space="preserve">In its assessment, the </w:t>
      </w:r>
      <w:r w:rsidR="00B86488" w:rsidRPr="003B74E0">
        <w:rPr>
          <w:lang w:bidi="en-GB"/>
        </w:rPr>
        <w:t>Board of Directors</w:t>
      </w:r>
      <w:r w:rsidRPr="003B74E0">
        <w:rPr>
          <w:lang w:bidi="en-GB"/>
        </w:rPr>
        <w:t xml:space="preserve"> ha</w:t>
      </w:r>
      <w:r w:rsidR="007F7798" w:rsidRPr="003B74E0">
        <w:rPr>
          <w:lang w:bidi="en-GB"/>
        </w:rPr>
        <w:t>s</w:t>
      </w:r>
      <w:r w:rsidRPr="003B74E0">
        <w:rPr>
          <w:lang w:bidi="en-GB"/>
        </w:rPr>
        <w:t xml:space="preserve"> relied on and assumed, without any independent verification, that the statements made by </w:t>
      </w:r>
      <w:r w:rsidR="000A0B9F" w:rsidRPr="003B74E0">
        <w:rPr>
          <w:lang w:bidi="en-GB"/>
        </w:rPr>
        <w:t>the Offeror</w:t>
      </w:r>
      <w:r w:rsidRPr="003B74E0">
        <w:rPr>
          <w:lang w:bidi="en-GB"/>
        </w:rPr>
        <w:t xml:space="preserve"> in the Offer Document on the matters set out below are true, correct, and not misleading representations of </w:t>
      </w:r>
      <w:r w:rsidR="000A0B9F" w:rsidRPr="003B74E0">
        <w:rPr>
          <w:lang w:bidi="en-GB"/>
        </w:rPr>
        <w:t>the Offeror</w:t>
      </w:r>
      <w:r w:rsidR="00222AA4" w:rsidRPr="003B74E0">
        <w:rPr>
          <w:lang w:bidi="en-GB"/>
        </w:rPr>
        <w:t>'s</w:t>
      </w:r>
      <w:r w:rsidRPr="003B74E0">
        <w:rPr>
          <w:lang w:bidi="en-GB"/>
        </w:rPr>
        <w:t xml:space="preserve"> intentions. </w:t>
      </w:r>
    </w:p>
    <w:p w14:paraId="449A111A" w14:textId="463E3C7D" w:rsidR="00BC1C37" w:rsidRPr="003B74E0" w:rsidRDefault="00BC1C37" w:rsidP="00A05058">
      <w:pPr>
        <w:pStyle w:val="Heading4"/>
        <w:jc w:val="both"/>
        <w:rPr>
          <w:lang w:bidi="en-GB"/>
        </w:rPr>
      </w:pPr>
      <w:bookmarkStart w:id="96" w:name="_Ref205904360"/>
      <w:bookmarkStart w:id="97" w:name="_Toc218590569"/>
      <w:bookmarkStart w:id="98" w:name="_Toc194440328"/>
      <w:r w:rsidRPr="003B74E0">
        <w:rPr>
          <w:lang w:bidi="en-GB"/>
        </w:rPr>
        <w:t xml:space="preserve">The Offeror's </w:t>
      </w:r>
      <w:bookmarkStart w:id="99" w:name="_Ref205310253"/>
      <w:bookmarkStart w:id="100" w:name="_Toc215176007"/>
      <w:bookmarkEnd w:id="96"/>
      <w:r w:rsidR="00767798" w:rsidRPr="003B74E0">
        <w:rPr>
          <w:rFonts w:cs="Times New Roman"/>
        </w:rPr>
        <w:t>background to the Offer and strategic plans</w:t>
      </w:r>
      <w:bookmarkEnd w:id="97"/>
      <w:bookmarkEnd w:id="99"/>
      <w:bookmarkEnd w:id="100"/>
    </w:p>
    <w:p w14:paraId="0992DED8" w14:textId="3C33F878" w:rsidR="00BC1C37" w:rsidRPr="003B74E0" w:rsidRDefault="00BC1C37" w:rsidP="00BC1C37">
      <w:pPr>
        <w:pStyle w:val="DSBodyTextIndent1"/>
        <w:jc w:val="both"/>
        <w:rPr>
          <w:lang w:bidi="en-GB"/>
        </w:rPr>
      </w:pPr>
      <w:r w:rsidRPr="003B74E0">
        <w:rPr>
          <w:lang w:bidi="en-GB"/>
        </w:rPr>
        <w:t xml:space="preserve">In the Offer Document, the Offeror has made the following statements regarding the </w:t>
      </w:r>
      <w:r w:rsidR="008C6A98" w:rsidRPr="003B74E0">
        <w:rPr>
          <w:rFonts w:cs="Times New Roman"/>
        </w:rPr>
        <w:t>background to the Offer and its strategic plans</w:t>
      </w:r>
      <w:r w:rsidRPr="003B74E0">
        <w:rPr>
          <w:lang w:bidi="en-GB"/>
        </w:rPr>
        <w:t>:</w:t>
      </w:r>
    </w:p>
    <w:p w14:paraId="627BB120" w14:textId="77777777" w:rsidR="00BC1C37" w:rsidRPr="003B74E0" w:rsidRDefault="00BC1C37" w:rsidP="00BC1C37">
      <w:pPr>
        <w:pStyle w:val="DSBodyTextIndent1"/>
        <w:jc w:val="both"/>
        <w:rPr>
          <w:i/>
          <w:iCs/>
          <w:lang w:bidi="en-GB"/>
        </w:rPr>
      </w:pPr>
    </w:p>
    <w:p w14:paraId="01EF680C" w14:textId="77777777" w:rsidR="00E30FE1" w:rsidRDefault="00373499" w:rsidP="00373499">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w:t>
      </w:r>
      <w:r w:rsidR="00DC39DC" w:rsidRPr="00DC39DC">
        <w:rPr>
          <w:rFonts w:ascii="Arial" w:eastAsiaTheme="minorHAnsi" w:hAnsi="Arial" w:cstheme="minorBidi"/>
          <w:i/>
          <w:iCs/>
          <w:sz w:val="18"/>
          <w:lang w:eastAsia="en-US" w:bidi="en-GB"/>
        </w:rPr>
        <w:t xml:space="preserve">The Offeror is confident that this transaction represents a unique and compelling strategic opportunity for both companies, laying the foundation for a strong global growth platform. By combining the businesses, the Offeror expects to unlock significant value and realise meaningful synergies with minimal overlap. The Offeror has been actively exploring expansion into adjacent product categories, with professional cleaning devices </w:t>
      </w:r>
      <w:r w:rsidR="00DC39DC" w:rsidRPr="00DC39DC">
        <w:rPr>
          <w:rFonts w:ascii="Arial" w:eastAsiaTheme="minorHAnsi" w:hAnsi="Arial" w:cstheme="minorBidi"/>
          <w:i/>
          <w:iCs/>
          <w:sz w:val="18"/>
          <w:lang w:eastAsia="en-US" w:bidi="en-GB"/>
        </w:rPr>
        <w:lastRenderedPageBreak/>
        <w:t>representing a natural extension of its current portfolio. The Offeror’s strategic vision is to become a leading global player across both machine and manual professional cleaning and to capture growth opportunities in underserved markets, paving the way for the future of autonomous mobile cleaning robots.</w:t>
      </w:r>
      <w:r w:rsidR="004575FB">
        <w:rPr>
          <w:rFonts w:ascii="Arial" w:eastAsiaTheme="minorHAnsi" w:hAnsi="Arial" w:cstheme="minorBidi"/>
          <w:i/>
          <w:iCs/>
          <w:sz w:val="18"/>
          <w:lang w:eastAsia="en-US" w:bidi="en-GB"/>
        </w:rPr>
        <w:t xml:space="preserve"> </w:t>
      </w:r>
    </w:p>
    <w:p w14:paraId="0748FAED" w14:textId="07D778AE" w:rsidR="00FE59DB" w:rsidRPr="003B74E0" w:rsidRDefault="00FE59DB" w:rsidP="00373499">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The Company is viewed as a highly complementary fit with this strategic vision. Its leading position, global footprint and advanced capabilities in digitalisation, automation and connectivity make it a powerful platform for the Offeror and will accelerate the Offeror’s entry into the complementary machine cleaning segment and unlock substantial growth opportunities. Machine cleaning, already a significantly larger and faster</w:t>
      </w:r>
      <w:r w:rsidR="00156D59">
        <w:rPr>
          <w:rFonts w:ascii="Arial" w:eastAsiaTheme="minorHAnsi" w:hAnsi="Arial" w:cstheme="minorBidi"/>
          <w:i/>
          <w:iCs/>
          <w:sz w:val="18"/>
          <w:lang w:eastAsia="en-US" w:bidi="en-GB"/>
        </w:rPr>
        <w:t>-</w:t>
      </w:r>
      <w:r w:rsidRPr="003B74E0">
        <w:rPr>
          <w:rFonts w:ascii="Arial" w:eastAsiaTheme="minorHAnsi" w:hAnsi="Arial" w:cstheme="minorBidi"/>
          <w:i/>
          <w:iCs/>
          <w:sz w:val="18"/>
          <w:lang w:eastAsia="en-US" w:bidi="en-GB"/>
        </w:rPr>
        <w:t>growing category than manual cleaning, is set for further expansion as it directly addresses the industry’s most urgent challenge of labour shortages.</w:t>
      </w:r>
    </w:p>
    <w:p w14:paraId="15CF077B" w14:textId="3B12C940" w:rsidR="00FE59DB" w:rsidRPr="003B74E0" w:rsidRDefault="00FE59DB" w:rsidP="00373499">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The Offeror also believes that the Company and the Offeror share a strong cultural alignment, including a shared vision, a deep passion for cleaning and a professional, results-oriented global mindset, as well as common values in terms of customer orientation and the translation of R&amp;D capabilities into value-adding products for customers. The Offeror is confident that it can support the Company’s improvement plans by leveraging the Company’s experienced management team, global capabilities and proven regional operating model, where local accountability is reinforced by global functional expertise. The Offeror recognises the strength of the Company’s global business, built on delivering high-quality solutions over many years, and sees particular value in the specialty segment, including joint opportunities in controlled environments. In addition, the Offeror brings strong project and change management expertise and robust brand management capabilities that could benefit the Company across its portfolio, particularly in the consumer business.</w:t>
      </w:r>
    </w:p>
    <w:p w14:paraId="059156FD" w14:textId="55494DBC" w:rsidR="00062E8D" w:rsidRPr="003B74E0" w:rsidRDefault="00FE59DB" w:rsidP="00373499">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 xml:space="preserve">The Offeror intends, at the appropriate time after Completion and if holding the requisite number of Shares, to initiate and complete a Compulsory </w:t>
      </w:r>
      <w:r w:rsidR="0087111F">
        <w:rPr>
          <w:rFonts w:ascii="Arial" w:eastAsiaTheme="minorHAnsi" w:hAnsi="Arial" w:cstheme="minorBidi"/>
          <w:i/>
          <w:iCs/>
          <w:sz w:val="18"/>
          <w:lang w:eastAsia="en-US" w:bidi="en-GB"/>
        </w:rPr>
        <w:t>Acquisition</w:t>
      </w:r>
      <w:r w:rsidRPr="003B74E0">
        <w:rPr>
          <w:rFonts w:ascii="Arial" w:eastAsiaTheme="minorHAnsi" w:hAnsi="Arial" w:cstheme="minorBidi"/>
          <w:i/>
          <w:iCs/>
          <w:sz w:val="18"/>
          <w:lang w:eastAsia="en-US" w:bidi="en-GB"/>
        </w:rPr>
        <w:t xml:space="preserve"> of any remaining Shareholders other than the Offeror and the Company in accordance with the Danish Companies Act and cause that the Shares are removed from trading and official listing on Nasdaq Copenhagen as further set out in sections 8.6 (Compulsory </w:t>
      </w:r>
      <w:r w:rsidR="0087111F">
        <w:rPr>
          <w:rFonts w:ascii="Arial" w:eastAsiaTheme="minorHAnsi" w:hAnsi="Arial" w:cstheme="minorBidi"/>
          <w:i/>
          <w:iCs/>
          <w:sz w:val="18"/>
          <w:lang w:eastAsia="en-US" w:bidi="en-GB"/>
        </w:rPr>
        <w:t>Acquisition</w:t>
      </w:r>
      <w:r w:rsidRPr="003B74E0">
        <w:rPr>
          <w:rFonts w:ascii="Arial" w:eastAsiaTheme="minorHAnsi" w:hAnsi="Arial" w:cstheme="minorBidi"/>
          <w:i/>
          <w:iCs/>
          <w:sz w:val="18"/>
          <w:lang w:eastAsia="en-US" w:bidi="en-GB"/>
        </w:rPr>
        <w:t xml:space="preserve"> (squeeze-out)) and 8.7 (Delisting).</w:t>
      </w:r>
      <w:r w:rsidR="00373499" w:rsidRPr="003B74E0">
        <w:rPr>
          <w:rFonts w:ascii="Arial" w:eastAsiaTheme="minorHAnsi" w:hAnsi="Arial" w:cstheme="minorBidi"/>
          <w:i/>
          <w:iCs/>
          <w:sz w:val="18"/>
          <w:lang w:eastAsia="en-US" w:bidi="en-GB"/>
        </w:rPr>
        <w:t>"</w:t>
      </w:r>
    </w:p>
    <w:p w14:paraId="2FDCAD3A" w14:textId="3FEE530D" w:rsidR="00373499" w:rsidRPr="002126AB" w:rsidRDefault="00373499" w:rsidP="002126AB">
      <w:r w:rsidRPr="002126AB">
        <w:tab/>
      </w:r>
    </w:p>
    <w:p w14:paraId="6D0B82D1" w14:textId="31D439DD" w:rsidR="00062E8D" w:rsidRPr="003B74E0" w:rsidRDefault="00062E8D" w:rsidP="00062E8D">
      <w:pPr>
        <w:pStyle w:val="DSBodyTextIndent1"/>
        <w:jc w:val="both"/>
        <w:rPr>
          <w:u w:val="single"/>
          <w:lang w:bidi="en-GB"/>
        </w:rPr>
      </w:pPr>
      <w:r w:rsidRPr="003B74E0">
        <w:rPr>
          <w:u w:val="single"/>
          <w:lang w:bidi="en-GB"/>
        </w:rPr>
        <w:t xml:space="preserve">The Board of Directors expresses the following </w:t>
      </w:r>
      <w:r w:rsidR="00195927" w:rsidRPr="003B74E0">
        <w:rPr>
          <w:u w:val="single"/>
          <w:lang w:bidi="en-GB"/>
        </w:rPr>
        <w:t>regarding</w:t>
      </w:r>
      <w:r w:rsidRPr="003B74E0">
        <w:rPr>
          <w:u w:val="single"/>
          <w:lang w:bidi="en-GB"/>
        </w:rPr>
        <w:t xml:space="preserve"> the Offeror's so stated intentions:</w:t>
      </w:r>
    </w:p>
    <w:p w14:paraId="51B197A7" w14:textId="54C61710" w:rsidR="00C022D7" w:rsidRDefault="00564AEB" w:rsidP="00350AC9">
      <w:pPr>
        <w:pStyle w:val="DSBodyTextIndent1"/>
        <w:jc w:val="both"/>
        <w:rPr>
          <w:rFonts w:asciiTheme="majorHAnsi" w:hAnsiTheme="majorHAnsi" w:cstheme="majorHAnsi"/>
          <w:lang w:eastAsia="en-GB"/>
        </w:rPr>
      </w:pPr>
      <w:r>
        <w:rPr>
          <w:rFonts w:asciiTheme="majorHAnsi" w:hAnsiTheme="majorHAnsi" w:cstheme="majorHAnsi"/>
          <w:lang w:eastAsia="en-GB"/>
        </w:rPr>
        <w:t xml:space="preserve">The Board of Directors has </w:t>
      </w:r>
      <w:r w:rsidR="00E40632">
        <w:rPr>
          <w:rFonts w:asciiTheme="majorHAnsi" w:hAnsiTheme="majorHAnsi" w:cstheme="majorHAnsi"/>
          <w:lang w:eastAsia="en-GB"/>
        </w:rPr>
        <w:t xml:space="preserve">carefully considered the Offeror's </w:t>
      </w:r>
      <w:r w:rsidR="00C24C5F">
        <w:rPr>
          <w:rFonts w:asciiTheme="majorHAnsi" w:hAnsiTheme="majorHAnsi" w:cstheme="majorHAnsi"/>
          <w:lang w:eastAsia="en-GB"/>
        </w:rPr>
        <w:t xml:space="preserve">background to the </w:t>
      </w:r>
      <w:r w:rsidR="004563EC">
        <w:rPr>
          <w:rFonts w:asciiTheme="majorHAnsi" w:hAnsiTheme="majorHAnsi" w:cstheme="majorHAnsi"/>
          <w:lang w:eastAsia="en-GB"/>
        </w:rPr>
        <w:t>O</w:t>
      </w:r>
      <w:r w:rsidR="00C24C5F">
        <w:rPr>
          <w:rFonts w:asciiTheme="majorHAnsi" w:hAnsiTheme="majorHAnsi" w:cstheme="majorHAnsi"/>
          <w:lang w:eastAsia="en-GB"/>
        </w:rPr>
        <w:t xml:space="preserve">ffer and its strategic </w:t>
      </w:r>
      <w:r w:rsidR="00E40632">
        <w:rPr>
          <w:rFonts w:asciiTheme="majorHAnsi" w:hAnsiTheme="majorHAnsi" w:cstheme="majorHAnsi"/>
          <w:lang w:eastAsia="en-GB"/>
        </w:rPr>
        <w:t xml:space="preserve">plans. </w:t>
      </w:r>
    </w:p>
    <w:p w14:paraId="02520D4A" w14:textId="77777777" w:rsidR="00C022D7" w:rsidRDefault="00C022D7" w:rsidP="00350AC9">
      <w:pPr>
        <w:pStyle w:val="DSBodyTextIndent1"/>
        <w:jc w:val="both"/>
        <w:rPr>
          <w:rFonts w:asciiTheme="majorHAnsi" w:hAnsiTheme="majorHAnsi" w:cstheme="majorHAnsi"/>
          <w:lang w:eastAsia="en-GB"/>
        </w:rPr>
      </w:pPr>
    </w:p>
    <w:p w14:paraId="6A75AA78" w14:textId="58D8D3AF" w:rsidR="004606DD" w:rsidRDefault="00E40632" w:rsidP="00350AC9">
      <w:pPr>
        <w:pStyle w:val="DSBodyTextIndent1"/>
        <w:jc w:val="both"/>
        <w:rPr>
          <w:rFonts w:asciiTheme="majorHAnsi" w:hAnsiTheme="majorHAnsi" w:cstheme="majorHAnsi"/>
          <w:lang w:eastAsia="en-GB"/>
        </w:rPr>
      </w:pPr>
      <w:r>
        <w:rPr>
          <w:rFonts w:asciiTheme="majorHAnsi" w:hAnsiTheme="majorHAnsi" w:cstheme="majorHAnsi"/>
          <w:lang w:eastAsia="en-GB"/>
        </w:rPr>
        <w:t xml:space="preserve">The Board of Directors agrees that </w:t>
      </w:r>
      <w:r w:rsidR="004606DD">
        <w:rPr>
          <w:rFonts w:asciiTheme="majorHAnsi" w:hAnsiTheme="majorHAnsi" w:cstheme="majorHAnsi"/>
          <w:lang w:eastAsia="en-GB"/>
        </w:rPr>
        <w:t xml:space="preserve">the Company's business within </w:t>
      </w:r>
      <w:r w:rsidR="00027774">
        <w:rPr>
          <w:rFonts w:asciiTheme="majorHAnsi" w:hAnsiTheme="majorHAnsi" w:cstheme="majorHAnsi"/>
          <w:lang w:eastAsia="en-GB"/>
        </w:rPr>
        <w:t xml:space="preserve">machine cleaning </w:t>
      </w:r>
      <w:r w:rsidR="004606DD">
        <w:rPr>
          <w:rFonts w:asciiTheme="majorHAnsi" w:hAnsiTheme="majorHAnsi" w:cstheme="majorHAnsi"/>
          <w:lang w:eastAsia="en-GB"/>
        </w:rPr>
        <w:t>is a good complimentary fit to the Offer</w:t>
      </w:r>
      <w:r w:rsidR="00027774">
        <w:rPr>
          <w:rFonts w:asciiTheme="majorHAnsi" w:hAnsiTheme="majorHAnsi" w:cstheme="majorHAnsi"/>
          <w:lang w:eastAsia="en-GB"/>
        </w:rPr>
        <w:t xml:space="preserve">or's business </w:t>
      </w:r>
      <w:r w:rsidR="00520409">
        <w:rPr>
          <w:rFonts w:asciiTheme="majorHAnsi" w:hAnsiTheme="majorHAnsi" w:cstheme="majorHAnsi"/>
          <w:lang w:eastAsia="en-GB"/>
        </w:rPr>
        <w:t>within</w:t>
      </w:r>
      <w:r w:rsidR="00027774">
        <w:rPr>
          <w:rFonts w:asciiTheme="majorHAnsi" w:hAnsiTheme="majorHAnsi" w:cstheme="majorHAnsi"/>
          <w:lang w:eastAsia="en-GB"/>
        </w:rPr>
        <w:t xml:space="preserve"> manual cleaning </w:t>
      </w:r>
      <w:r w:rsidR="00AB4859">
        <w:rPr>
          <w:rFonts w:asciiTheme="majorHAnsi" w:hAnsiTheme="majorHAnsi" w:cstheme="majorHAnsi"/>
          <w:lang w:eastAsia="en-GB"/>
        </w:rPr>
        <w:t xml:space="preserve">and that a combination thereof will </w:t>
      </w:r>
      <w:r w:rsidR="00F83B7D">
        <w:rPr>
          <w:rFonts w:asciiTheme="majorHAnsi" w:hAnsiTheme="majorHAnsi" w:cstheme="majorHAnsi"/>
          <w:lang w:eastAsia="en-GB"/>
        </w:rPr>
        <w:t xml:space="preserve">provide growth opportunities for </w:t>
      </w:r>
      <w:r w:rsidR="007B4610">
        <w:rPr>
          <w:rFonts w:asciiTheme="majorHAnsi" w:hAnsiTheme="majorHAnsi" w:cstheme="majorHAnsi"/>
          <w:lang w:eastAsia="en-GB"/>
        </w:rPr>
        <w:t xml:space="preserve">both the Offeror and </w:t>
      </w:r>
      <w:r w:rsidR="00F83B7D">
        <w:rPr>
          <w:rFonts w:asciiTheme="majorHAnsi" w:hAnsiTheme="majorHAnsi" w:cstheme="majorHAnsi"/>
          <w:lang w:eastAsia="en-GB"/>
        </w:rPr>
        <w:t xml:space="preserve">the Company. </w:t>
      </w:r>
    </w:p>
    <w:p w14:paraId="57571D85" w14:textId="77777777" w:rsidR="004606DD" w:rsidRDefault="004606DD" w:rsidP="00350AC9">
      <w:pPr>
        <w:pStyle w:val="DSBodyTextIndent1"/>
        <w:jc w:val="both"/>
        <w:rPr>
          <w:rFonts w:asciiTheme="majorHAnsi" w:hAnsiTheme="majorHAnsi" w:cstheme="majorHAnsi"/>
          <w:lang w:eastAsia="en-GB"/>
        </w:rPr>
      </w:pPr>
    </w:p>
    <w:p w14:paraId="2B6D71AE" w14:textId="42964883" w:rsidR="00C84588" w:rsidRPr="005777E8" w:rsidRDefault="003F7875" w:rsidP="00C84588">
      <w:pPr>
        <w:pStyle w:val="DSBodyTextIndent1"/>
        <w:jc w:val="both"/>
        <w:rPr>
          <w:rFonts w:asciiTheme="majorHAnsi" w:hAnsiTheme="majorHAnsi" w:cstheme="majorHAnsi"/>
          <w:lang w:eastAsia="en-GB"/>
        </w:rPr>
      </w:pPr>
      <w:r>
        <w:rPr>
          <w:rFonts w:asciiTheme="majorHAnsi" w:hAnsiTheme="majorHAnsi" w:cstheme="majorHAnsi"/>
          <w:lang w:eastAsia="en-GB"/>
        </w:rPr>
        <w:t xml:space="preserve">While the Company is well positioned to execute its strategy as a stand-alone listed company, the Board of Directors </w:t>
      </w:r>
    </w:p>
    <w:p w14:paraId="410D895F" w14:textId="5DEDB1C8" w:rsidR="00BF2E52" w:rsidRDefault="005777E8" w:rsidP="005777E8">
      <w:pPr>
        <w:pStyle w:val="DSBodyTextIndent1"/>
        <w:jc w:val="both"/>
        <w:rPr>
          <w:rFonts w:asciiTheme="majorHAnsi" w:hAnsiTheme="majorHAnsi" w:cstheme="majorHAnsi"/>
          <w:lang w:eastAsia="en-GB"/>
        </w:rPr>
      </w:pPr>
      <w:r w:rsidRPr="005777E8">
        <w:rPr>
          <w:rFonts w:asciiTheme="majorHAnsi" w:hAnsiTheme="majorHAnsi" w:cstheme="majorHAnsi"/>
          <w:lang w:eastAsia="en-GB"/>
        </w:rPr>
        <w:t xml:space="preserve">acknowledges the Offeror’s view that the </w:t>
      </w:r>
      <w:r>
        <w:rPr>
          <w:rFonts w:asciiTheme="majorHAnsi" w:hAnsiTheme="majorHAnsi" w:cstheme="majorHAnsi"/>
          <w:lang w:eastAsia="en-GB"/>
        </w:rPr>
        <w:t xml:space="preserve">Offer </w:t>
      </w:r>
      <w:r w:rsidRPr="005777E8">
        <w:rPr>
          <w:rFonts w:asciiTheme="majorHAnsi" w:hAnsiTheme="majorHAnsi" w:cstheme="majorHAnsi"/>
          <w:lang w:eastAsia="en-GB"/>
        </w:rPr>
        <w:t xml:space="preserve">represents a compelling strategic opportunity and that the Company’s leading position, global footprint, and advanced capabilities in digitalisation and automation are highly complementary to the Offeror’s vision. </w:t>
      </w:r>
      <w:r w:rsidR="00663CCD">
        <w:rPr>
          <w:rFonts w:asciiTheme="majorHAnsi" w:hAnsiTheme="majorHAnsi" w:cstheme="majorHAnsi"/>
          <w:lang w:eastAsia="en-GB"/>
        </w:rPr>
        <w:t>T</w:t>
      </w:r>
      <w:r w:rsidR="00663CCD" w:rsidRPr="005777E8">
        <w:rPr>
          <w:rFonts w:asciiTheme="majorHAnsi" w:hAnsiTheme="majorHAnsi" w:cstheme="majorHAnsi"/>
          <w:lang w:eastAsia="en-GB"/>
        </w:rPr>
        <w:t xml:space="preserve">he Board </w:t>
      </w:r>
      <w:r w:rsidR="008E09DD">
        <w:rPr>
          <w:rFonts w:asciiTheme="majorHAnsi" w:hAnsiTheme="majorHAnsi" w:cstheme="majorHAnsi"/>
          <w:lang w:eastAsia="en-GB"/>
        </w:rPr>
        <w:t xml:space="preserve">of Directors </w:t>
      </w:r>
      <w:r w:rsidR="00663CCD" w:rsidRPr="005777E8">
        <w:rPr>
          <w:rFonts w:asciiTheme="majorHAnsi" w:hAnsiTheme="majorHAnsi" w:cstheme="majorHAnsi"/>
          <w:lang w:eastAsia="en-GB"/>
        </w:rPr>
        <w:t xml:space="preserve">believes that the Offeror’s strategic plans are generally consistent with the Company’s long-term objectives and could create </w:t>
      </w:r>
      <w:r w:rsidR="00663CCD">
        <w:rPr>
          <w:rFonts w:asciiTheme="majorHAnsi" w:hAnsiTheme="majorHAnsi" w:cstheme="majorHAnsi"/>
          <w:lang w:eastAsia="en-GB"/>
        </w:rPr>
        <w:t xml:space="preserve">an </w:t>
      </w:r>
      <w:r w:rsidR="00663CCD" w:rsidRPr="005777E8">
        <w:rPr>
          <w:rFonts w:asciiTheme="majorHAnsi" w:hAnsiTheme="majorHAnsi" w:cstheme="majorHAnsi"/>
          <w:lang w:eastAsia="en-GB"/>
        </w:rPr>
        <w:t>opportunit</w:t>
      </w:r>
      <w:r w:rsidR="00663CCD">
        <w:rPr>
          <w:rFonts w:asciiTheme="majorHAnsi" w:hAnsiTheme="majorHAnsi" w:cstheme="majorHAnsi"/>
          <w:lang w:eastAsia="en-GB"/>
        </w:rPr>
        <w:t>y</w:t>
      </w:r>
      <w:r w:rsidR="00663CCD" w:rsidRPr="005777E8">
        <w:rPr>
          <w:rFonts w:asciiTheme="majorHAnsi" w:hAnsiTheme="majorHAnsi" w:cstheme="majorHAnsi"/>
          <w:lang w:eastAsia="en-GB"/>
        </w:rPr>
        <w:t xml:space="preserve"> for growth.</w:t>
      </w:r>
    </w:p>
    <w:p w14:paraId="42231B8F" w14:textId="77777777" w:rsidR="00BF2E52" w:rsidRDefault="00BF2E52" w:rsidP="005777E8">
      <w:pPr>
        <w:pStyle w:val="DSBodyTextIndent1"/>
        <w:jc w:val="both"/>
        <w:rPr>
          <w:rFonts w:asciiTheme="majorHAnsi" w:hAnsiTheme="majorHAnsi" w:cstheme="majorHAnsi"/>
          <w:lang w:eastAsia="en-GB"/>
        </w:rPr>
      </w:pPr>
    </w:p>
    <w:p w14:paraId="1A0B3F1E" w14:textId="7DD83019" w:rsidR="00C84588" w:rsidRPr="005777E8" w:rsidRDefault="005777E8" w:rsidP="00C84588">
      <w:pPr>
        <w:pStyle w:val="DSBodyTextIndent1"/>
        <w:jc w:val="both"/>
        <w:rPr>
          <w:rFonts w:asciiTheme="majorHAnsi" w:hAnsiTheme="majorHAnsi" w:cstheme="majorHAnsi"/>
          <w:lang w:eastAsia="en-GB"/>
        </w:rPr>
      </w:pPr>
      <w:r w:rsidRPr="005777E8">
        <w:rPr>
          <w:rFonts w:asciiTheme="majorHAnsi" w:hAnsiTheme="majorHAnsi" w:cstheme="majorHAnsi"/>
          <w:lang w:eastAsia="en-GB"/>
        </w:rPr>
        <w:t xml:space="preserve">The Offeror has indicated that it intends to leverage the Company’s experienced management team and regional operating model, while maintaining local accountability supported by global functional expertise. The Board </w:t>
      </w:r>
      <w:r w:rsidR="008E09DD">
        <w:rPr>
          <w:rFonts w:asciiTheme="majorHAnsi" w:hAnsiTheme="majorHAnsi" w:cstheme="majorHAnsi"/>
          <w:lang w:eastAsia="en-GB"/>
        </w:rPr>
        <w:t xml:space="preserve">of Directors </w:t>
      </w:r>
      <w:r w:rsidRPr="005777E8">
        <w:rPr>
          <w:rFonts w:asciiTheme="majorHAnsi" w:hAnsiTheme="majorHAnsi" w:cstheme="majorHAnsi"/>
          <w:lang w:eastAsia="en-GB"/>
        </w:rPr>
        <w:t xml:space="preserve">considers this approach positive for operational continuity and believes it could support the Company’s ongoing improvement plans. The Offeror’s emphasis on cultural alignment and shared values is also noted </w:t>
      </w:r>
      <w:r w:rsidR="004F01C9">
        <w:rPr>
          <w:rFonts w:asciiTheme="majorHAnsi" w:hAnsiTheme="majorHAnsi" w:cstheme="majorHAnsi"/>
          <w:lang w:eastAsia="en-GB"/>
        </w:rPr>
        <w:t>by the Board of Directors.</w:t>
      </w:r>
      <w:r w:rsidR="00C84588">
        <w:rPr>
          <w:rFonts w:asciiTheme="majorHAnsi" w:hAnsiTheme="majorHAnsi" w:cstheme="majorHAnsi"/>
          <w:lang w:eastAsia="en-GB"/>
        </w:rPr>
        <w:t xml:space="preserve"> </w:t>
      </w:r>
      <w:r w:rsidRPr="005777E8">
        <w:rPr>
          <w:rFonts w:asciiTheme="majorHAnsi" w:hAnsiTheme="majorHAnsi" w:cstheme="majorHAnsi"/>
          <w:lang w:eastAsia="en-GB"/>
        </w:rPr>
        <w:t xml:space="preserve">The Board </w:t>
      </w:r>
      <w:r w:rsidR="004F01C9">
        <w:rPr>
          <w:rFonts w:asciiTheme="majorHAnsi" w:hAnsiTheme="majorHAnsi" w:cstheme="majorHAnsi"/>
          <w:lang w:eastAsia="en-GB"/>
        </w:rPr>
        <w:t xml:space="preserve">of Directors </w:t>
      </w:r>
      <w:r w:rsidRPr="005777E8">
        <w:rPr>
          <w:rFonts w:asciiTheme="majorHAnsi" w:hAnsiTheme="majorHAnsi" w:cstheme="majorHAnsi"/>
          <w:lang w:eastAsia="en-GB"/>
        </w:rPr>
        <w:t>sees advantages in access to broader resources and capabilities under the Offeror’s ownership, potential acceleration of growth in machine cleaning and automation segments</w:t>
      </w:r>
      <w:r w:rsidR="00C84588">
        <w:rPr>
          <w:rFonts w:asciiTheme="majorHAnsi" w:hAnsiTheme="majorHAnsi" w:cstheme="majorHAnsi"/>
          <w:lang w:eastAsia="en-GB"/>
        </w:rPr>
        <w:t>.</w:t>
      </w:r>
    </w:p>
    <w:p w14:paraId="710C954D" w14:textId="77777777" w:rsidR="00644673" w:rsidRDefault="00644673" w:rsidP="00350AC9">
      <w:pPr>
        <w:pStyle w:val="DSBodyTextIndent1"/>
        <w:jc w:val="both"/>
        <w:rPr>
          <w:rFonts w:asciiTheme="majorHAnsi" w:hAnsiTheme="majorHAnsi" w:cstheme="majorHAnsi"/>
          <w:lang w:eastAsia="en-GB"/>
        </w:rPr>
      </w:pPr>
    </w:p>
    <w:p w14:paraId="1163E09F" w14:textId="02383A18" w:rsidR="00A06682" w:rsidRDefault="00A06682" w:rsidP="00350AC9">
      <w:pPr>
        <w:pStyle w:val="DSBodyTextIndent1"/>
        <w:jc w:val="both"/>
        <w:rPr>
          <w:rFonts w:asciiTheme="majorHAnsi" w:hAnsiTheme="majorHAnsi" w:cstheme="majorHAnsi"/>
          <w:lang w:eastAsia="en-GB"/>
        </w:rPr>
      </w:pPr>
      <w:r>
        <w:rPr>
          <w:rFonts w:asciiTheme="majorHAnsi" w:hAnsiTheme="majorHAnsi" w:cstheme="majorHAnsi"/>
          <w:lang w:eastAsia="en-GB"/>
        </w:rPr>
        <w:t>As further described in the Offer Document, Completion of the Offer and the Offeror</w:t>
      </w:r>
      <w:r w:rsidR="00CB5FAE">
        <w:rPr>
          <w:rFonts w:asciiTheme="majorHAnsi" w:hAnsiTheme="majorHAnsi" w:cstheme="majorHAnsi"/>
          <w:lang w:eastAsia="en-GB"/>
        </w:rPr>
        <w:t xml:space="preserve">'s stated priorities - </w:t>
      </w:r>
      <w:r w:rsidR="004C7EF0">
        <w:rPr>
          <w:rFonts w:asciiTheme="majorHAnsi" w:hAnsiTheme="majorHAnsi" w:cstheme="majorHAnsi"/>
          <w:lang w:eastAsia="en-GB"/>
        </w:rPr>
        <w:t>including</w:t>
      </w:r>
      <w:r w:rsidR="00CB5FAE">
        <w:rPr>
          <w:rFonts w:asciiTheme="majorHAnsi" w:hAnsiTheme="majorHAnsi" w:cstheme="majorHAnsi"/>
          <w:lang w:eastAsia="en-GB"/>
        </w:rPr>
        <w:t xml:space="preserve"> a potential squeeze-out and delisting - may, for Shareholders not accepting the Offer, result in a </w:t>
      </w:r>
      <w:r w:rsidR="008B6303">
        <w:rPr>
          <w:rFonts w:asciiTheme="majorHAnsi" w:hAnsiTheme="majorHAnsi" w:cstheme="majorHAnsi"/>
          <w:lang w:eastAsia="en-GB"/>
        </w:rPr>
        <w:t>significant reduction of free float and potential impact on liquidity of the Shares on Nasdaq Copenhagen.</w:t>
      </w:r>
    </w:p>
    <w:p w14:paraId="0C478753" w14:textId="745AB1F1" w:rsidR="00524188" w:rsidRPr="003B74E0" w:rsidRDefault="00F6113D" w:rsidP="00556179">
      <w:pPr>
        <w:pStyle w:val="Heading4"/>
        <w:jc w:val="both"/>
        <w:rPr>
          <w:lang w:bidi="en-GB"/>
        </w:rPr>
      </w:pPr>
      <w:bookmarkStart w:id="101" w:name="_Toc218590570"/>
      <w:r w:rsidRPr="003B74E0">
        <w:rPr>
          <w:lang w:bidi="en-GB"/>
        </w:rPr>
        <w:t>T</w:t>
      </w:r>
      <w:r w:rsidR="000A0B9F" w:rsidRPr="003B74E0">
        <w:rPr>
          <w:lang w:bidi="en-GB"/>
        </w:rPr>
        <w:t>he Offeror</w:t>
      </w:r>
      <w:r w:rsidR="00222AA4" w:rsidRPr="003B74E0">
        <w:rPr>
          <w:lang w:bidi="en-GB"/>
        </w:rPr>
        <w:t>'s</w:t>
      </w:r>
      <w:r w:rsidR="00C409D1" w:rsidRPr="003B74E0">
        <w:rPr>
          <w:lang w:bidi="en-GB"/>
        </w:rPr>
        <w:t xml:space="preserve"> </w:t>
      </w:r>
      <w:r w:rsidR="009E3DF6" w:rsidRPr="003B74E0">
        <w:rPr>
          <w:lang w:bidi="en-GB"/>
        </w:rPr>
        <w:t>i</w:t>
      </w:r>
      <w:r w:rsidR="00BC1C37" w:rsidRPr="003B74E0">
        <w:rPr>
          <w:lang w:bidi="en-GB"/>
        </w:rPr>
        <w:t xml:space="preserve">ntentions regarding the Group's </w:t>
      </w:r>
      <w:bookmarkStart w:id="102" w:name="_Ref214973609"/>
      <w:bookmarkStart w:id="103" w:name="_Toc215176008"/>
      <w:bookmarkEnd w:id="98"/>
      <w:r w:rsidR="009E3DF6" w:rsidRPr="003B74E0">
        <w:rPr>
          <w:rFonts w:cs="Times New Roman"/>
        </w:rPr>
        <w:t>employees and employment conditions and registered office and principal parts of business</w:t>
      </w:r>
      <w:bookmarkEnd w:id="101"/>
      <w:bookmarkEnd w:id="102"/>
      <w:bookmarkEnd w:id="103"/>
    </w:p>
    <w:p w14:paraId="0D8EA88C" w14:textId="16547A17" w:rsidR="00C409D1" w:rsidRPr="003B74E0" w:rsidRDefault="00C409D1" w:rsidP="00A05058">
      <w:pPr>
        <w:pStyle w:val="DSBodyTextIndent1"/>
        <w:jc w:val="both"/>
        <w:rPr>
          <w:lang w:bidi="en-GB"/>
        </w:rPr>
      </w:pPr>
      <w:r w:rsidRPr="003B74E0">
        <w:rPr>
          <w:lang w:bidi="en-GB"/>
        </w:rPr>
        <w:t xml:space="preserve">In the Offer Document, </w:t>
      </w:r>
      <w:r w:rsidR="000A0B9F" w:rsidRPr="003B74E0">
        <w:rPr>
          <w:lang w:bidi="en-GB"/>
        </w:rPr>
        <w:t>the Offeror</w:t>
      </w:r>
      <w:r w:rsidRPr="003B74E0">
        <w:rPr>
          <w:lang w:bidi="en-GB"/>
        </w:rPr>
        <w:t xml:space="preserve"> has made the following statements regarding the intentions for the Group</w:t>
      </w:r>
      <w:r w:rsidR="00062E8D" w:rsidRPr="003B74E0">
        <w:rPr>
          <w:lang w:bidi="en-GB"/>
        </w:rPr>
        <w:t xml:space="preserve">'s </w:t>
      </w:r>
      <w:r w:rsidRPr="003B74E0">
        <w:t>employees and employment conditions in the Group</w:t>
      </w:r>
      <w:r w:rsidR="00062E8D" w:rsidRPr="003B74E0">
        <w:t xml:space="preserve"> as well as in relation to the Company's registered office and principal place of business</w:t>
      </w:r>
      <w:r w:rsidRPr="003B74E0">
        <w:t>, following Completion of the Offer</w:t>
      </w:r>
      <w:r w:rsidRPr="003B74E0">
        <w:rPr>
          <w:lang w:bidi="en-GB"/>
        </w:rPr>
        <w:t>:</w:t>
      </w:r>
    </w:p>
    <w:p w14:paraId="65C55EB0" w14:textId="77777777" w:rsidR="00852925" w:rsidRPr="003B74E0" w:rsidRDefault="00852925" w:rsidP="00A05058">
      <w:pPr>
        <w:pStyle w:val="DSBodyTextIndent1"/>
        <w:jc w:val="both"/>
        <w:rPr>
          <w:lang w:bidi="en-GB"/>
        </w:rPr>
      </w:pPr>
    </w:p>
    <w:p w14:paraId="0510A581" w14:textId="5DAEC176" w:rsidR="00852925" w:rsidRPr="003B74E0" w:rsidRDefault="00852925" w:rsidP="0045421A">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 xml:space="preserve">"The Offeror’s overall intention is to support the continued development of the Company and the Group, including by safeguarding a robust operational platform and a strong organisation. </w:t>
      </w:r>
    </w:p>
    <w:p w14:paraId="2AB0E321" w14:textId="671CF9F9" w:rsidR="00524188" w:rsidRPr="003B74E0" w:rsidRDefault="00852925" w:rsidP="0045421A">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With respect to employees, the Offeror does not as a consequence of the completion of the Offer contemplate any general and material reductions in the overall number of employees or any general and material adverse changes to employment terms."</w:t>
      </w:r>
    </w:p>
    <w:p w14:paraId="0B5705CE" w14:textId="77777777" w:rsidR="00852925" w:rsidRPr="002126AB" w:rsidRDefault="00852925" w:rsidP="002126AB"/>
    <w:p w14:paraId="4B8CB0E3" w14:textId="38382D53" w:rsidR="00C409D1" w:rsidRPr="003B74E0" w:rsidRDefault="00C409D1" w:rsidP="00A05058">
      <w:pPr>
        <w:pStyle w:val="DSBodyTextIndent1"/>
        <w:jc w:val="both"/>
        <w:rPr>
          <w:u w:val="single"/>
          <w:lang w:bidi="en-GB"/>
        </w:rPr>
      </w:pPr>
      <w:r w:rsidRPr="003B74E0">
        <w:rPr>
          <w:u w:val="single"/>
          <w:lang w:bidi="en-GB"/>
        </w:rPr>
        <w:t xml:space="preserve">The </w:t>
      </w:r>
      <w:r w:rsidR="00B86488" w:rsidRPr="003B74E0">
        <w:rPr>
          <w:u w:val="single"/>
          <w:lang w:bidi="en-GB"/>
        </w:rPr>
        <w:t>Board of Directors</w:t>
      </w:r>
      <w:r w:rsidRPr="003B74E0">
        <w:rPr>
          <w:u w:val="single"/>
          <w:lang w:bidi="en-GB"/>
        </w:rPr>
        <w:t xml:space="preserve"> express</w:t>
      </w:r>
      <w:r w:rsidR="00BC1C37" w:rsidRPr="003B74E0">
        <w:rPr>
          <w:u w:val="single"/>
          <w:lang w:bidi="en-GB"/>
        </w:rPr>
        <w:t>es</w:t>
      </w:r>
      <w:r w:rsidRPr="003B74E0">
        <w:rPr>
          <w:u w:val="single"/>
          <w:lang w:bidi="en-GB"/>
        </w:rPr>
        <w:t xml:space="preserve"> the following </w:t>
      </w:r>
      <w:r w:rsidR="0018131F" w:rsidRPr="003B74E0">
        <w:rPr>
          <w:u w:val="single"/>
          <w:lang w:bidi="en-GB"/>
        </w:rPr>
        <w:t xml:space="preserve">regarding </w:t>
      </w:r>
      <w:r w:rsidR="000A0B9F" w:rsidRPr="003B74E0">
        <w:rPr>
          <w:u w:val="single"/>
          <w:lang w:bidi="en-GB"/>
        </w:rPr>
        <w:t>the Offeror</w:t>
      </w:r>
      <w:r w:rsidR="008B089F" w:rsidRPr="003B74E0">
        <w:rPr>
          <w:u w:val="single"/>
          <w:lang w:bidi="en-GB"/>
        </w:rPr>
        <w:t>'s</w:t>
      </w:r>
      <w:r w:rsidRPr="003B74E0">
        <w:rPr>
          <w:u w:val="single"/>
          <w:lang w:bidi="en-GB"/>
        </w:rPr>
        <w:t xml:space="preserve"> so stated intentions:</w:t>
      </w:r>
    </w:p>
    <w:p w14:paraId="6C04E7EA" w14:textId="7FFEF4D2" w:rsidR="003D6617" w:rsidRDefault="001301C3" w:rsidP="003D6617">
      <w:pPr>
        <w:pStyle w:val="DSBodyTextIndent1"/>
        <w:jc w:val="both"/>
        <w:rPr>
          <w:rFonts w:asciiTheme="majorHAnsi" w:hAnsiTheme="majorHAnsi" w:cstheme="majorHAnsi"/>
          <w:lang w:eastAsia="en-GB"/>
        </w:rPr>
      </w:pPr>
      <w:r>
        <w:rPr>
          <w:rFonts w:asciiTheme="majorHAnsi" w:hAnsiTheme="majorHAnsi" w:cstheme="majorHAnsi"/>
          <w:lang w:eastAsia="en-GB"/>
        </w:rPr>
        <w:t xml:space="preserve">The Board of Directors </w:t>
      </w:r>
      <w:r w:rsidR="006001E7">
        <w:rPr>
          <w:rFonts w:asciiTheme="majorHAnsi" w:hAnsiTheme="majorHAnsi" w:cstheme="majorHAnsi"/>
          <w:lang w:eastAsia="en-GB"/>
        </w:rPr>
        <w:t>finds that</w:t>
      </w:r>
      <w:r>
        <w:rPr>
          <w:rFonts w:asciiTheme="majorHAnsi" w:hAnsiTheme="majorHAnsi" w:cstheme="majorHAnsi"/>
          <w:lang w:eastAsia="en-GB"/>
        </w:rPr>
        <w:t xml:space="preserve"> the Offeror's </w:t>
      </w:r>
      <w:r w:rsidR="00E206A0">
        <w:rPr>
          <w:rFonts w:asciiTheme="majorHAnsi" w:hAnsiTheme="majorHAnsi" w:cstheme="majorHAnsi"/>
          <w:lang w:eastAsia="en-GB"/>
        </w:rPr>
        <w:t>intention</w:t>
      </w:r>
      <w:r>
        <w:rPr>
          <w:rFonts w:asciiTheme="majorHAnsi" w:hAnsiTheme="majorHAnsi" w:cstheme="majorHAnsi"/>
          <w:lang w:eastAsia="en-GB"/>
        </w:rPr>
        <w:t xml:space="preserve"> of continued development of the Company and the Group</w:t>
      </w:r>
      <w:r w:rsidR="006001E7">
        <w:rPr>
          <w:rFonts w:asciiTheme="majorHAnsi" w:hAnsiTheme="majorHAnsi" w:cstheme="majorHAnsi"/>
          <w:lang w:eastAsia="en-GB"/>
        </w:rPr>
        <w:t xml:space="preserve"> is consistent with the Company's core principles. </w:t>
      </w:r>
    </w:p>
    <w:p w14:paraId="45415A79" w14:textId="77777777" w:rsidR="003D6617" w:rsidRDefault="003D6617" w:rsidP="003D6617">
      <w:pPr>
        <w:pStyle w:val="DSBodyTextIndent1"/>
        <w:jc w:val="both"/>
        <w:rPr>
          <w:rFonts w:asciiTheme="majorHAnsi" w:hAnsiTheme="majorHAnsi" w:cstheme="majorHAnsi"/>
          <w:lang w:eastAsia="en-GB"/>
        </w:rPr>
      </w:pPr>
    </w:p>
    <w:p w14:paraId="12CA853F" w14:textId="18BBBCE4" w:rsidR="00C67D2C" w:rsidRPr="0006728C" w:rsidRDefault="007039B1" w:rsidP="003D6617">
      <w:pPr>
        <w:pStyle w:val="DSBodyTextIndent1"/>
        <w:jc w:val="both"/>
        <w:rPr>
          <w:rFonts w:asciiTheme="majorHAnsi" w:hAnsiTheme="majorHAnsi" w:cstheme="majorHAnsi"/>
          <w:lang w:eastAsia="en-GB"/>
        </w:rPr>
      </w:pPr>
      <w:r>
        <w:rPr>
          <w:rFonts w:asciiTheme="majorHAnsi" w:hAnsiTheme="majorHAnsi" w:cstheme="majorHAnsi"/>
          <w:lang w:eastAsia="en-GB"/>
        </w:rPr>
        <w:t xml:space="preserve">The Board of Directors </w:t>
      </w:r>
      <w:r w:rsidR="00905119">
        <w:rPr>
          <w:rFonts w:asciiTheme="majorHAnsi" w:hAnsiTheme="majorHAnsi" w:cstheme="majorHAnsi"/>
          <w:lang w:eastAsia="en-GB"/>
        </w:rPr>
        <w:t>notes and welcomes the Offeror's commitment regarding employees and employment terms</w:t>
      </w:r>
      <w:r w:rsidR="000832DA">
        <w:rPr>
          <w:rFonts w:asciiTheme="majorHAnsi" w:hAnsiTheme="majorHAnsi" w:cstheme="majorHAnsi"/>
          <w:lang w:eastAsia="en-GB"/>
        </w:rPr>
        <w:t>.</w:t>
      </w:r>
      <w:r w:rsidR="003D6617">
        <w:rPr>
          <w:rFonts w:asciiTheme="majorHAnsi" w:hAnsiTheme="majorHAnsi" w:cstheme="majorHAnsi"/>
          <w:lang w:eastAsia="en-GB"/>
        </w:rPr>
        <w:t xml:space="preserve"> </w:t>
      </w:r>
      <w:r w:rsidR="000832DA">
        <w:rPr>
          <w:rFonts w:asciiTheme="majorHAnsi" w:hAnsiTheme="majorHAnsi" w:cstheme="majorHAnsi"/>
          <w:lang w:eastAsia="en-GB"/>
        </w:rPr>
        <w:t>The Board of Directors</w:t>
      </w:r>
      <w:r w:rsidR="00C31A64">
        <w:rPr>
          <w:rFonts w:asciiTheme="majorHAnsi" w:hAnsiTheme="majorHAnsi" w:cstheme="majorHAnsi"/>
          <w:lang w:eastAsia="en-GB"/>
        </w:rPr>
        <w:t xml:space="preserve"> believes that the Company's employees, footprint and culture </w:t>
      </w:r>
      <w:r w:rsidR="00DB5E18">
        <w:rPr>
          <w:rFonts w:asciiTheme="majorHAnsi" w:hAnsiTheme="majorHAnsi" w:cstheme="majorHAnsi"/>
          <w:lang w:eastAsia="en-GB"/>
        </w:rPr>
        <w:t>is the basis of its success and its position as a global leader</w:t>
      </w:r>
      <w:r w:rsidR="003D6617">
        <w:rPr>
          <w:rFonts w:asciiTheme="majorHAnsi" w:hAnsiTheme="majorHAnsi" w:cstheme="majorHAnsi"/>
          <w:lang w:eastAsia="en-GB"/>
        </w:rPr>
        <w:t xml:space="preserve"> in its industry.</w:t>
      </w:r>
    </w:p>
    <w:p w14:paraId="6DD8F85C" w14:textId="17178D0F" w:rsidR="00062E8D" w:rsidRPr="003B74E0" w:rsidRDefault="00062E8D" w:rsidP="00062E8D">
      <w:pPr>
        <w:pStyle w:val="Heading4"/>
        <w:jc w:val="both"/>
        <w:rPr>
          <w:lang w:bidi="en-GB"/>
        </w:rPr>
      </w:pPr>
      <w:bookmarkStart w:id="104" w:name="_Ref206089155"/>
      <w:bookmarkStart w:id="105" w:name="_Toc218590571"/>
      <w:bookmarkStart w:id="106" w:name="_Ref194409842"/>
      <w:bookmarkStart w:id="107" w:name="_Toc194440329"/>
      <w:bookmarkStart w:id="108" w:name="_Ref506992034"/>
      <w:r w:rsidRPr="003B74E0">
        <w:t xml:space="preserve">The Offeror's </w:t>
      </w:r>
      <w:r w:rsidR="00F47D3A" w:rsidRPr="003B74E0">
        <w:t>i</w:t>
      </w:r>
      <w:r w:rsidRPr="003B74E0">
        <w:t xml:space="preserve">ntentions regarding </w:t>
      </w:r>
      <w:r w:rsidR="00AD2674" w:rsidRPr="003B74E0">
        <w:rPr>
          <w:lang w:bidi="en-GB"/>
        </w:rPr>
        <w:t>c</w:t>
      </w:r>
      <w:r w:rsidRPr="003B74E0">
        <w:rPr>
          <w:lang w:bidi="en-GB"/>
        </w:rPr>
        <w:t xml:space="preserve">hanges </w:t>
      </w:r>
      <w:bookmarkEnd w:id="104"/>
      <w:r w:rsidR="00AD2674" w:rsidRPr="003B74E0">
        <w:rPr>
          <w:rFonts w:cs="Times New Roman"/>
        </w:rPr>
        <w:t xml:space="preserve">to the </w:t>
      </w:r>
      <w:r w:rsidR="00B351D5">
        <w:rPr>
          <w:rFonts w:cs="Times New Roman"/>
        </w:rPr>
        <w:t>m</w:t>
      </w:r>
      <w:r w:rsidR="00AD2674" w:rsidRPr="003B74E0">
        <w:rPr>
          <w:rFonts w:cs="Times New Roman"/>
        </w:rPr>
        <w:t>anagement and the Board</w:t>
      </w:r>
      <w:r w:rsidR="00F47D3A" w:rsidRPr="003B74E0">
        <w:rPr>
          <w:rFonts w:cs="Times New Roman"/>
        </w:rPr>
        <w:t xml:space="preserve"> of Directors</w:t>
      </w:r>
      <w:bookmarkEnd w:id="105"/>
    </w:p>
    <w:p w14:paraId="07DFB049" w14:textId="4D29164F" w:rsidR="00062E8D" w:rsidRPr="003B74E0" w:rsidRDefault="00062E8D" w:rsidP="00062E8D">
      <w:pPr>
        <w:pStyle w:val="DSBodyTextIndent1"/>
        <w:jc w:val="both"/>
      </w:pPr>
      <w:r w:rsidRPr="003B74E0">
        <w:t xml:space="preserve">In the Offer Document, the </w:t>
      </w:r>
      <w:r w:rsidR="00BE3D47" w:rsidRPr="003B74E0">
        <w:rPr>
          <w:lang w:bidi="en-GB"/>
        </w:rPr>
        <w:t>Offeror has made the following statements regarding the Offeror's intentions regarding the governance of the Company following Completion of the Offer:</w:t>
      </w:r>
    </w:p>
    <w:p w14:paraId="01C342B4" w14:textId="77777777" w:rsidR="00AC6AA4" w:rsidRPr="003B74E0" w:rsidRDefault="00AC6AA4" w:rsidP="00062E8D">
      <w:pPr>
        <w:pStyle w:val="DSBodyTextIndent1"/>
        <w:jc w:val="both"/>
      </w:pPr>
    </w:p>
    <w:p w14:paraId="1FDAE509" w14:textId="7DEDB8C3" w:rsidR="00061F73" w:rsidRPr="003B74E0" w:rsidRDefault="00061F73" w:rsidP="0045421A">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"The Offeror appreciates and highly values that the Management has built a very successful business with an excellent track record. As of the date of this Offer Document, the Offeror expects to continue to work closely with the Management in developing the business.</w:t>
      </w:r>
    </w:p>
    <w:p w14:paraId="614FB6D6" w14:textId="66AFB633" w:rsidR="00AC6AA4" w:rsidRDefault="00061F73" w:rsidP="0045421A">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The Offeror intends to seek representation on the Board at a level, which appropriately reflects the ownership ultimately obtained by the Offeror following Completion of the Offer. Accordingly, the Offeror would expect that all or a majority of the members on the Board elected by the general meeting will be appointed based on proposals by or nominations following consultation with the Offeror after Completion. The Board includes employee-elected representatives appointed in accordance with the Danish Companies Act, and the Offeror intends that such employee representation will continue unchanged following Completion. Following confirmation by the Offeror that the Conditions have been fulfilled and the Offer will be Completed, the Company and the Offeror shall jointly decide upon an appropriate date whereby an extraordinary general meeting of the Company shall be held for the purpose, inter alia, of electing new and/or additional members to the Board."</w:t>
      </w:r>
    </w:p>
    <w:p w14:paraId="055C2526" w14:textId="77777777" w:rsidR="002126AB" w:rsidRPr="002126AB" w:rsidRDefault="002126AB" w:rsidP="002126AB"/>
    <w:p w14:paraId="57ABE8A6" w14:textId="7512DA16" w:rsidR="00AC6AA4" w:rsidRPr="003B74E0" w:rsidRDefault="00AC6AA4" w:rsidP="00AC6AA4">
      <w:pPr>
        <w:pStyle w:val="DSBodyTextIndent1"/>
        <w:jc w:val="both"/>
        <w:rPr>
          <w:u w:val="single"/>
          <w:lang w:bidi="en-GB"/>
        </w:rPr>
      </w:pPr>
      <w:r w:rsidRPr="003B74E0">
        <w:rPr>
          <w:u w:val="single"/>
          <w:lang w:bidi="en-GB"/>
        </w:rPr>
        <w:t xml:space="preserve">The Board </w:t>
      </w:r>
      <w:r w:rsidRPr="003B74E0" w:rsidDel="00944E4A">
        <w:rPr>
          <w:u w:val="single"/>
          <w:lang w:bidi="en-GB"/>
        </w:rPr>
        <w:t xml:space="preserve">of Directors </w:t>
      </w:r>
      <w:r w:rsidRPr="003B74E0">
        <w:rPr>
          <w:u w:val="single"/>
          <w:lang w:bidi="en-GB"/>
        </w:rPr>
        <w:t xml:space="preserve">expresses the following </w:t>
      </w:r>
      <w:r w:rsidR="0018131F" w:rsidRPr="003B74E0">
        <w:rPr>
          <w:u w:val="single"/>
          <w:lang w:bidi="en-GB"/>
        </w:rPr>
        <w:t>regarding</w:t>
      </w:r>
      <w:r w:rsidRPr="003B74E0">
        <w:rPr>
          <w:u w:val="single"/>
          <w:lang w:bidi="en-GB"/>
        </w:rPr>
        <w:t xml:space="preserve"> the Offeror's so stated intentions:</w:t>
      </w:r>
    </w:p>
    <w:p w14:paraId="27208DE9" w14:textId="77777777" w:rsidR="007720CC" w:rsidRPr="0006728C" w:rsidRDefault="007720CC" w:rsidP="0006728C">
      <w:pPr>
        <w:pStyle w:val="DSBodyTextIndent1"/>
        <w:jc w:val="both"/>
        <w:rPr>
          <w:rFonts w:asciiTheme="majorHAnsi" w:hAnsiTheme="majorHAnsi" w:cstheme="majorHAnsi"/>
          <w:lang w:eastAsia="en-GB"/>
        </w:rPr>
      </w:pPr>
      <w:bookmarkStart w:id="109" w:name="_Hlk134791542"/>
      <w:r w:rsidRPr="0006728C">
        <w:rPr>
          <w:rFonts w:asciiTheme="majorHAnsi" w:hAnsiTheme="majorHAnsi" w:cstheme="majorHAnsi"/>
          <w:lang w:eastAsia="en-GB"/>
        </w:rPr>
        <w:lastRenderedPageBreak/>
        <w:t>The Board of Directors welcomes the Offeror’s recognition of the Company’s management achievements and its stated intention to work closely with management to deliver the next phase of the Company’s strategy.</w:t>
      </w:r>
    </w:p>
    <w:p w14:paraId="2403D1C5" w14:textId="77777777" w:rsidR="00637AC7" w:rsidRDefault="00637AC7" w:rsidP="008E569E">
      <w:pPr>
        <w:pStyle w:val="DSBodyTextIndent1"/>
        <w:jc w:val="both"/>
        <w:rPr>
          <w:rFonts w:asciiTheme="majorHAnsi" w:hAnsiTheme="majorHAnsi" w:cstheme="majorHAnsi"/>
          <w:lang w:eastAsia="en-GB"/>
        </w:rPr>
      </w:pPr>
    </w:p>
    <w:p w14:paraId="26F0EFB3" w14:textId="495D4C2C" w:rsidR="007720CC" w:rsidRDefault="007720CC" w:rsidP="008E569E">
      <w:pPr>
        <w:pStyle w:val="DSBodyTextIndent1"/>
        <w:jc w:val="both"/>
        <w:rPr>
          <w:rFonts w:asciiTheme="majorHAnsi" w:hAnsiTheme="majorHAnsi" w:cstheme="majorHAnsi"/>
          <w:lang w:eastAsia="en-GB"/>
        </w:rPr>
      </w:pPr>
      <w:r w:rsidRPr="0006728C">
        <w:rPr>
          <w:rFonts w:asciiTheme="majorHAnsi" w:hAnsiTheme="majorHAnsi" w:cstheme="majorHAnsi"/>
          <w:lang w:eastAsia="en-GB"/>
        </w:rPr>
        <w:t>The Board</w:t>
      </w:r>
      <w:r w:rsidR="00892B5D">
        <w:rPr>
          <w:rFonts w:asciiTheme="majorHAnsi" w:hAnsiTheme="majorHAnsi" w:cstheme="majorHAnsi"/>
          <w:lang w:eastAsia="en-GB"/>
        </w:rPr>
        <w:t xml:space="preserve"> of Directors</w:t>
      </w:r>
      <w:r w:rsidRPr="0006728C">
        <w:rPr>
          <w:rFonts w:asciiTheme="majorHAnsi" w:hAnsiTheme="majorHAnsi" w:cstheme="majorHAnsi"/>
          <w:lang w:eastAsia="en-GB"/>
        </w:rPr>
        <w:t xml:space="preserve"> notes the Offeror’s expectation to seek representation </w:t>
      </w:r>
      <w:r w:rsidR="0092166A">
        <w:rPr>
          <w:rFonts w:asciiTheme="majorHAnsi" w:hAnsiTheme="majorHAnsi" w:cstheme="majorHAnsi"/>
          <w:lang w:eastAsia="en-GB"/>
        </w:rPr>
        <w:t xml:space="preserve">on the Board of Directors </w:t>
      </w:r>
      <w:r w:rsidRPr="0006728C">
        <w:rPr>
          <w:rFonts w:asciiTheme="majorHAnsi" w:hAnsiTheme="majorHAnsi" w:cstheme="majorHAnsi"/>
          <w:lang w:eastAsia="en-GB"/>
        </w:rPr>
        <w:t xml:space="preserve">following Completion and considers this a natural consequence of the ownership change. It is further noted that, if the Offeror holds more than 50% of the Shares (excluding treasury shares) after Completion, the Offeror will, in accordance with the Danish Companies Act </w:t>
      </w:r>
      <w:r w:rsidR="00772717">
        <w:rPr>
          <w:rFonts w:asciiTheme="majorHAnsi" w:hAnsiTheme="majorHAnsi" w:cstheme="majorHAnsi"/>
          <w:lang w:eastAsia="en-GB"/>
        </w:rPr>
        <w:t xml:space="preserve">(in Danish: </w:t>
      </w:r>
      <w:proofErr w:type="spellStart"/>
      <w:r w:rsidR="00772717" w:rsidRPr="006E3A43">
        <w:rPr>
          <w:rFonts w:asciiTheme="majorHAnsi" w:hAnsiTheme="majorHAnsi" w:cstheme="majorHAnsi"/>
          <w:i/>
          <w:iCs/>
          <w:lang w:eastAsia="en-GB"/>
        </w:rPr>
        <w:t>Selskabsloven</w:t>
      </w:r>
      <w:proofErr w:type="spellEnd"/>
      <w:r w:rsidR="00634020" w:rsidRPr="006E3A43">
        <w:rPr>
          <w:rFonts w:asciiTheme="majorHAnsi" w:hAnsiTheme="majorHAnsi" w:cstheme="majorHAnsi"/>
          <w:i/>
          <w:iCs/>
          <w:lang w:eastAsia="en-GB"/>
        </w:rPr>
        <w:t>, Consolidated Act No.</w:t>
      </w:r>
      <w:r w:rsidR="00FB057E" w:rsidRPr="006E3A43">
        <w:rPr>
          <w:rFonts w:asciiTheme="majorHAnsi" w:hAnsiTheme="majorHAnsi" w:cstheme="majorHAnsi"/>
          <w:i/>
          <w:iCs/>
          <w:lang w:eastAsia="en-GB"/>
        </w:rPr>
        <w:t xml:space="preserve"> 331</w:t>
      </w:r>
      <w:r w:rsidR="00634020" w:rsidRPr="006E3A43">
        <w:rPr>
          <w:rFonts w:asciiTheme="majorHAnsi" w:hAnsiTheme="majorHAnsi" w:cstheme="majorHAnsi"/>
          <w:i/>
          <w:iCs/>
          <w:lang w:eastAsia="en-GB"/>
        </w:rPr>
        <w:t xml:space="preserve"> of </w:t>
      </w:r>
      <w:r w:rsidR="00C5468A" w:rsidRPr="006E3A43">
        <w:rPr>
          <w:rFonts w:asciiTheme="majorHAnsi" w:hAnsiTheme="majorHAnsi" w:cstheme="majorHAnsi"/>
          <w:i/>
          <w:iCs/>
          <w:lang w:eastAsia="en-GB"/>
        </w:rPr>
        <w:t>20 March 2025</w:t>
      </w:r>
      <w:r w:rsidR="00634020" w:rsidRPr="006E3A43">
        <w:rPr>
          <w:rFonts w:asciiTheme="majorHAnsi" w:hAnsiTheme="majorHAnsi" w:cstheme="majorHAnsi"/>
          <w:i/>
          <w:iCs/>
          <w:lang w:eastAsia="en-GB"/>
        </w:rPr>
        <w:t>, as amended</w:t>
      </w:r>
      <w:r w:rsidR="00634020">
        <w:rPr>
          <w:rFonts w:asciiTheme="majorHAnsi" w:hAnsiTheme="majorHAnsi" w:cstheme="majorHAnsi"/>
          <w:lang w:eastAsia="en-GB"/>
        </w:rPr>
        <w:t xml:space="preserve">, the </w:t>
      </w:r>
      <w:r w:rsidR="00634020" w:rsidRPr="0006728C">
        <w:rPr>
          <w:rFonts w:asciiTheme="majorHAnsi" w:hAnsiTheme="majorHAnsi" w:cstheme="majorHAnsi"/>
          <w:b/>
          <w:bCs/>
          <w:lang w:eastAsia="en-GB"/>
        </w:rPr>
        <w:t>Companies Act)</w:t>
      </w:r>
      <w:r w:rsidR="00634020">
        <w:rPr>
          <w:rFonts w:asciiTheme="majorHAnsi" w:hAnsiTheme="majorHAnsi" w:cstheme="majorHAnsi"/>
          <w:lang w:eastAsia="en-GB"/>
        </w:rPr>
        <w:t xml:space="preserve"> </w:t>
      </w:r>
      <w:r w:rsidRPr="0006728C">
        <w:rPr>
          <w:rFonts w:asciiTheme="majorHAnsi" w:hAnsiTheme="majorHAnsi" w:cstheme="majorHAnsi"/>
          <w:lang w:eastAsia="en-GB"/>
        </w:rPr>
        <w:t>and the Company’s articles of association, be able to elect all (and in any event a majority of) the members of the Board of Directors elected by the general meeting. While this would not be in line with the Recommendations on Corporate Governance issued by the Danish Committee on Corporate Governance (</w:t>
      </w:r>
      <w:r w:rsidR="008028D6">
        <w:rPr>
          <w:rFonts w:asciiTheme="majorHAnsi" w:hAnsiTheme="majorHAnsi" w:cstheme="majorHAnsi"/>
          <w:lang w:eastAsia="en-GB"/>
        </w:rPr>
        <w:t xml:space="preserve">in Danish: </w:t>
      </w:r>
      <w:proofErr w:type="spellStart"/>
      <w:r w:rsidRPr="0006728C">
        <w:rPr>
          <w:rFonts w:asciiTheme="majorHAnsi" w:hAnsiTheme="majorHAnsi" w:cstheme="majorHAnsi"/>
          <w:i/>
          <w:iCs/>
          <w:lang w:eastAsia="en-GB"/>
        </w:rPr>
        <w:t>Anbefalinger</w:t>
      </w:r>
      <w:proofErr w:type="spellEnd"/>
      <w:r w:rsidRPr="0006728C">
        <w:rPr>
          <w:rFonts w:asciiTheme="majorHAnsi" w:hAnsiTheme="majorHAnsi" w:cstheme="majorHAnsi"/>
          <w:i/>
          <w:iCs/>
          <w:lang w:eastAsia="en-GB"/>
        </w:rPr>
        <w:t xml:space="preserve"> for god </w:t>
      </w:r>
      <w:proofErr w:type="spellStart"/>
      <w:r w:rsidRPr="0006728C">
        <w:rPr>
          <w:rFonts w:asciiTheme="majorHAnsi" w:hAnsiTheme="majorHAnsi" w:cstheme="majorHAnsi"/>
          <w:i/>
          <w:iCs/>
          <w:lang w:eastAsia="en-GB"/>
        </w:rPr>
        <w:t>selskabsledelse</w:t>
      </w:r>
      <w:proofErr w:type="spellEnd"/>
      <w:r w:rsidR="00B030D6" w:rsidRPr="0006728C">
        <w:rPr>
          <w:rFonts w:asciiTheme="majorHAnsi" w:hAnsiTheme="majorHAnsi" w:cstheme="majorHAnsi"/>
          <w:lang w:eastAsia="en-GB"/>
        </w:rPr>
        <w:t>;</w:t>
      </w:r>
      <w:r w:rsidR="00B030D6">
        <w:rPr>
          <w:rFonts w:asciiTheme="majorHAnsi" w:hAnsiTheme="majorHAnsi" w:cstheme="majorHAnsi"/>
          <w:lang w:eastAsia="en-GB"/>
        </w:rPr>
        <w:t xml:space="preserve"> the </w:t>
      </w:r>
      <w:r w:rsidR="00B030D6">
        <w:rPr>
          <w:rFonts w:asciiTheme="majorHAnsi" w:hAnsiTheme="majorHAnsi" w:cstheme="majorHAnsi"/>
          <w:b/>
          <w:bCs/>
          <w:lang w:eastAsia="en-GB"/>
        </w:rPr>
        <w:t>Corporate Governance Recommendations</w:t>
      </w:r>
      <w:r w:rsidRPr="0006728C">
        <w:rPr>
          <w:rFonts w:asciiTheme="majorHAnsi" w:hAnsiTheme="majorHAnsi" w:cstheme="majorHAnsi"/>
          <w:lang w:eastAsia="en-GB"/>
        </w:rPr>
        <w:t>)</w:t>
      </w:r>
      <w:r w:rsidR="00B030D6">
        <w:rPr>
          <w:rStyle w:val="FootnoteReference"/>
          <w:rFonts w:asciiTheme="majorHAnsi" w:hAnsiTheme="majorHAnsi" w:cstheme="majorHAnsi"/>
          <w:lang w:eastAsia="en-GB"/>
        </w:rPr>
        <w:footnoteReference w:id="4"/>
      </w:r>
      <w:r w:rsidRPr="00C32E4F">
        <w:rPr>
          <w:rFonts w:asciiTheme="majorHAnsi" w:hAnsiTheme="majorHAnsi" w:cstheme="majorHAnsi"/>
          <w:lang w:eastAsia="en-GB"/>
        </w:rPr>
        <w:t>, those recommendations constitute non</w:t>
      </w:r>
      <w:r w:rsidRPr="00C32E4F">
        <w:rPr>
          <w:rFonts w:asciiTheme="majorHAnsi" w:hAnsiTheme="majorHAnsi" w:cstheme="majorHAnsi"/>
          <w:lang w:eastAsia="en-GB"/>
        </w:rPr>
        <w:noBreakHyphen/>
        <w:t>binding best</w:t>
      </w:r>
      <w:r w:rsidRPr="00C32E4F">
        <w:rPr>
          <w:rFonts w:asciiTheme="majorHAnsi" w:hAnsiTheme="majorHAnsi" w:cstheme="majorHAnsi"/>
          <w:lang w:eastAsia="en-GB"/>
        </w:rPr>
        <w:noBreakHyphen/>
        <w:t>practice guidelines for companies admitted to trading on Nasdaq Copenhagen.</w:t>
      </w:r>
    </w:p>
    <w:p w14:paraId="2312AD94" w14:textId="77777777" w:rsidR="00E319CA" w:rsidRPr="00C32E4F" w:rsidRDefault="00E319CA" w:rsidP="00C32E4F">
      <w:pPr>
        <w:pStyle w:val="DSBodyTextIndent1"/>
        <w:jc w:val="both"/>
        <w:rPr>
          <w:rFonts w:asciiTheme="majorHAnsi" w:hAnsiTheme="majorHAnsi" w:cstheme="majorHAnsi"/>
          <w:lang w:eastAsia="en-GB"/>
        </w:rPr>
      </w:pPr>
    </w:p>
    <w:p w14:paraId="04286785" w14:textId="1F078F9C" w:rsidR="007720CC" w:rsidRDefault="007720CC" w:rsidP="008E569E">
      <w:pPr>
        <w:pStyle w:val="DSBodyTextIndent1"/>
        <w:jc w:val="both"/>
        <w:rPr>
          <w:rFonts w:asciiTheme="majorHAnsi" w:hAnsiTheme="majorHAnsi" w:cstheme="majorHAnsi"/>
          <w:lang w:eastAsia="en-GB"/>
        </w:rPr>
      </w:pPr>
      <w:r w:rsidRPr="00C32E4F">
        <w:rPr>
          <w:rFonts w:asciiTheme="majorHAnsi" w:hAnsiTheme="majorHAnsi" w:cstheme="majorHAnsi"/>
          <w:lang w:eastAsia="en-GB"/>
        </w:rPr>
        <w:t>The Board</w:t>
      </w:r>
      <w:r w:rsidR="0092166A">
        <w:rPr>
          <w:rFonts w:asciiTheme="majorHAnsi" w:hAnsiTheme="majorHAnsi" w:cstheme="majorHAnsi"/>
          <w:lang w:eastAsia="en-GB"/>
        </w:rPr>
        <w:t xml:space="preserve"> of Directors</w:t>
      </w:r>
      <w:r w:rsidRPr="00C32E4F">
        <w:rPr>
          <w:rFonts w:asciiTheme="majorHAnsi" w:hAnsiTheme="majorHAnsi" w:cstheme="majorHAnsi"/>
          <w:lang w:eastAsia="en-GB"/>
        </w:rPr>
        <w:t xml:space="preserve"> also notes that directors of a Danish limited company must properly safeguard the interests of the company and all shareholders and must refrain from participating in Board decisions where they (or an affiliated third party) have a material conflicting interest. The Board </w:t>
      </w:r>
      <w:r w:rsidR="0092166A">
        <w:rPr>
          <w:rFonts w:asciiTheme="majorHAnsi" w:hAnsiTheme="majorHAnsi" w:cstheme="majorHAnsi"/>
          <w:lang w:eastAsia="en-GB"/>
        </w:rPr>
        <w:t xml:space="preserve">of Directors </w:t>
      </w:r>
      <w:r w:rsidRPr="00C32E4F">
        <w:rPr>
          <w:rFonts w:asciiTheme="majorHAnsi" w:hAnsiTheme="majorHAnsi" w:cstheme="majorHAnsi"/>
          <w:lang w:eastAsia="en-GB"/>
        </w:rPr>
        <w:t xml:space="preserve">has no reason to believe that any </w:t>
      </w:r>
      <w:r w:rsidR="0092166A">
        <w:rPr>
          <w:rFonts w:asciiTheme="majorHAnsi" w:hAnsiTheme="majorHAnsi" w:cstheme="majorHAnsi"/>
          <w:lang w:eastAsia="en-GB"/>
        </w:rPr>
        <w:t>member of the Board of Directors</w:t>
      </w:r>
      <w:r w:rsidRPr="00C32E4F">
        <w:rPr>
          <w:rFonts w:asciiTheme="majorHAnsi" w:hAnsiTheme="majorHAnsi" w:cstheme="majorHAnsi"/>
          <w:lang w:eastAsia="en-GB"/>
        </w:rPr>
        <w:t xml:space="preserve"> elected at a general meeting following Completion on the Offeror’s proposal would not comply with these and other requirements under applicable Danish law.</w:t>
      </w:r>
    </w:p>
    <w:p w14:paraId="53901A11" w14:textId="77777777" w:rsidR="0092166A" w:rsidRPr="00C32E4F" w:rsidRDefault="0092166A" w:rsidP="00C32E4F">
      <w:pPr>
        <w:pStyle w:val="DSBodyTextIndent1"/>
        <w:jc w:val="both"/>
        <w:rPr>
          <w:rFonts w:asciiTheme="majorHAnsi" w:hAnsiTheme="majorHAnsi" w:cstheme="majorHAnsi"/>
          <w:lang w:eastAsia="en-GB"/>
        </w:rPr>
      </w:pPr>
    </w:p>
    <w:p w14:paraId="1D18035B" w14:textId="03522701" w:rsidR="007720CC" w:rsidRPr="00C32E4F" w:rsidRDefault="007720CC" w:rsidP="00C32E4F">
      <w:pPr>
        <w:pStyle w:val="DSBodyTextIndent1"/>
        <w:jc w:val="both"/>
        <w:rPr>
          <w:rFonts w:asciiTheme="majorHAnsi" w:hAnsiTheme="majorHAnsi" w:cstheme="majorHAnsi"/>
          <w:lang w:eastAsia="en-GB"/>
        </w:rPr>
      </w:pPr>
      <w:r w:rsidRPr="00C32E4F">
        <w:rPr>
          <w:rFonts w:asciiTheme="majorHAnsi" w:hAnsiTheme="majorHAnsi" w:cstheme="majorHAnsi"/>
          <w:lang w:eastAsia="en-GB"/>
        </w:rPr>
        <w:t>For the avoidance of doubt, the Board</w:t>
      </w:r>
      <w:r w:rsidR="0092166A">
        <w:rPr>
          <w:rFonts w:asciiTheme="majorHAnsi" w:hAnsiTheme="majorHAnsi" w:cstheme="majorHAnsi"/>
          <w:lang w:eastAsia="en-GB"/>
        </w:rPr>
        <w:t xml:space="preserve"> of Directors</w:t>
      </w:r>
      <w:r w:rsidRPr="00C32E4F">
        <w:rPr>
          <w:rFonts w:asciiTheme="majorHAnsi" w:hAnsiTheme="majorHAnsi" w:cstheme="majorHAnsi"/>
          <w:lang w:eastAsia="en-GB"/>
        </w:rPr>
        <w:t xml:space="preserve"> confirms that there are no agreements or understandings between the Offeror and any of the current general</w:t>
      </w:r>
      <w:r w:rsidRPr="00C32E4F">
        <w:rPr>
          <w:rFonts w:asciiTheme="majorHAnsi" w:hAnsiTheme="majorHAnsi" w:cstheme="majorHAnsi"/>
          <w:lang w:eastAsia="en-GB"/>
        </w:rPr>
        <w:noBreakHyphen/>
        <w:t>meeting</w:t>
      </w:r>
      <w:r w:rsidRPr="00C32E4F">
        <w:rPr>
          <w:rFonts w:asciiTheme="majorHAnsi" w:hAnsiTheme="majorHAnsi" w:cstheme="majorHAnsi"/>
          <w:lang w:eastAsia="en-GB"/>
        </w:rPr>
        <w:noBreakHyphen/>
        <w:t>elected Board members regarding continuation of such membership after Completion.</w:t>
      </w:r>
    </w:p>
    <w:p w14:paraId="68B32F8A" w14:textId="407A1570" w:rsidR="00C409D1" w:rsidRPr="003B74E0" w:rsidRDefault="00F6113D" w:rsidP="00A05058">
      <w:pPr>
        <w:pStyle w:val="Heading4"/>
        <w:jc w:val="both"/>
        <w:rPr>
          <w:lang w:bidi="en-GB"/>
        </w:rPr>
      </w:pPr>
      <w:bookmarkStart w:id="110" w:name="_Ref205904855"/>
      <w:bookmarkStart w:id="111" w:name="_Toc218590572"/>
      <w:bookmarkEnd w:id="109"/>
      <w:r w:rsidRPr="003B74E0">
        <w:t>T</w:t>
      </w:r>
      <w:r w:rsidR="000A0B9F" w:rsidRPr="003B74E0">
        <w:t>he Offeror</w:t>
      </w:r>
      <w:r w:rsidR="008B089F" w:rsidRPr="003B74E0">
        <w:t>'s</w:t>
      </w:r>
      <w:r w:rsidR="00C409D1" w:rsidRPr="003B74E0">
        <w:t xml:space="preserve"> </w:t>
      </w:r>
      <w:r w:rsidR="00AF7608" w:rsidRPr="003B74E0">
        <w:t>i</w:t>
      </w:r>
      <w:r w:rsidR="00C409D1" w:rsidRPr="003B74E0">
        <w:t xml:space="preserve">ntentions regarding </w:t>
      </w:r>
      <w:bookmarkEnd w:id="106"/>
      <w:bookmarkEnd w:id="107"/>
      <w:r w:rsidR="00E154A9" w:rsidRPr="003B74E0">
        <w:rPr>
          <w:lang w:bidi="en-GB"/>
        </w:rPr>
        <w:t>d</w:t>
      </w:r>
      <w:r w:rsidR="00C107B8" w:rsidRPr="003B74E0">
        <w:rPr>
          <w:lang w:bidi="en-GB"/>
        </w:rPr>
        <w:t xml:space="preserve">istribution of </w:t>
      </w:r>
      <w:r w:rsidR="00E154A9" w:rsidRPr="003B74E0">
        <w:rPr>
          <w:lang w:bidi="en-GB"/>
        </w:rPr>
        <w:t>f</w:t>
      </w:r>
      <w:r w:rsidR="00C107B8" w:rsidRPr="003B74E0">
        <w:rPr>
          <w:lang w:bidi="en-GB"/>
        </w:rPr>
        <w:t>unds</w:t>
      </w:r>
      <w:bookmarkEnd w:id="110"/>
      <w:bookmarkEnd w:id="111"/>
    </w:p>
    <w:p w14:paraId="6B902C7E" w14:textId="77777777" w:rsidR="0018131F" w:rsidRPr="003B74E0" w:rsidRDefault="0018131F" w:rsidP="0018131F">
      <w:pPr>
        <w:pStyle w:val="NormalIndent"/>
      </w:pPr>
      <w:r w:rsidRPr="003B74E0">
        <w:t>In the Offer Document, the Offeror has made the following statements regarding distribution of funds from the Company following Completion of the Offer:</w:t>
      </w:r>
    </w:p>
    <w:p w14:paraId="0322CDB9" w14:textId="77777777" w:rsidR="00C409D1" w:rsidRPr="003B74E0" w:rsidRDefault="00C409D1" w:rsidP="00A05058">
      <w:pPr>
        <w:pStyle w:val="DSBodyTextIndent1"/>
        <w:jc w:val="both"/>
      </w:pPr>
    </w:p>
    <w:p w14:paraId="49DEC675" w14:textId="3EA6AFB7" w:rsidR="0072060E" w:rsidRPr="003B74E0" w:rsidRDefault="0072060E" w:rsidP="0072060E">
      <w:pPr>
        <w:pStyle w:val="BrdtekstMedIndryk"/>
        <w:ind w:left="1304"/>
        <w:jc w:val="both"/>
        <w:rPr>
          <w:rFonts w:ascii="Arial" w:eastAsiaTheme="minorHAnsi" w:hAnsi="Arial" w:cstheme="minorBidi"/>
          <w:i/>
          <w:iCs/>
          <w:sz w:val="18"/>
          <w:lang w:eastAsia="en-US" w:bidi="en-GB"/>
        </w:rPr>
      </w:pPr>
      <w:bookmarkStart w:id="112" w:name="_Toc194440330"/>
      <w:r w:rsidRPr="003B74E0">
        <w:rPr>
          <w:rFonts w:ascii="Arial" w:eastAsiaTheme="minorHAnsi" w:hAnsi="Arial" w:cstheme="minorBidi"/>
          <w:i/>
          <w:iCs/>
          <w:sz w:val="18"/>
          <w:lang w:eastAsia="en-US" w:bidi="en-GB"/>
        </w:rPr>
        <w:t xml:space="preserve">"The Offeror does not currently plan to distribute funds from the Company within the first twelve (12) months after Completion. </w:t>
      </w:r>
      <w:r w:rsidR="00AA4135" w:rsidRPr="00AA4135">
        <w:rPr>
          <w:rFonts w:ascii="Arial" w:eastAsiaTheme="minorHAnsi" w:hAnsi="Arial" w:cstheme="minorBidi"/>
          <w:i/>
          <w:iCs/>
          <w:sz w:val="18"/>
          <w:lang w:eastAsia="en-US" w:bidi="en-GB"/>
        </w:rPr>
        <w:t>Accordingly, the Company’s practices with regard to dividends will remain unchanged.</w:t>
      </w:r>
    </w:p>
    <w:p w14:paraId="027049C1" w14:textId="65CCAF4B" w:rsidR="0072060E" w:rsidRPr="003B74E0" w:rsidRDefault="0072060E" w:rsidP="0072060E">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To avoid any unintended restrictions in the possibilities for letting the Company distribute funds to the Offeror as well as any other Shareholders after the Completion of the Offer as a result of the requirements in the Danish Companies Act and the information requirements in the Danish Takeover Order, the Shareholders should be aware that the Offeror reserves the right to propose, vote for and/or otherwise procure:</w:t>
      </w:r>
    </w:p>
    <w:p w14:paraId="28CA1D06" w14:textId="31154B23" w:rsidR="0072060E" w:rsidRPr="003B74E0" w:rsidRDefault="0072060E" w:rsidP="0072060E">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w:t>
      </w:r>
      <w:proofErr w:type="spellStart"/>
      <w:r w:rsidRPr="003B74E0">
        <w:rPr>
          <w:rFonts w:ascii="Arial" w:eastAsiaTheme="minorHAnsi" w:hAnsi="Arial" w:cstheme="minorBidi"/>
          <w:i/>
          <w:iCs/>
          <w:sz w:val="18"/>
          <w:lang w:eastAsia="en-US" w:bidi="en-GB"/>
        </w:rPr>
        <w:t>i</w:t>
      </w:r>
      <w:proofErr w:type="spellEnd"/>
      <w:r w:rsidRPr="003B74E0">
        <w:rPr>
          <w:rFonts w:ascii="Arial" w:eastAsiaTheme="minorHAnsi" w:hAnsi="Arial" w:cstheme="minorBidi"/>
          <w:i/>
          <w:iCs/>
          <w:sz w:val="18"/>
          <w:lang w:eastAsia="en-US" w:bidi="en-GB"/>
        </w:rPr>
        <w:t xml:space="preserve">) that the Company declares or distributes funds by way of payment of dividends (ordinary or extraordinary) within the first twelve (12) months after Completion in an aggregate amount not exceeding EUR </w:t>
      </w:r>
      <w:r w:rsidR="00256293">
        <w:rPr>
          <w:rFonts w:ascii="Arial" w:eastAsiaTheme="minorHAnsi" w:hAnsi="Arial" w:cstheme="minorBidi"/>
          <w:i/>
          <w:iCs/>
          <w:sz w:val="18"/>
          <w:lang w:eastAsia="en-US" w:bidi="en-GB"/>
        </w:rPr>
        <w:t>246.5m</w:t>
      </w:r>
      <w:r w:rsidRPr="003B74E0">
        <w:rPr>
          <w:rFonts w:ascii="Arial" w:eastAsiaTheme="minorHAnsi" w:hAnsi="Arial" w:cstheme="minorBidi"/>
          <w:i/>
          <w:iCs/>
          <w:sz w:val="18"/>
          <w:lang w:eastAsia="en-US" w:bidi="en-GB"/>
        </w:rPr>
        <w:t xml:space="preserve"> equivalent to the </w:t>
      </w:r>
      <w:r w:rsidR="00256293">
        <w:rPr>
          <w:rFonts w:ascii="Arial" w:eastAsiaTheme="minorHAnsi" w:hAnsi="Arial" w:cstheme="minorBidi"/>
          <w:i/>
          <w:iCs/>
          <w:sz w:val="18"/>
          <w:lang w:eastAsia="en-US" w:bidi="en-GB"/>
        </w:rPr>
        <w:t>Group</w:t>
      </w:r>
      <w:r w:rsidR="00256293" w:rsidRPr="003B74E0">
        <w:rPr>
          <w:rFonts w:ascii="Arial" w:eastAsiaTheme="minorHAnsi" w:hAnsi="Arial" w:cstheme="minorBidi"/>
          <w:i/>
          <w:iCs/>
          <w:sz w:val="18"/>
          <w:lang w:eastAsia="en-US" w:bidi="en-GB"/>
        </w:rPr>
        <w:t>’</w:t>
      </w:r>
      <w:r w:rsidR="00256293">
        <w:rPr>
          <w:rFonts w:ascii="Arial" w:eastAsiaTheme="minorHAnsi" w:hAnsi="Arial" w:cstheme="minorBidi"/>
          <w:i/>
          <w:iCs/>
          <w:sz w:val="18"/>
          <w:lang w:eastAsia="en-US" w:bidi="en-GB"/>
        </w:rPr>
        <w:t>s consolidated</w:t>
      </w:r>
      <w:r w:rsidR="00256293" w:rsidRPr="003B74E0">
        <w:rPr>
          <w:rFonts w:ascii="Arial" w:eastAsiaTheme="minorHAnsi" w:hAnsi="Arial" w:cstheme="minorBidi"/>
          <w:i/>
          <w:iCs/>
          <w:sz w:val="18"/>
          <w:lang w:eastAsia="en-US" w:bidi="en-GB"/>
        </w:rPr>
        <w:t xml:space="preserve"> </w:t>
      </w:r>
      <w:r w:rsidRPr="003B74E0">
        <w:rPr>
          <w:rFonts w:ascii="Arial" w:eastAsiaTheme="minorHAnsi" w:hAnsi="Arial" w:cstheme="minorBidi"/>
          <w:i/>
          <w:iCs/>
          <w:sz w:val="18"/>
          <w:lang w:eastAsia="en-US" w:bidi="en-GB"/>
        </w:rPr>
        <w:t xml:space="preserve">free distributable reserves as per 31 December 2024 </w:t>
      </w:r>
      <w:r w:rsidR="00256293">
        <w:rPr>
          <w:rFonts w:ascii="Arial" w:eastAsiaTheme="minorHAnsi" w:hAnsi="Arial" w:cstheme="minorBidi"/>
          <w:i/>
          <w:iCs/>
          <w:sz w:val="18"/>
          <w:lang w:eastAsia="en-US" w:bidi="en-GB"/>
        </w:rPr>
        <w:t xml:space="preserve">(which can be distributed by the Company’s Subsidiaries resolving on dividends in accordance with the Danish Companies Act or similar foreign Laws up to the Company) </w:t>
      </w:r>
      <w:r w:rsidRPr="003B74E0">
        <w:rPr>
          <w:rFonts w:ascii="Arial" w:eastAsiaTheme="minorHAnsi" w:hAnsi="Arial" w:cstheme="minorBidi"/>
          <w:i/>
          <w:iCs/>
          <w:sz w:val="18"/>
          <w:lang w:eastAsia="en-US" w:bidi="en-GB"/>
        </w:rPr>
        <w:t xml:space="preserve">and otherwise in respect of the limitations for distribution of dividends set out in the Danish Companies Act; and </w:t>
      </w:r>
    </w:p>
    <w:p w14:paraId="5770127A" w14:textId="4CFBC915" w:rsidR="0072060E" w:rsidRPr="003B74E0" w:rsidRDefault="0072060E" w:rsidP="0072060E">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 xml:space="preserve">(ii) that the Company in any other lawful way makes distributions through capital reduction to distribution, in an aggregate amount not exceeding EUR </w:t>
      </w:r>
      <w:r w:rsidR="00256293">
        <w:rPr>
          <w:rFonts w:ascii="Arial" w:eastAsiaTheme="minorHAnsi" w:hAnsi="Arial" w:cstheme="minorBidi"/>
          <w:i/>
          <w:iCs/>
          <w:sz w:val="18"/>
          <w:lang w:eastAsia="en-US" w:bidi="en-GB"/>
        </w:rPr>
        <w:t xml:space="preserve">246.5m </w:t>
      </w:r>
      <w:r w:rsidRPr="003B74E0">
        <w:rPr>
          <w:rFonts w:ascii="Arial" w:eastAsiaTheme="minorHAnsi" w:hAnsi="Arial" w:cstheme="minorBidi"/>
          <w:i/>
          <w:iCs/>
          <w:sz w:val="18"/>
          <w:lang w:eastAsia="en-US" w:bidi="en-GB"/>
        </w:rPr>
        <w:t xml:space="preserve">equivalent to the </w:t>
      </w:r>
      <w:r w:rsidR="00256293">
        <w:rPr>
          <w:rFonts w:ascii="Arial" w:eastAsiaTheme="minorHAnsi" w:hAnsi="Arial" w:cstheme="minorBidi"/>
          <w:i/>
          <w:iCs/>
          <w:sz w:val="18"/>
          <w:lang w:eastAsia="en-US" w:bidi="en-GB"/>
        </w:rPr>
        <w:t>Group’</w:t>
      </w:r>
      <w:r w:rsidR="00256293" w:rsidRPr="003B74E0">
        <w:rPr>
          <w:rFonts w:ascii="Arial" w:eastAsiaTheme="minorHAnsi" w:hAnsi="Arial" w:cstheme="minorBidi"/>
          <w:i/>
          <w:iCs/>
          <w:sz w:val="18"/>
          <w:lang w:eastAsia="en-US" w:bidi="en-GB"/>
        </w:rPr>
        <w:t xml:space="preserve">s </w:t>
      </w:r>
      <w:r w:rsidR="00256293">
        <w:rPr>
          <w:rFonts w:ascii="Arial" w:eastAsiaTheme="minorHAnsi" w:hAnsi="Arial" w:cstheme="minorBidi"/>
          <w:i/>
          <w:iCs/>
          <w:sz w:val="18"/>
          <w:lang w:eastAsia="en-US" w:bidi="en-GB"/>
        </w:rPr>
        <w:t xml:space="preserve">consolidated </w:t>
      </w:r>
      <w:r w:rsidRPr="003B74E0">
        <w:rPr>
          <w:rFonts w:ascii="Arial" w:eastAsiaTheme="minorHAnsi" w:hAnsi="Arial" w:cstheme="minorBidi"/>
          <w:i/>
          <w:iCs/>
          <w:sz w:val="18"/>
          <w:lang w:eastAsia="en-US" w:bidi="en-GB"/>
        </w:rPr>
        <w:t xml:space="preserve">free distributable </w:t>
      </w:r>
      <w:r w:rsidRPr="003B74E0">
        <w:rPr>
          <w:rFonts w:ascii="Arial" w:eastAsiaTheme="minorHAnsi" w:hAnsi="Arial" w:cstheme="minorBidi"/>
          <w:i/>
          <w:iCs/>
          <w:sz w:val="18"/>
          <w:lang w:eastAsia="en-US" w:bidi="en-GB"/>
        </w:rPr>
        <w:lastRenderedPageBreak/>
        <w:t>reserves as per 31 December 2024</w:t>
      </w:r>
      <w:r w:rsidR="00256293">
        <w:rPr>
          <w:rFonts w:ascii="Arial" w:eastAsiaTheme="minorHAnsi" w:hAnsi="Arial" w:cstheme="minorBidi"/>
          <w:i/>
          <w:iCs/>
          <w:sz w:val="18"/>
          <w:lang w:eastAsia="en-US" w:bidi="en-GB"/>
        </w:rPr>
        <w:t xml:space="preserve"> (which can be distributed by the Company’s Subsidiaries resolving on dividends in accordance with the Danish Companies Act or similar foreign Laws up to the Company)</w:t>
      </w:r>
      <w:r w:rsidRPr="003B74E0">
        <w:rPr>
          <w:rFonts w:ascii="Arial" w:eastAsiaTheme="minorHAnsi" w:hAnsi="Arial" w:cstheme="minorBidi"/>
          <w:i/>
          <w:iCs/>
          <w:sz w:val="18"/>
          <w:lang w:eastAsia="en-US" w:bidi="en-GB"/>
        </w:rPr>
        <w:t xml:space="preserve"> and otherwise in respect of the limitations for distribution of dividends set out in the Danish Companies Act.</w:t>
      </w:r>
    </w:p>
    <w:p w14:paraId="63BEA8D0" w14:textId="03C82A84" w:rsidR="00954DB1" w:rsidRPr="003B74E0" w:rsidRDefault="0072060E" w:rsidP="0072060E">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The exact timing and amount of any distributions of funds after Completion will depend on a number of factors, including the Company’s and the Offeror’s interests, the Company’s financial position, working capital needs, and the availability of distributable profits and liquid assets. Any distribution of funds from the Company will be made in accordance with the provisions of the Danish Companies Act and the Company’s articles of association as applicable from time to time. The actual amount of the distributions described in sections 8.5(</w:t>
      </w:r>
      <w:proofErr w:type="spellStart"/>
      <w:r w:rsidRPr="003B74E0">
        <w:rPr>
          <w:rFonts w:ascii="Arial" w:eastAsiaTheme="minorHAnsi" w:hAnsi="Arial" w:cstheme="minorBidi"/>
          <w:i/>
          <w:iCs/>
          <w:sz w:val="18"/>
          <w:lang w:eastAsia="en-US" w:bidi="en-GB"/>
        </w:rPr>
        <w:t>i</w:t>
      </w:r>
      <w:proofErr w:type="spellEnd"/>
      <w:r w:rsidRPr="003B74E0">
        <w:rPr>
          <w:rFonts w:ascii="Arial" w:eastAsiaTheme="minorHAnsi" w:hAnsi="Arial" w:cstheme="minorBidi"/>
          <w:i/>
          <w:iCs/>
          <w:sz w:val="18"/>
          <w:lang w:eastAsia="en-US" w:bidi="en-GB"/>
        </w:rPr>
        <w:t>) and 8.5(ii) above within the first twelve (12) months after Completion may therefore ultimately be lower than stated in sections 8.5(</w:t>
      </w:r>
      <w:proofErr w:type="spellStart"/>
      <w:r w:rsidRPr="003B74E0">
        <w:rPr>
          <w:rFonts w:ascii="Arial" w:eastAsiaTheme="minorHAnsi" w:hAnsi="Arial" w:cstheme="minorBidi"/>
          <w:i/>
          <w:iCs/>
          <w:sz w:val="18"/>
          <w:lang w:eastAsia="en-US" w:bidi="en-GB"/>
        </w:rPr>
        <w:t>i</w:t>
      </w:r>
      <w:proofErr w:type="spellEnd"/>
      <w:r w:rsidRPr="003B74E0">
        <w:rPr>
          <w:rFonts w:ascii="Arial" w:eastAsiaTheme="minorHAnsi" w:hAnsi="Arial" w:cstheme="minorBidi"/>
          <w:i/>
          <w:iCs/>
          <w:sz w:val="18"/>
          <w:lang w:eastAsia="en-US" w:bidi="en-GB"/>
        </w:rPr>
        <w:t>) and 8.5(ii), and it is possible that such distributions may not be made at all."</w:t>
      </w:r>
    </w:p>
    <w:p w14:paraId="797C00A6" w14:textId="77777777" w:rsidR="0072060E" w:rsidRPr="002126AB" w:rsidRDefault="0072060E" w:rsidP="002126AB"/>
    <w:p w14:paraId="1CBBAD19" w14:textId="78FCEBDF" w:rsidR="0079341E" w:rsidRPr="003B74E0" w:rsidRDefault="0079341E" w:rsidP="00A05058">
      <w:pPr>
        <w:pStyle w:val="DSBodyTextIndent1"/>
        <w:jc w:val="both"/>
        <w:rPr>
          <w:u w:val="single"/>
          <w:lang w:bidi="en-GB"/>
        </w:rPr>
      </w:pPr>
      <w:r w:rsidRPr="003B74E0">
        <w:rPr>
          <w:u w:val="single"/>
          <w:lang w:bidi="en-GB"/>
        </w:rPr>
        <w:t xml:space="preserve">The </w:t>
      </w:r>
      <w:r w:rsidR="00DC4944" w:rsidRPr="003B74E0">
        <w:rPr>
          <w:u w:val="single"/>
          <w:lang w:bidi="en-GB"/>
        </w:rPr>
        <w:t>Board of Directors</w:t>
      </w:r>
      <w:r w:rsidRPr="003B74E0">
        <w:rPr>
          <w:u w:val="single"/>
          <w:lang w:bidi="en-GB"/>
        </w:rPr>
        <w:t xml:space="preserve"> express</w:t>
      </w:r>
      <w:r w:rsidR="00D27F02" w:rsidRPr="003B74E0">
        <w:rPr>
          <w:u w:val="single"/>
          <w:lang w:bidi="en-GB"/>
        </w:rPr>
        <w:t>es</w:t>
      </w:r>
      <w:r w:rsidRPr="003B74E0">
        <w:rPr>
          <w:u w:val="single"/>
          <w:lang w:bidi="en-GB"/>
        </w:rPr>
        <w:t xml:space="preserve"> the following </w:t>
      </w:r>
      <w:r w:rsidR="0018131F" w:rsidRPr="003B74E0">
        <w:rPr>
          <w:u w:val="single"/>
          <w:lang w:bidi="en-GB"/>
        </w:rPr>
        <w:t xml:space="preserve">regarding </w:t>
      </w:r>
      <w:r w:rsidR="000A0B9F" w:rsidRPr="003B74E0">
        <w:rPr>
          <w:u w:val="single"/>
          <w:lang w:bidi="en-GB"/>
        </w:rPr>
        <w:t>the Offeror</w:t>
      </w:r>
      <w:r w:rsidRPr="003B74E0">
        <w:rPr>
          <w:u w:val="single"/>
          <w:lang w:bidi="en-GB"/>
        </w:rPr>
        <w:t>'s so stated intentions:</w:t>
      </w:r>
    </w:p>
    <w:p w14:paraId="12188A42" w14:textId="085C596C" w:rsidR="00743404" w:rsidRDefault="00743404" w:rsidP="00743404">
      <w:pPr>
        <w:pStyle w:val="DSBodyTextIndent1"/>
        <w:jc w:val="both"/>
      </w:pPr>
      <w:r w:rsidRPr="00C32E4F">
        <w:t>The Board of Directors notes the Offeror’s stated intention that any distributions within the first 12 months following Completion will be determined solely at the Offeror’s discretion, subject to applicable law, and may be lower than the indicated maximum amounts</w:t>
      </w:r>
      <w:r w:rsidR="00825F5E">
        <w:t xml:space="preserve"> - </w:t>
      </w:r>
      <w:r w:rsidRPr="00C32E4F">
        <w:t>or may not occur at all.</w:t>
      </w:r>
    </w:p>
    <w:p w14:paraId="57334814" w14:textId="77777777" w:rsidR="00825F5E" w:rsidRPr="00C32E4F" w:rsidRDefault="00825F5E" w:rsidP="00C32E4F">
      <w:pPr>
        <w:pStyle w:val="DSBodyTextIndent1"/>
        <w:jc w:val="both"/>
      </w:pPr>
    </w:p>
    <w:p w14:paraId="4D7E8F1B" w14:textId="4134FF87" w:rsidR="002A441E" w:rsidRPr="00C32E4F" w:rsidRDefault="00743404" w:rsidP="00C32E4F">
      <w:pPr>
        <w:pStyle w:val="DSBodyTextIndent1"/>
        <w:jc w:val="both"/>
      </w:pPr>
      <w:r w:rsidRPr="00C32E4F">
        <w:t xml:space="preserve">The Board </w:t>
      </w:r>
      <w:r w:rsidR="004A6F6A">
        <w:t xml:space="preserve">of Directors </w:t>
      </w:r>
      <w:r w:rsidRPr="00C32E4F">
        <w:t>has no further insight into the Offeror’s specific intentions regarding distributions following Completion, but has no reason to believe that any such distributions, if made, would contravene applicable Danish law or be adverse to the Company’s business and strategy.</w:t>
      </w:r>
    </w:p>
    <w:p w14:paraId="3F09F694" w14:textId="2D7D3E7B" w:rsidR="00C409D1" w:rsidRPr="003B74E0" w:rsidRDefault="00F6113D" w:rsidP="00A05058">
      <w:pPr>
        <w:pStyle w:val="Heading4"/>
        <w:jc w:val="both"/>
      </w:pPr>
      <w:bookmarkStart w:id="113" w:name="_Toc218590573"/>
      <w:r w:rsidRPr="003B74E0">
        <w:t>T</w:t>
      </w:r>
      <w:r w:rsidR="000A0B9F" w:rsidRPr="003B74E0">
        <w:t>he Offeror</w:t>
      </w:r>
      <w:r w:rsidR="00294830" w:rsidRPr="003B74E0">
        <w:t>'s</w:t>
      </w:r>
      <w:r w:rsidR="00C409D1" w:rsidRPr="003B74E0">
        <w:t xml:space="preserve"> </w:t>
      </w:r>
      <w:r w:rsidR="00AF7608" w:rsidRPr="003B74E0">
        <w:t>i</w:t>
      </w:r>
      <w:r w:rsidR="00C409D1" w:rsidRPr="003B74E0">
        <w:t xml:space="preserve">ntentions regarding Compulsory </w:t>
      </w:r>
      <w:bookmarkEnd w:id="108"/>
      <w:bookmarkEnd w:id="112"/>
      <w:r w:rsidR="0087111F">
        <w:t>Acquisition</w:t>
      </w:r>
      <w:bookmarkEnd w:id="113"/>
    </w:p>
    <w:p w14:paraId="7C456108" w14:textId="792772E0" w:rsidR="00C409D1" w:rsidRPr="003B74E0" w:rsidRDefault="00C409D1" w:rsidP="00A05058">
      <w:pPr>
        <w:pStyle w:val="DSBodyTextIndent1"/>
        <w:jc w:val="both"/>
      </w:pPr>
      <w:r w:rsidRPr="003B74E0">
        <w:t xml:space="preserve">In the Offer Document, </w:t>
      </w:r>
      <w:r w:rsidR="000A0B9F" w:rsidRPr="003B74E0">
        <w:t>the Offeror</w:t>
      </w:r>
      <w:r w:rsidRPr="003B74E0">
        <w:t xml:space="preserve"> has made the following statement regarding a compulsory </w:t>
      </w:r>
      <w:r w:rsidR="002F073E" w:rsidRPr="003B74E0">
        <w:t xml:space="preserve">acquisition </w:t>
      </w:r>
      <w:r w:rsidRPr="003B74E0">
        <w:t>of the Company's minority Shareholders following Completion of the Offer:</w:t>
      </w:r>
    </w:p>
    <w:p w14:paraId="0CA864DF" w14:textId="77777777" w:rsidR="00C409D1" w:rsidRPr="003B74E0" w:rsidRDefault="00C409D1" w:rsidP="00A05058">
      <w:pPr>
        <w:pStyle w:val="DSBodyTextIndent1"/>
        <w:jc w:val="both"/>
      </w:pPr>
    </w:p>
    <w:p w14:paraId="702ED196" w14:textId="57F49545" w:rsidR="006424FB" w:rsidRPr="006424FB" w:rsidRDefault="00E154A9" w:rsidP="006424FB">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w:t>
      </w:r>
      <w:r w:rsidR="006424FB" w:rsidRPr="006424FB">
        <w:rPr>
          <w:rFonts w:ascii="Arial" w:eastAsiaTheme="minorHAnsi" w:hAnsi="Arial" w:cstheme="minorBidi"/>
          <w:i/>
          <w:iCs/>
          <w:sz w:val="18"/>
          <w:lang w:eastAsia="en-US" w:bidi="en-GB"/>
        </w:rPr>
        <w:t>If, after Completion, the Offeror holds the requisite number of Shares under the Danish Companies Act (more than ninety (90) per cent of the Shares and the attaching voting rights, not including any Treasury Shares), the Offeror intends to initiate and complete a compulsory acquisition of any remaining Shares held by Shareholders other than the Offeror and the Company upon Completion in accordance with the Danish Companies Act and the VP Rule Book (a “</w:t>
      </w:r>
      <w:r w:rsidR="006424FB" w:rsidRPr="006424FB">
        <w:rPr>
          <w:rFonts w:ascii="Arial" w:eastAsiaTheme="minorHAnsi" w:hAnsi="Arial" w:cstheme="minorBidi"/>
          <w:b/>
          <w:bCs/>
          <w:i/>
          <w:iCs/>
          <w:sz w:val="18"/>
          <w:lang w:eastAsia="en-US" w:bidi="en-GB"/>
        </w:rPr>
        <w:t>Compulsory Acquisition</w:t>
      </w:r>
      <w:r w:rsidR="006424FB" w:rsidRPr="006424FB">
        <w:rPr>
          <w:rFonts w:ascii="Arial" w:eastAsiaTheme="minorHAnsi" w:hAnsi="Arial" w:cstheme="minorBidi"/>
          <w:i/>
          <w:iCs/>
          <w:sz w:val="18"/>
          <w:lang w:eastAsia="en-US" w:bidi="en-GB"/>
        </w:rPr>
        <w:t>”).</w:t>
      </w:r>
    </w:p>
    <w:p w14:paraId="4F2B5D81" w14:textId="5FCB3089" w:rsidR="006424FB" w:rsidRPr="006424FB" w:rsidRDefault="006424FB" w:rsidP="006424FB">
      <w:pPr>
        <w:pStyle w:val="BrdtekstMedIndryk"/>
        <w:ind w:left="1304"/>
        <w:jc w:val="both"/>
        <w:rPr>
          <w:rFonts w:ascii="Arial" w:eastAsiaTheme="minorHAnsi" w:hAnsi="Arial" w:cstheme="minorBidi"/>
          <w:i/>
          <w:iCs/>
          <w:sz w:val="18"/>
          <w:lang w:eastAsia="en-US" w:bidi="en-GB"/>
        </w:rPr>
      </w:pPr>
      <w:r w:rsidRPr="006424FB">
        <w:rPr>
          <w:rFonts w:ascii="Arial" w:eastAsiaTheme="minorHAnsi" w:hAnsi="Arial" w:cstheme="minorBidi"/>
          <w:i/>
          <w:iCs/>
          <w:sz w:val="18"/>
          <w:lang w:eastAsia="en-US" w:bidi="en-GB"/>
        </w:rPr>
        <w:t>Pursuant to applicable Laws governing the Compulsory Acquisition, the Offeror will Publish a notice through the IT system of the Danish Business Authority to all remaining Shareholders, which notification will contain information on the Compulsory Acquisition, including the redemption price, the basis for calculation thereof and a statement from the Board on the terms and conditions for the Compulsory Acquisition by the Offeror. Pursuant to the notification, all remaining shareholders are entitled for a four (4) week period to transfer their Shares to the Offeror.</w:t>
      </w:r>
    </w:p>
    <w:p w14:paraId="4DAEFB00" w14:textId="42196E3B" w:rsidR="006424FB" w:rsidRPr="006424FB" w:rsidRDefault="006424FB" w:rsidP="006424FB">
      <w:pPr>
        <w:pStyle w:val="BrdtekstMedIndryk"/>
        <w:ind w:left="1304"/>
        <w:jc w:val="both"/>
        <w:rPr>
          <w:rFonts w:ascii="Arial" w:eastAsiaTheme="minorHAnsi" w:hAnsi="Arial" w:cstheme="minorBidi"/>
          <w:i/>
          <w:iCs/>
          <w:sz w:val="18"/>
          <w:lang w:eastAsia="en-US" w:bidi="en-GB"/>
        </w:rPr>
      </w:pPr>
      <w:r w:rsidRPr="006424FB">
        <w:rPr>
          <w:rFonts w:ascii="Arial" w:eastAsiaTheme="minorHAnsi" w:hAnsi="Arial" w:cstheme="minorBidi"/>
          <w:i/>
          <w:iCs/>
          <w:sz w:val="18"/>
          <w:lang w:eastAsia="en-US" w:bidi="en-GB"/>
        </w:rPr>
        <w:t>To the extent the remaining Shareholders have not transferred their Shares to the Offeror during such four (4) week period, the Offeror will compulsorily redeem the non</w:t>
      </w:r>
      <w:r w:rsidR="004C7EF0">
        <w:rPr>
          <w:rFonts w:ascii="Arial" w:eastAsiaTheme="minorHAnsi" w:hAnsi="Arial" w:cstheme="minorBidi"/>
          <w:i/>
          <w:iCs/>
          <w:sz w:val="18"/>
          <w:lang w:eastAsia="en-US" w:bidi="en-GB"/>
        </w:rPr>
        <w:t>-</w:t>
      </w:r>
      <w:r w:rsidRPr="006424FB">
        <w:rPr>
          <w:rFonts w:ascii="Arial" w:eastAsiaTheme="minorHAnsi" w:hAnsi="Arial" w:cstheme="minorBidi"/>
          <w:i/>
          <w:iCs/>
          <w:sz w:val="18"/>
          <w:lang w:eastAsia="en-US" w:bidi="en-GB"/>
        </w:rPr>
        <w:t>transferred Shares through Euronext Securities Copenhagen for a cash consideration corresponding to the redemption price applicable to the Compulsory Acquisition, which is expected to correspond to the Offer Price. Thereafter, a notice to the now former Shareholders will be Published through the IT systems of the Danish Business Authority with information on the completion of the Compulsory Acquisition.</w:t>
      </w:r>
    </w:p>
    <w:p w14:paraId="4CE0005F" w14:textId="1F2ABDFA" w:rsidR="006424FB" w:rsidRPr="006424FB" w:rsidRDefault="006424FB" w:rsidP="006424FB">
      <w:pPr>
        <w:pStyle w:val="BrdtekstMedIndryk"/>
        <w:ind w:left="1304"/>
        <w:jc w:val="both"/>
        <w:rPr>
          <w:rFonts w:ascii="Arial" w:eastAsiaTheme="minorHAnsi" w:hAnsi="Arial" w:cstheme="minorBidi"/>
          <w:i/>
          <w:iCs/>
          <w:sz w:val="18"/>
          <w:lang w:eastAsia="en-US" w:bidi="en-GB"/>
        </w:rPr>
      </w:pPr>
      <w:r w:rsidRPr="006424FB">
        <w:rPr>
          <w:rFonts w:ascii="Arial" w:eastAsiaTheme="minorHAnsi" w:hAnsi="Arial" w:cstheme="minorBidi"/>
          <w:i/>
          <w:iCs/>
          <w:sz w:val="18"/>
          <w:lang w:eastAsia="en-US" w:bidi="en-GB"/>
        </w:rPr>
        <w:t>The redemption price in a Compulsory Acquisition (the “</w:t>
      </w:r>
      <w:r w:rsidRPr="006424FB">
        <w:rPr>
          <w:rFonts w:ascii="Arial" w:eastAsiaTheme="minorHAnsi" w:hAnsi="Arial" w:cstheme="minorBidi"/>
          <w:b/>
          <w:bCs/>
          <w:i/>
          <w:iCs/>
          <w:sz w:val="18"/>
          <w:lang w:eastAsia="en-US" w:bidi="en-GB"/>
        </w:rPr>
        <w:t>Compulsory Acquisition Consideration</w:t>
      </w:r>
      <w:r w:rsidRPr="006424FB">
        <w:rPr>
          <w:rFonts w:ascii="Arial" w:eastAsiaTheme="minorHAnsi" w:hAnsi="Arial" w:cstheme="minorBidi"/>
          <w:i/>
          <w:iCs/>
          <w:sz w:val="18"/>
          <w:lang w:eastAsia="en-US" w:bidi="en-GB"/>
        </w:rPr>
        <w:t xml:space="preserve">”), initiated within three (3) months after the expiry of the Offer Period is not subject to challenge in court proceedings by </w:t>
      </w:r>
      <w:r w:rsidRPr="006424FB">
        <w:rPr>
          <w:rFonts w:ascii="Arial" w:eastAsiaTheme="minorHAnsi" w:hAnsi="Arial" w:cstheme="minorBidi"/>
          <w:i/>
          <w:iCs/>
          <w:sz w:val="18"/>
          <w:lang w:eastAsia="en-US" w:bidi="en-GB"/>
        </w:rPr>
        <w:lastRenderedPageBreak/>
        <w:t>Shareholders that have had their Shares redeemed by the Offeror in the Compulsory Acquisition (the “</w:t>
      </w:r>
      <w:r w:rsidRPr="006424FB">
        <w:rPr>
          <w:rFonts w:ascii="Arial" w:eastAsiaTheme="minorHAnsi" w:hAnsi="Arial" w:cstheme="minorBidi"/>
          <w:b/>
          <w:bCs/>
          <w:i/>
          <w:iCs/>
          <w:sz w:val="18"/>
          <w:lang w:eastAsia="en-US" w:bidi="en-GB"/>
        </w:rPr>
        <w:t>Squeezed-out Shareholders</w:t>
      </w:r>
      <w:r w:rsidRPr="006424FB">
        <w:rPr>
          <w:rFonts w:ascii="Arial" w:eastAsiaTheme="minorHAnsi" w:hAnsi="Arial" w:cstheme="minorBidi"/>
          <w:i/>
          <w:iCs/>
          <w:sz w:val="18"/>
          <w:lang w:eastAsia="en-US" w:bidi="en-GB"/>
        </w:rPr>
        <w:t>”), provided that the Offeror through the Offer acquired more than ninety (90) per cent of the Shares in the Offer). Therefore, in such case, the Compulsory Acquisition Consideration will correspond to the Offer Price.</w:t>
      </w:r>
    </w:p>
    <w:p w14:paraId="487B2064" w14:textId="431531F8" w:rsidR="006424FB" w:rsidRPr="006424FB" w:rsidRDefault="006424FB" w:rsidP="006424FB">
      <w:pPr>
        <w:pStyle w:val="BrdtekstMedIndryk"/>
        <w:ind w:left="1304"/>
        <w:jc w:val="both"/>
        <w:rPr>
          <w:rFonts w:ascii="Arial" w:eastAsiaTheme="minorHAnsi" w:hAnsi="Arial" w:cstheme="minorBidi"/>
          <w:i/>
          <w:iCs/>
          <w:sz w:val="18"/>
          <w:lang w:eastAsia="en-US" w:bidi="en-GB"/>
        </w:rPr>
      </w:pPr>
      <w:r w:rsidRPr="006424FB">
        <w:rPr>
          <w:rFonts w:ascii="Arial" w:eastAsiaTheme="minorHAnsi" w:hAnsi="Arial" w:cstheme="minorBidi"/>
          <w:i/>
          <w:iCs/>
          <w:sz w:val="18"/>
          <w:lang w:eastAsia="en-US" w:bidi="en-GB"/>
        </w:rPr>
        <w:t>If the Compulsory Acquisition is initiated later than three (3) months after the end of the Offer Period, or if the Offeror initiates the Compulsory Acquisition without having acquired more than ninety (90) per cent of the Shares in the Offer, Squeezed-out Shareholders could challenge the Compulsory Acquisition Consideration in court proceedings in Denmark. Any such proceedings will not affect the completion and settlement of the Compulsory Acquisition because a challenge to the Compulsory Acquisition Consideration does not affect the transfer of legal title to shares subject to a Compulsory Acquisition , i.e. if a Squeezed-out Shareholder challenges the Compulsory Acquisition Consideration in the Danish courts (if entitled thereto), such challenge will not delay or otherwise impede the mandatory acquisition of the remaining Shares under the Compulsory Acquisition .</w:t>
      </w:r>
    </w:p>
    <w:p w14:paraId="617C72FA" w14:textId="647A4E28" w:rsidR="00524188" w:rsidRPr="003B74E0" w:rsidRDefault="006424FB" w:rsidP="006424FB">
      <w:pPr>
        <w:pStyle w:val="BrdtekstMedIndryk"/>
        <w:ind w:left="1304"/>
        <w:jc w:val="both"/>
        <w:rPr>
          <w:rFonts w:ascii="Arial" w:eastAsiaTheme="minorHAnsi" w:hAnsi="Arial" w:cstheme="minorBidi"/>
          <w:i/>
          <w:iCs/>
          <w:sz w:val="18"/>
          <w:lang w:eastAsia="en-US" w:bidi="en-GB"/>
        </w:rPr>
      </w:pPr>
      <w:r w:rsidRPr="006424FB">
        <w:rPr>
          <w:rFonts w:ascii="Arial" w:eastAsiaTheme="minorHAnsi" w:hAnsi="Arial" w:cstheme="minorBidi"/>
          <w:i/>
          <w:iCs/>
          <w:sz w:val="18"/>
          <w:lang w:eastAsia="en-US" w:bidi="en-GB"/>
        </w:rPr>
        <w:t>If as a result of the Offer, the Offeror does not acquire more than ninety (90) per cent of the Shares in the Offer, the Offeror will not be entitled to compulsorily redeem the remaining Shareholders but may, subject to applicable Law, be able to do so subsequently, if the Offeror increases its shareholding in the Company to more than ninety (90) per cent of the aggregate issued share capital and voting rights of the Company (excluding Treasury Shares), including as a result of any measures and/or transactions referenced in section 8.1 (Background to the Offer and strategic plans). In such case, the Compulsory Acquisition Consideration will not necessarily correspond to the Offer Price.</w:t>
      </w:r>
      <w:r w:rsidR="00E154A9" w:rsidRPr="003B74E0">
        <w:rPr>
          <w:rFonts w:ascii="Arial" w:eastAsiaTheme="minorHAnsi" w:hAnsi="Arial" w:cstheme="minorBidi"/>
          <w:i/>
          <w:iCs/>
          <w:sz w:val="18"/>
          <w:lang w:eastAsia="en-US" w:bidi="en-GB"/>
        </w:rPr>
        <w:t>"</w:t>
      </w:r>
    </w:p>
    <w:p w14:paraId="0557BBE0" w14:textId="77777777" w:rsidR="00E154A9" w:rsidRPr="002126AB" w:rsidRDefault="00E154A9" w:rsidP="002126AB"/>
    <w:p w14:paraId="347E1321" w14:textId="379D4101" w:rsidR="00C409D1" w:rsidRPr="003B74E0" w:rsidRDefault="00362081" w:rsidP="00A05058">
      <w:pPr>
        <w:pStyle w:val="DSBodyTextIndent1"/>
        <w:jc w:val="both"/>
        <w:rPr>
          <w:u w:val="single"/>
          <w:lang w:bidi="en-GB"/>
        </w:rPr>
      </w:pPr>
      <w:r w:rsidRPr="00362081">
        <w:rPr>
          <w:u w:val="single"/>
          <w:lang w:bidi="en-GB"/>
        </w:rPr>
        <w:t>The Board of Directors expresses the following regarding the Offeror's so stated intentions</w:t>
      </w:r>
      <w:r w:rsidR="00C409D1" w:rsidRPr="003B74E0">
        <w:rPr>
          <w:u w:val="single"/>
          <w:lang w:bidi="en-GB"/>
        </w:rPr>
        <w:t>:</w:t>
      </w:r>
    </w:p>
    <w:p w14:paraId="268D044A" w14:textId="087664AD" w:rsidR="00423546" w:rsidRPr="003B74E0" w:rsidRDefault="00DB632D" w:rsidP="00A05058">
      <w:pPr>
        <w:pStyle w:val="DSBodyTextIndent1"/>
        <w:jc w:val="both"/>
        <w:rPr>
          <w:lang w:bidi="en-GB"/>
        </w:rPr>
      </w:pPr>
      <w:r>
        <w:rPr>
          <w:lang w:bidi="en-GB"/>
        </w:rPr>
        <w:t xml:space="preserve">The Board of Directors acknowledges and finds it to be expected and natural that the Offeror carries out a compulsory </w:t>
      </w:r>
      <w:r w:rsidR="005E7FE9">
        <w:rPr>
          <w:lang w:bidi="en-GB"/>
        </w:rPr>
        <w:t>acquisition</w:t>
      </w:r>
      <w:r>
        <w:rPr>
          <w:lang w:bidi="en-GB"/>
        </w:rPr>
        <w:t xml:space="preserve"> of the minority Shares following Completion of the Offer, if the conditions set out in the Companies Act are fulfilled.</w:t>
      </w:r>
    </w:p>
    <w:p w14:paraId="0D81386A" w14:textId="11810FDB" w:rsidR="00C409D1" w:rsidRPr="003B74E0" w:rsidRDefault="00F6113D" w:rsidP="00A05058">
      <w:pPr>
        <w:pStyle w:val="Heading4"/>
        <w:jc w:val="both"/>
      </w:pPr>
      <w:bookmarkStart w:id="114" w:name="_Ref506992035"/>
      <w:bookmarkStart w:id="115" w:name="_Toc194440331"/>
      <w:bookmarkStart w:id="116" w:name="_Toc218590574"/>
      <w:r w:rsidRPr="003B74E0">
        <w:t>T</w:t>
      </w:r>
      <w:r w:rsidR="000A0B9F" w:rsidRPr="003B74E0">
        <w:t>he Offeror</w:t>
      </w:r>
      <w:r w:rsidR="0062748D" w:rsidRPr="003B74E0">
        <w:t>'s</w:t>
      </w:r>
      <w:r w:rsidR="00C409D1" w:rsidRPr="003B74E0">
        <w:t xml:space="preserve"> </w:t>
      </w:r>
      <w:r w:rsidR="00AF7608" w:rsidRPr="003B74E0">
        <w:t>i</w:t>
      </w:r>
      <w:r w:rsidR="00C409D1" w:rsidRPr="003B74E0">
        <w:t>ntentions regarding Delisting</w:t>
      </w:r>
      <w:bookmarkEnd w:id="114"/>
      <w:bookmarkEnd w:id="115"/>
      <w:bookmarkEnd w:id="116"/>
    </w:p>
    <w:p w14:paraId="2DA51C53" w14:textId="56CF0114" w:rsidR="00F6113D" w:rsidRPr="003B74E0" w:rsidRDefault="00C409D1" w:rsidP="00AC6AA4">
      <w:pPr>
        <w:pStyle w:val="DSBodyTextIndent1"/>
        <w:jc w:val="both"/>
      </w:pPr>
      <w:r w:rsidRPr="003B74E0">
        <w:t xml:space="preserve">In the Offer Document, </w:t>
      </w:r>
      <w:r w:rsidR="000A0B9F" w:rsidRPr="003B74E0">
        <w:t>the Offeror</w:t>
      </w:r>
      <w:r w:rsidRPr="003B74E0">
        <w:t xml:space="preserve"> has made the following statement regarding a</w:t>
      </w:r>
      <w:r w:rsidR="00E80955" w:rsidRPr="003B74E0">
        <w:t xml:space="preserve"> </w:t>
      </w:r>
      <w:r w:rsidRPr="003B74E0">
        <w:t>delisting of the Shares from Nasdaq Copenhagen following Completion of the Offer:</w:t>
      </w:r>
    </w:p>
    <w:p w14:paraId="7C0AB20E" w14:textId="77777777" w:rsidR="002C5A85" w:rsidRPr="003B74E0" w:rsidRDefault="002C5A85" w:rsidP="00AC6AA4">
      <w:pPr>
        <w:pStyle w:val="DSBodyTextIndent1"/>
        <w:jc w:val="both"/>
        <w:rPr>
          <w:lang w:bidi="en-GB"/>
        </w:rPr>
      </w:pPr>
    </w:p>
    <w:p w14:paraId="61F12FEC" w14:textId="7E42914A" w:rsidR="00843559" w:rsidRPr="003B74E0" w:rsidRDefault="00843559" w:rsidP="00843559">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 xml:space="preserve">"If, after Completion, the Offeror holds the requisite number of Shares required pursuant to Danish Law (the Offeror either having the option of securing full ownership of the Company by way of a Compulsory </w:t>
      </w:r>
      <w:r w:rsidR="0087111F">
        <w:rPr>
          <w:rFonts w:ascii="Arial" w:eastAsiaTheme="minorHAnsi" w:hAnsi="Arial" w:cstheme="minorBidi"/>
          <w:i/>
          <w:iCs/>
          <w:sz w:val="18"/>
          <w:lang w:eastAsia="en-US" w:bidi="en-GB"/>
        </w:rPr>
        <w:t>Acquisition</w:t>
      </w:r>
      <w:r w:rsidRPr="003B74E0">
        <w:rPr>
          <w:rFonts w:ascii="Arial" w:eastAsiaTheme="minorHAnsi" w:hAnsi="Arial" w:cstheme="minorBidi"/>
          <w:i/>
          <w:iCs/>
          <w:sz w:val="18"/>
          <w:lang w:eastAsia="en-US" w:bidi="en-GB"/>
        </w:rPr>
        <w:t xml:space="preserve"> or holding more than ninety (90) per cent of the Shares and the attaching voting rights, not including any Treasury Shares, present or represented at a general meeting resolving on the proposal to remove the Company from trading and official listing on Nasdaq Copenhagen), the Offeror intends to seek to have the Shares removed from trading and official listing on Nasdaq Copenhagen at an appropriate time following Completion. If delisting is achieved, the Offeror will in due course initiate amendments to the articles of association of the Company to reflect that the Company is no longer listed on Nasdaq Copenhagen in which case the Shareholders would no longer benefit from the increased reporting duties required as long as the Company is admitted to trading on a regulated market.</w:t>
      </w:r>
    </w:p>
    <w:p w14:paraId="660D20D8" w14:textId="6F6E871F" w:rsidR="00524188" w:rsidRDefault="00843559" w:rsidP="00843559">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 xml:space="preserve">It is expected that the Shares will remain registered with Euronext Securities Copenhagen until a Compulsory </w:t>
      </w:r>
      <w:r w:rsidR="0087111F">
        <w:rPr>
          <w:rFonts w:ascii="Arial" w:eastAsiaTheme="minorHAnsi" w:hAnsi="Arial" w:cstheme="minorBidi"/>
          <w:i/>
          <w:iCs/>
          <w:sz w:val="18"/>
          <w:lang w:eastAsia="en-US" w:bidi="en-GB"/>
        </w:rPr>
        <w:t>Acquisition</w:t>
      </w:r>
      <w:r w:rsidRPr="003B74E0">
        <w:rPr>
          <w:rFonts w:ascii="Arial" w:eastAsiaTheme="minorHAnsi" w:hAnsi="Arial" w:cstheme="minorBidi"/>
          <w:i/>
          <w:iCs/>
          <w:sz w:val="18"/>
          <w:lang w:eastAsia="en-US" w:bidi="en-GB"/>
        </w:rPr>
        <w:t xml:space="preserve"> has been completed."</w:t>
      </w:r>
    </w:p>
    <w:p w14:paraId="5644D2A5" w14:textId="77777777" w:rsidR="00CE4CCE" w:rsidRPr="00CE4CCE" w:rsidRDefault="00CE4CCE" w:rsidP="00CE4CCE"/>
    <w:p w14:paraId="2947DF05" w14:textId="3EA4A6F5" w:rsidR="00C409D1" w:rsidRPr="003B74E0" w:rsidRDefault="00362081" w:rsidP="00A05058">
      <w:pPr>
        <w:pStyle w:val="DSBodyTextIndent1"/>
        <w:jc w:val="both"/>
        <w:rPr>
          <w:u w:val="single"/>
          <w:lang w:bidi="en-GB"/>
        </w:rPr>
      </w:pPr>
      <w:r w:rsidRPr="00362081">
        <w:rPr>
          <w:u w:val="single"/>
          <w:lang w:bidi="en-GB"/>
        </w:rPr>
        <w:lastRenderedPageBreak/>
        <w:t>The Board of Directors expresses the following regarding the Offeror's so stated intentions</w:t>
      </w:r>
      <w:r w:rsidR="00C409D1" w:rsidRPr="003B74E0">
        <w:rPr>
          <w:u w:val="single"/>
          <w:lang w:bidi="en-GB"/>
        </w:rPr>
        <w:t>:</w:t>
      </w:r>
    </w:p>
    <w:p w14:paraId="45437BFD" w14:textId="3210C9E9" w:rsidR="00C409D1" w:rsidRPr="003B74E0" w:rsidRDefault="00C409D1" w:rsidP="00A05058">
      <w:pPr>
        <w:pStyle w:val="DSBodyTextIndent1"/>
        <w:jc w:val="both"/>
        <w:rPr>
          <w:lang w:bidi="en-GB"/>
        </w:rPr>
      </w:pPr>
      <w:r w:rsidRPr="003B74E0">
        <w:rPr>
          <w:lang w:bidi="en-GB"/>
        </w:rPr>
        <w:t xml:space="preserve">The </w:t>
      </w:r>
      <w:r w:rsidR="00B86488" w:rsidRPr="003B74E0">
        <w:rPr>
          <w:lang w:bidi="en-GB"/>
        </w:rPr>
        <w:t>Board of Directors</w:t>
      </w:r>
      <w:r w:rsidRPr="003B74E0">
        <w:rPr>
          <w:lang w:bidi="en-GB"/>
        </w:rPr>
        <w:t xml:space="preserve"> acknowledge</w:t>
      </w:r>
      <w:r w:rsidR="001325B1" w:rsidRPr="003B74E0">
        <w:rPr>
          <w:lang w:bidi="en-GB"/>
        </w:rPr>
        <w:t>s</w:t>
      </w:r>
      <w:r w:rsidRPr="003B74E0">
        <w:rPr>
          <w:lang w:bidi="en-GB"/>
        </w:rPr>
        <w:t xml:space="preserve"> and find</w:t>
      </w:r>
      <w:r w:rsidR="001325B1" w:rsidRPr="003B74E0">
        <w:rPr>
          <w:lang w:bidi="en-GB"/>
        </w:rPr>
        <w:t>s</w:t>
      </w:r>
      <w:r w:rsidRPr="003B74E0">
        <w:rPr>
          <w:lang w:bidi="en-GB"/>
        </w:rPr>
        <w:t xml:space="preserve"> it to be expected and natural that </w:t>
      </w:r>
      <w:r w:rsidR="000A0B9F" w:rsidRPr="003B74E0">
        <w:rPr>
          <w:lang w:bidi="en-GB"/>
        </w:rPr>
        <w:t>the Offeror</w:t>
      </w:r>
      <w:r w:rsidRPr="003B74E0">
        <w:rPr>
          <w:lang w:bidi="en-GB"/>
        </w:rPr>
        <w:t xml:space="preserve"> will seek to have the Shares removed from trading and official listing on Nasdaq Copenhagen if the requirements provided for under Nasdaq Copenhagen's rules and regulations</w:t>
      </w:r>
      <w:r w:rsidR="004806CB" w:rsidRPr="003B74E0">
        <w:rPr>
          <w:lang w:bidi="en-GB"/>
        </w:rPr>
        <w:t xml:space="preserve"> </w:t>
      </w:r>
      <w:r w:rsidRPr="003B74E0">
        <w:rPr>
          <w:lang w:bidi="en-GB"/>
        </w:rPr>
        <w:t xml:space="preserve">are fulfilled. </w:t>
      </w:r>
    </w:p>
    <w:p w14:paraId="48F86317" w14:textId="379A1EDA" w:rsidR="00C409D1" w:rsidRPr="003B74E0" w:rsidRDefault="00B33650" w:rsidP="00A05058">
      <w:pPr>
        <w:pStyle w:val="Heading4"/>
        <w:jc w:val="both"/>
      </w:pPr>
      <w:bookmarkStart w:id="117" w:name="_Toc194440332"/>
      <w:bookmarkStart w:id="118" w:name="_Toc218590575"/>
      <w:r w:rsidRPr="003B74E0">
        <w:t xml:space="preserve">The Offeror's </w:t>
      </w:r>
      <w:r>
        <w:t>f</w:t>
      </w:r>
      <w:r w:rsidR="00C409D1" w:rsidRPr="003B74E0">
        <w:t xml:space="preserve">inancing </w:t>
      </w:r>
      <w:bookmarkEnd w:id="117"/>
      <w:r w:rsidR="00C87080" w:rsidRPr="003B74E0">
        <w:rPr>
          <w:rFonts w:cs="Times New Roman"/>
        </w:rPr>
        <w:t xml:space="preserve">of </w:t>
      </w:r>
      <w:r w:rsidR="001E1FC9">
        <w:rPr>
          <w:rFonts w:cs="Times New Roman"/>
        </w:rPr>
        <w:t xml:space="preserve">the </w:t>
      </w:r>
      <w:r w:rsidR="00C87080" w:rsidRPr="003B74E0">
        <w:rPr>
          <w:rFonts w:cs="Times New Roman"/>
        </w:rPr>
        <w:t>Offer</w:t>
      </w:r>
      <w:bookmarkEnd w:id="118"/>
    </w:p>
    <w:p w14:paraId="6361F279" w14:textId="7299CDCF" w:rsidR="00C409D1" w:rsidRPr="003B74E0" w:rsidRDefault="00C409D1" w:rsidP="00A05058">
      <w:pPr>
        <w:pStyle w:val="DSBodyTextIndent1"/>
        <w:jc w:val="both"/>
      </w:pPr>
      <w:r w:rsidRPr="003B74E0">
        <w:t xml:space="preserve">In the Offer Document, </w:t>
      </w:r>
      <w:r w:rsidR="000A0B9F" w:rsidRPr="003B74E0">
        <w:t>the Offeror</w:t>
      </w:r>
      <w:r w:rsidRPr="003B74E0">
        <w:t xml:space="preserve"> has made the following statement regarding financing of the Offer</w:t>
      </w:r>
      <w:r w:rsidR="00471848" w:rsidRPr="003B74E0">
        <w:t>:</w:t>
      </w:r>
    </w:p>
    <w:p w14:paraId="27300A95" w14:textId="77777777" w:rsidR="00A56030" w:rsidRPr="003B74E0" w:rsidRDefault="00A56030" w:rsidP="00A05058">
      <w:pPr>
        <w:pStyle w:val="DSBodyTextIndent1"/>
        <w:jc w:val="both"/>
      </w:pPr>
    </w:p>
    <w:p w14:paraId="5BB9E522" w14:textId="2E9995B5" w:rsidR="00AF7608" w:rsidRPr="003B74E0" w:rsidRDefault="00AF7608" w:rsidP="00AF7608">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 xml:space="preserve">"The consideration for the Shares to be acquired on Completion of the Offer consists solely of a cash payment. The Offer is not subject to any financing qualifications and is fully financed. </w:t>
      </w:r>
    </w:p>
    <w:p w14:paraId="05982A9D" w14:textId="00259E7B" w:rsidR="00AF7608" w:rsidRPr="003B74E0" w:rsidRDefault="00A66420" w:rsidP="00AF7608">
      <w:pPr>
        <w:pStyle w:val="BrdtekstMedIndryk"/>
        <w:ind w:left="1304"/>
        <w:jc w:val="both"/>
        <w:rPr>
          <w:rFonts w:ascii="Arial" w:eastAsiaTheme="minorHAnsi" w:hAnsi="Arial" w:cstheme="minorBidi"/>
          <w:i/>
          <w:iCs/>
          <w:sz w:val="18"/>
          <w:lang w:eastAsia="en-US" w:bidi="en-GB"/>
        </w:rPr>
      </w:pPr>
      <w:r w:rsidRPr="00A66420">
        <w:rPr>
          <w:rFonts w:ascii="Arial" w:eastAsiaTheme="minorHAnsi" w:hAnsi="Arial" w:cstheme="minorBidi"/>
          <w:i/>
          <w:iCs/>
          <w:sz w:val="18"/>
          <w:lang w:eastAsia="en-US" w:bidi="en-GB"/>
        </w:rPr>
        <w:t>The Offeror’s parent company, Freudenberg SE, has committed to provide sufficient funds that secures all necessary financing of the consideration for all Shares to be acquired pursuant to the Offer and in a subsequent Compulsory Acquisition of any Shares in accordance with the Danish Companies Act to be carried out in continuation of the Offer at a price equal to the Offer Price, which commitment will be financed by Freudenberg SE entirely from its available cash and financing resources.</w:t>
      </w:r>
      <w:r w:rsidR="00AF7608" w:rsidRPr="003B74E0">
        <w:rPr>
          <w:rFonts w:ascii="Arial" w:eastAsiaTheme="minorHAnsi" w:hAnsi="Arial" w:cstheme="minorBidi"/>
          <w:i/>
          <w:iCs/>
          <w:sz w:val="18"/>
          <w:lang w:eastAsia="en-US" w:bidi="en-GB"/>
        </w:rPr>
        <w:t xml:space="preserve"> </w:t>
      </w:r>
    </w:p>
    <w:p w14:paraId="603771F9" w14:textId="74D871FB" w:rsidR="00524188" w:rsidRPr="003B74E0" w:rsidRDefault="00AF7608" w:rsidP="00AF7608">
      <w:pPr>
        <w:pStyle w:val="BrdtekstMedIndryk"/>
        <w:ind w:left="1304"/>
        <w:jc w:val="both"/>
        <w:rPr>
          <w:rFonts w:ascii="Arial" w:eastAsiaTheme="minorHAnsi" w:hAnsi="Arial" w:cstheme="minorBidi"/>
          <w:i/>
          <w:iCs/>
          <w:sz w:val="18"/>
          <w:lang w:eastAsia="en-US" w:bidi="en-GB"/>
        </w:rPr>
      </w:pPr>
      <w:r w:rsidRPr="003B74E0">
        <w:rPr>
          <w:rFonts w:ascii="Arial" w:eastAsiaTheme="minorHAnsi" w:hAnsi="Arial" w:cstheme="minorBidi"/>
          <w:i/>
          <w:iCs/>
          <w:sz w:val="18"/>
          <w:lang w:eastAsia="en-US" w:bidi="en-GB"/>
        </w:rPr>
        <w:t>Subject to the terms and conditions of the Announcement Agreement, the Offeror reserves the right to replace the financing arrangements described herein prior to or following Completion with other financing instruments or sources."</w:t>
      </w:r>
    </w:p>
    <w:p w14:paraId="421A5FD9" w14:textId="77777777" w:rsidR="00AF7608" w:rsidRPr="003B74E0" w:rsidRDefault="00AF7608" w:rsidP="00AF7608"/>
    <w:p w14:paraId="78056953" w14:textId="601CDC47" w:rsidR="00C409D1" w:rsidRPr="003B74E0" w:rsidRDefault="00362081" w:rsidP="00A05058">
      <w:pPr>
        <w:pStyle w:val="DSBodyTextIndent1"/>
        <w:jc w:val="both"/>
        <w:rPr>
          <w:u w:val="single"/>
          <w:lang w:bidi="en-GB"/>
        </w:rPr>
      </w:pPr>
      <w:r w:rsidRPr="00362081">
        <w:rPr>
          <w:u w:val="single"/>
          <w:lang w:bidi="en-GB"/>
        </w:rPr>
        <w:t>The Board of Directors expresses the following regarding the Offeror's so stated intentions</w:t>
      </w:r>
      <w:r w:rsidR="00C409D1" w:rsidRPr="003B74E0">
        <w:rPr>
          <w:u w:val="single"/>
          <w:lang w:bidi="en-GB"/>
        </w:rPr>
        <w:t>:</w:t>
      </w:r>
    </w:p>
    <w:p w14:paraId="02A69150" w14:textId="76EE4DDF" w:rsidR="00C409D1" w:rsidRDefault="0098733E" w:rsidP="00A05058">
      <w:pPr>
        <w:pStyle w:val="DSBodyTextIndent1"/>
        <w:jc w:val="both"/>
        <w:rPr>
          <w:lang w:bidi="en-GB"/>
        </w:rPr>
      </w:pPr>
      <w:r>
        <w:rPr>
          <w:lang w:bidi="en-GB"/>
        </w:rPr>
        <w:t xml:space="preserve">The Board of Directors </w:t>
      </w:r>
      <w:r w:rsidR="00C65857">
        <w:rPr>
          <w:lang w:bidi="en-GB"/>
        </w:rPr>
        <w:t xml:space="preserve">notes that the Offer is not subject to any financing </w:t>
      </w:r>
      <w:r w:rsidR="00E47FF7">
        <w:rPr>
          <w:lang w:bidi="en-GB"/>
        </w:rPr>
        <w:t xml:space="preserve">qualifications. </w:t>
      </w:r>
    </w:p>
    <w:p w14:paraId="19E3A43E" w14:textId="77777777" w:rsidR="00E47FF7" w:rsidRDefault="00E47FF7" w:rsidP="00A05058">
      <w:pPr>
        <w:pStyle w:val="DSBodyTextIndent1"/>
        <w:jc w:val="both"/>
        <w:rPr>
          <w:lang w:bidi="en-GB"/>
        </w:rPr>
      </w:pPr>
    </w:p>
    <w:p w14:paraId="4E64800E" w14:textId="1C62A622" w:rsidR="00E47FF7" w:rsidRPr="003B74E0" w:rsidRDefault="00E47FF7" w:rsidP="00A05058">
      <w:pPr>
        <w:pStyle w:val="DSBodyTextIndent1"/>
        <w:jc w:val="both"/>
        <w:rPr>
          <w:lang w:bidi="en-GB"/>
        </w:rPr>
      </w:pPr>
      <w:r>
        <w:rPr>
          <w:lang w:bidi="en-GB"/>
        </w:rPr>
        <w:t xml:space="preserve">The Board of Directors </w:t>
      </w:r>
      <w:r w:rsidR="005E4049">
        <w:rPr>
          <w:lang w:bidi="en-GB"/>
        </w:rPr>
        <w:t>also notes that the Offeror has provided</w:t>
      </w:r>
      <w:r w:rsidR="000A35F4">
        <w:rPr>
          <w:lang w:bidi="en-GB"/>
        </w:rPr>
        <w:t xml:space="preserve"> a </w:t>
      </w:r>
      <w:r w:rsidR="005E4049">
        <w:rPr>
          <w:lang w:bidi="en-GB"/>
        </w:rPr>
        <w:t xml:space="preserve">commitment </w:t>
      </w:r>
      <w:r w:rsidR="000A35F4">
        <w:rPr>
          <w:lang w:bidi="en-GB"/>
        </w:rPr>
        <w:t xml:space="preserve">letter </w:t>
      </w:r>
      <w:r w:rsidR="00BC6560">
        <w:rPr>
          <w:lang w:bidi="en-GB"/>
        </w:rPr>
        <w:t>from Freudenberg SE</w:t>
      </w:r>
      <w:r w:rsidR="005E4049">
        <w:rPr>
          <w:lang w:bidi="en-GB"/>
        </w:rPr>
        <w:t xml:space="preserve"> in connection with the Offer</w:t>
      </w:r>
      <w:r w:rsidR="00C36645">
        <w:rPr>
          <w:lang w:bidi="en-GB"/>
        </w:rPr>
        <w:t xml:space="preserve"> as well as documentation </w:t>
      </w:r>
      <w:r w:rsidR="005E4049">
        <w:rPr>
          <w:lang w:bidi="en-GB"/>
        </w:rPr>
        <w:t xml:space="preserve">of </w:t>
      </w:r>
      <w:r w:rsidR="0047360D">
        <w:rPr>
          <w:lang w:bidi="en-GB"/>
        </w:rPr>
        <w:t>Freudenberg SE's financial position, which has been reviewed by the Company's</w:t>
      </w:r>
      <w:r w:rsidR="005E4049">
        <w:rPr>
          <w:lang w:bidi="en-GB"/>
        </w:rPr>
        <w:t xml:space="preserve"> financial and legal advisers</w:t>
      </w:r>
      <w:r w:rsidR="009D6BCE">
        <w:rPr>
          <w:lang w:bidi="en-GB"/>
        </w:rPr>
        <w:t>. Based on this review, the Board of Directors considers the financing commitment</w:t>
      </w:r>
      <w:r w:rsidR="008F222C">
        <w:rPr>
          <w:lang w:bidi="en-GB"/>
        </w:rPr>
        <w:t xml:space="preserve"> from Freudenberg SE</w:t>
      </w:r>
      <w:r w:rsidR="009D6BCE">
        <w:rPr>
          <w:lang w:bidi="en-GB"/>
        </w:rPr>
        <w:t xml:space="preserve"> to </w:t>
      </w:r>
      <w:r w:rsidR="006B49AA">
        <w:rPr>
          <w:lang w:bidi="en-GB"/>
        </w:rPr>
        <w:t xml:space="preserve">be satisfactory, including to </w:t>
      </w:r>
      <w:r w:rsidR="009D6BCE">
        <w:rPr>
          <w:lang w:bidi="en-GB"/>
        </w:rPr>
        <w:t xml:space="preserve">have been provided on reasonable </w:t>
      </w:r>
      <w:r w:rsidR="008F222C">
        <w:rPr>
          <w:lang w:bidi="en-GB"/>
        </w:rPr>
        <w:t xml:space="preserve">and satisfactory </w:t>
      </w:r>
      <w:r w:rsidR="009D6BCE">
        <w:rPr>
          <w:lang w:bidi="en-GB"/>
        </w:rPr>
        <w:t>terms</w:t>
      </w:r>
      <w:r w:rsidR="008F222C">
        <w:rPr>
          <w:lang w:bidi="en-GB"/>
        </w:rPr>
        <w:t xml:space="preserve">. </w:t>
      </w:r>
    </w:p>
    <w:p w14:paraId="4B215CCA" w14:textId="77777777" w:rsidR="00C409D1" w:rsidRPr="003B74E0" w:rsidRDefault="00C409D1" w:rsidP="00A05058">
      <w:pPr>
        <w:pStyle w:val="Heading2"/>
        <w:jc w:val="both"/>
      </w:pPr>
      <w:bookmarkStart w:id="119" w:name="_Toc194440333"/>
      <w:bookmarkStart w:id="120" w:name="_Toc218590576"/>
      <w:bookmarkStart w:id="121" w:name="_Ref507418769"/>
      <w:bookmarkStart w:id="122" w:name="_Ref462404482"/>
      <w:r w:rsidRPr="003B74E0">
        <w:t>Terms and Conditions of the Offer other than the Offer Price</w:t>
      </w:r>
      <w:bookmarkEnd w:id="119"/>
      <w:bookmarkEnd w:id="120"/>
    </w:p>
    <w:p w14:paraId="527A8D61" w14:textId="507EDF57" w:rsidR="00F84F39" w:rsidRPr="003B74E0" w:rsidRDefault="00F84F39" w:rsidP="00F84F39">
      <w:pPr>
        <w:pStyle w:val="DSBodyTextIndent1"/>
        <w:jc w:val="both"/>
      </w:pPr>
      <w:bookmarkStart w:id="123" w:name="_Ref194070807"/>
      <w:bookmarkStart w:id="124" w:name="_Toc194440335"/>
      <w:bookmarkStart w:id="125" w:name="_Ref202799085"/>
      <w:r w:rsidRPr="003B74E0">
        <w:t xml:space="preserve">In the process leading up to the Offer, including during negotiations with the Offeror, the Board of Directors, in addition to focusing on securing the making of an offer to the Shareholders on attractive financial terms, also has focused on the Offer, if made, being made on terms which provide for sufficient certainty of completion as well as for a reasonable and customary ability for the Board of Directors to entertain any unsolicited competing offers or other alternative transactions and otherwise on terms and conditions which otherwise reflect market terms for voluntary recommended public takeover offers for companies listed on Nasdaq Copenhagen. </w:t>
      </w:r>
    </w:p>
    <w:p w14:paraId="428EB0AF" w14:textId="77777777" w:rsidR="00F84F39" w:rsidRPr="003B74E0" w:rsidRDefault="00F84F39" w:rsidP="00F84F39">
      <w:pPr>
        <w:pStyle w:val="DSBodyTextIndent1"/>
        <w:jc w:val="both"/>
      </w:pPr>
    </w:p>
    <w:p w14:paraId="771CF95F" w14:textId="4358B116" w:rsidR="00F84F39" w:rsidRPr="003B74E0" w:rsidRDefault="00F84F39" w:rsidP="00F84F39">
      <w:pPr>
        <w:pStyle w:val="DSBodyTextIndent1"/>
        <w:jc w:val="both"/>
      </w:pPr>
      <w:r w:rsidRPr="003B74E0">
        <w:rPr>
          <w:lang w:bidi="en-GB"/>
        </w:rPr>
        <w:t xml:space="preserve">Reference is made to the Offer Document for a detailed and binding description of the terms and conditions of the Offer. </w:t>
      </w:r>
    </w:p>
    <w:p w14:paraId="362E7DA8" w14:textId="77777777" w:rsidR="00C409D1" w:rsidRPr="003B74E0" w:rsidRDefault="00C409D1" w:rsidP="00A05058">
      <w:pPr>
        <w:pStyle w:val="Heading3"/>
        <w:jc w:val="both"/>
      </w:pPr>
      <w:bookmarkStart w:id="126" w:name="_Ref215698487"/>
      <w:bookmarkStart w:id="127" w:name="_Toc218590577"/>
      <w:r w:rsidRPr="003B74E0">
        <w:lastRenderedPageBreak/>
        <w:t>Certainty of Completion of the Offer</w:t>
      </w:r>
      <w:bookmarkEnd w:id="123"/>
      <w:bookmarkEnd w:id="124"/>
      <w:bookmarkEnd w:id="125"/>
      <w:bookmarkEnd w:id="126"/>
      <w:bookmarkEnd w:id="127"/>
    </w:p>
    <w:p w14:paraId="30128847" w14:textId="7F35B5A4" w:rsidR="00612942" w:rsidRDefault="009229BF" w:rsidP="009229BF">
      <w:pPr>
        <w:pStyle w:val="DSBodyTextIndent1"/>
        <w:jc w:val="both"/>
        <w:rPr>
          <w:lang w:bidi="en-GB"/>
        </w:rPr>
      </w:pPr>
      <w:bookmarkStart w:id="128" w:name="_Ref507156718"/>
      <w:bookmarkStart w:id="129" w:name="_Toc194440336"/>
      <w:bookmarkEnd w:id="121"/>
      <w:r w:rsidRPr="003B74E0">
        <w:rPr>
          <w:lang w:bidi="en-GB"/>
        </w:rPr>
        <w:t xml:space="preserve">Completion of the Offer is made subject to the following Conditions </w:t>
      </w:r>
      <w:r w:rsidR="00A842FB" w:rsidRPr="003B74E0">
        <w:rPr>
          <w:lang w:bidi="en-GB"/>
        </w:rPr>
        <w:t>–</w:t>
      </w:r>
      <w:r w:rsidRPr="003B74E0">
        <w:rPr>
          <w:lang w:bidi="en-GB"/>
        </w:rPr>
        <w:t xml:space="preserve"> which are reproduced in the form set out in in section </w:t>
      </w:r>
      <w:r w:rsidR="00156D34" w:rsidRPr="003B74E0">
        <w:rPr>
          <w:lang w:bidi="en-GB"/>
        </w:rPr>
        <w:t>4.9</w:t>
      </w:r>
      <w:r w:rsidRPr="003B74E0">
        <w:rPr>
          <w:lang w:bidi="en-GB"/>
        </w:rPr>
        <w:t xml:space="preserve"> of the Offer Document </w:t>
      </w:r>
      <w:r w:rsidR="00A842FB" w:rsidRPr="003B74E0">
        <w:rPr>
          <w:lang w:bidi="en-GB"/>
        </w:rPr>
        <w:t>–</w:t>
      </w:r>
      <w:r w:rsidRPr="003B74E0">
        <w:rPr>
          <w:lang w:bidi="en-GB"/>
        </w:rPr>
        <w:t xml:space="preserve"> being satisfied or waived in writing by the Offeror prior to </w:t>
      </w:r>
      <w:r w:rsidR="006D0D9F" w:rsidRPr="003B74E0">
        <w:rPr>
          <w:lang w:bidi="en-GB"/>
        </w:rPr>
        <w:t>the Final Results Announcement</w:t>
      </w:r>
      <w:r w:rsidRPr="003B74E0">
        <w:rPr>
          <w:lang w:bidi="en-GB"/>
        </w:rPr>
        <w:t>:</w:t>
      </w:r>
    </w:p>
    <w:p w14:paraId="733D935C" w14:textId="77777777" w:rsidR="002835AC" w:rsidRPr="003B74E0" w:rsidRDefault="002835AC" w:rsidP="009229BF">
      <w:pPr>
        <w:pStyle w:val="DSBodyTextIndent1"/>
        <w:jc w:val="both"/>
        <w:rPr>
          <w:lang w:bidi="en-GB"/>
        </w:rPr>
      </w:pPr>
    </w:p>
    <w:p w14:paraId="75AF8863" w14:textId="5476F4AB" w:rsidR="003549F7" w:rsidRPr="003549F7" w:rsidRDefault="0002604C" w:rsidP="003549F7">
      <w:pPr>
        <w:pStyle w:val="DSBodyTextIndent1"/>
        <w:ind w:left="1304"/>
        <w:jc w:val="both"/>
        <w:rPr>
          <w:i/>
          <w:iCs/>
          <w:lang w:bidi="en-GB"/>
        </w:rPr>
      </w:pPr>
      <w:r w:rsidRPr="003D786A">
        <w:rPr>
          <w:i/>
          <w:iCs/>
          <w:lang w:bidi="en-GB"/>
        </w:rPr>
        <w:t>"</w:t>
      </w:r>
      <w:r w:rsidR="003549F7" w:rsidRPr="003549F7">
        <w:rPr>
          <w:i/>
          <w:iCs/>
          <w:lang w:bidi="en-GB"/>
        </w:rPr>
        <w:t>(A)</w:t>
      </w:r>
      <w:r w:rsidR="003549F7">
        <w:rPr>
          <w:i/>
          <w:iCs/>
          <w:lang w:bidi="en-GB"/>
        </w:rPr>
        <w:t xml:space="preserve"> </w:t>
      </w:r>
      <w:r w:rsidR="003549F7" w:rsidRPr="003549F7">
        <w:rPr>
          <w:i/>
          <w:iCs/>
          <w:lang w:bidi="en-GB"/>
        </w:rPr>
        <w:t>The Offeror owning, or having received valid acceptances from Shareholders (such valid acceptances not subsequently validly withdrawn) with respect to, Shares representing a sufficient number of Shares to satisfy the Minimum A</w:t>
      </w:r>
      <w:r w:rsidR="00826B80">
        <w:rPr>
          <w:i/>
          <w:iCs/>
          <w:lang w:bidi="en-GB"/>
        </w:rPr>
        <w:t>c</w:t>
      </w:r>
      <w:r w:rsidR="003549F7" w:rsidRPr="003549F7">
        <w:rPr>
          <w:i/>
          <w:iCs/>
          <w:lang w:bidi="en-GB"/>
        </w:rPr>
        <w:t>ceptance Condition.</w:t>
      </w:r>
      <w:r w:rsidR="00707150">
        <w:rPr>
          <w:i/>
          <w:iCs/>
          <w:lang w:bidi="en-GB"/>
        </w:rPr>
        <w:t xml:space="preserve"> T</w:t>
      </w:r>
      <w:r w:rsidR="003549F7" w:rsidRPr="003549F7">
        <w:rPr>
          <w:i/>
          <w:iCs/>
          <w:lang w:bidi="en-GB"/>
        </w:rPr>
        <w:t xml:space="preserve">he </w:t>
      </w:r>
      <w:r w:rsidR="003549F7" w:rsidRPr="00447D12">
        <w:rPr>
          <w:b/>
          <w:bCs/>
          <w:i/>
          <w:iCs/>
          <w:lang w:bidi="en-GB"/>
        </w:rPr>
        <w:t>Minimum Acceptance Condition</w:t>
      </w:r>
      <w:r w:rsidR="003549F7" w:rsidRPr="003549F7">
        <w:rPr>
          <w:i/>
          <w:iCs/>
          <w:lang w:bidi="en-GB"/>
        </w:rPr>
        <w:t xml:space="preserve"> means ninety (90) per cent of all Shares plus one (1) Share, (</w:t>
      </w:r>
      <w:proofErr w:type="spellStart"/>
      <w:r w:rsidR="003549F7" w:rsidRPr="003549F7">
        <w:rPr>
          <w:i/>
          <w:iCs/>
          <w:lang w:bidi="en-GB"/>
        </w:rPr>
        <w:t>i</w:t>
      </w:r>
      <w:proofErr w:type="spellEnd"/>
      <w:r w:rsidR="003549F7" w:rsidRPr="003549F7">
        <w:rPr>
          <w:i/>
          <w:iCs/>
          <w:lang w:bidi="en-GB"/>
        </w:rPr>
        <w:t>) taking into account any Shares to be issued or Treasury Shares to be delivered before, on or as soon as practically possible upon the date of Completion as a result of a Permitted Share Scheme Transaction, and (ii) disregarding any Treasury Shares in the calculation.</w:t>
      </w:r>
    </w:p>
    <w:p w14:paraId="19943F9F" w14:textId="77777777" w:rsidR="003549F7" w:rsidRDefault="003549F7" w:rsidP="003549F7">
      <w:pPr>
        <w:pStyle w:val="DSBodyTextIndent1"/>
        <w:ind w:left="1304"/>
        <w:jc w:val="both"/>
        <w:rPr>
          <w:i/>
          <w:iCs/>
          <w:lang w:bidi="en-GB"/>
        </w:rPr>
      </w:pPr>
    </w:p>
    <w:p w14:paraId="6A102464" w14:textId="55466CEC" w:rsidR="003549F7" w:rsidRPr="003549F7" w:rsidRDefault="003549F7" w:rsidP="003549F7">
      <w:pPr>
        <w:pStyle w:val="DSBodyTextIndent1"/>
        <w:ind w:left="1304"/>
        <w:jc w:val="both"/>
        <w:rPr>
          <w:i/>
          <w:iCs/>
          <w:lang w:bidi="en-GB"/>
        </w:rPr>
      </w:pPr>
      <w:r w:rsidRPr="003549F7">
        <w:rPr>
          <w:i/>
          <w:iCs/>
          <w:lang w:bidi="en-GB"/>
        </w:rPr>
        <w:t>(B)</w:t>
      </w:r>
      <w:r>
        <w:rPr>
          <w:i/>
          <w:iCs/>
          <w:lang w:bidi="en-GB"/>
        </w:rPr>
        <w:t xml:space="preserve"> </w:t>
      </w:r>
      <w:r w:rsidRPr="003549F7">
        <w:rPr>
          <w:i/>
          <w:iCs/>
          <w:lang w:bidi="en-GB"/>
        </w:rPr>
        <w:t>All approvals, clearances, waivers and notices from the Competition Authorities required under Competition Law to Complete the Offer in the jurisdictions listed in Schedule 4.9(B) shall have been granted, as relevant, and/or any applicable waiting period in respect of such notifications shall have expired or been terminated (the “</w:t>
      </w:r>
      <w:r w:rsidRPr="00447D12">
        <w:rPr>
          <w:b/>
          <w:bCs/>
          <w:i/>
          <w:iCs/>
          <w:lang w:bidi="en-GB"/>
        </w:rPr>
        <w:t>Competition Condition</w:t>
      </w:r>
      <w:r w:rsidRPr="003549F7">
        <w:rPr>
          <w:i/>
          <w:iCs/>
          <w:lang w:bidi="en-GB"/>
        </w:rPr>
        <w:t>”).</w:t>
      </w:r>
    </w:p>
    <w:p w14:paraId="235D45DC" w14:textId="77777777" w:rsidR="003549F7" w:rsidRDefault="003549F7" w:rsidP="003549F7">
      <w:pPr>
        <w:pStyle w:val="DSBodyTextIndent1"/>
        <w:ind w:left="1304"/>
        <w:jc w:val="both"/>
        <w:rPr>
          <w:i/>
          <w:iCs/>
          <w:lang w:bidi="en-GB"/>
        </w:rPr>
      </w:pPr>
    </w:p>
    <w:p w14:paraId="0850F5DC" w14:textId="781B0F28" w:rsidR="003549F7" w:rsidRPr="003549F7" w:rsidRDefault="003549F7" w:rsidP="003549F7">
      <w:pPr>
        <w:pStyle w:val="DSBodyTextIndent1"/>
        <w:ind w:left="1304"/>
        <w:jc w:val="both"/>
        <w:rPr>
          <w:i/>
          <w:iCs/>
          <w:lang w:bidi="en-GB"/>
        </w:rPr>
      </w:pPr>
      <w:r w:rsidRPr="003549F7">
        <w:rPr>
          <w:i/>
          <w:iCs/>
          <w:lang w:bidi="en-GB"/>
        </w:rPr>
        <w:t>(C)</w:t>
      </w:r>
      <w:r>
        <w:rPr>
          <w:i/>
          <w:iCs/>
          <w:lang w:bidi="en-GB"/>
        </w:rPr>
        <w:t xml:space="preserve"> </w:t>
      </w:r>
      <w:r w:rsidRPr="003549F7">
        <w:rPr>
          <w:i/>
          <w:iCs/>
          <w:lang w:bidi="en-GB"/>
        </w:rPr>
        <w:t>All approvals and clearances, waivers and notices from the European Commission under FSR shall have been granted, as relevant, and/or any applicable waiting periods in respect of such notification shall have expired or been terminated (the “</w:t>
      </w:r>
      <w:r w:rsidRPr="00447D12">
        <w:rPr>
          <w:b/>
          <w:bCs/>
          <w:i/>
          <w:iCs/>
          <w:lang w:bidi="en-GB"/>
        </w:rPr>
        <w:t>FSR Condition</w:t>
      </w:r>
      <w:r w:rsidRPr="003549F7">
        <w:rPr>
          <w:i/>
          <w:iCs/>
          <w:lang w:bidi="en-GB"/>
        </w:rPr>
        <w:t>”, together with the Competition Condition, the “</w:t>
      </w:r>
      <w:r w:rsidRPr="00447D12">
        <w:rPr>
          <w:b/>
          <w:bCs/>
          <w:i/>
          <w:iCs/>
          <w:lang w:bidi="en-GB"/>
        </w:rPr>
        <w:t>Regulatory Conditions</w:t>
      </w:r>
      <w:r w:rsidRPr="003549F7">
        <w:rPr>
          <w:i/>
          <w:iCs/>
          <w:lang w:bidi="en-GB"/>
        </w:rPr>
        <w:t>”).</w:t>
      </w:r>
    </w:p>
    <w:p w14:paraId="76C11D75" w14:textId="77777777" w:rsidR="003549F7" w:rsidRDefault="003549F7" w:rsidP="003549F7">
      <w:pPr>
        <w:pStyle w:val="DSBodyTextIndent1"/>
        <w:ind w:left="1304"/>
        <w:jc w:val="both"/>
        <w:rPr>
          <w:i/>
          <w:iCs/>
          <w:lang w:bidi="en-GB"/>
        </w:rPr>
      </w:pPr>
    </w:p>
    <w:p w14:paraId="24F4B11F" w14:textId="53584C94" w:rsidR="003549F7" w:rsidRPr="003549F7" w:rsidRDefault="003549F7" w:rsidP="003549F7">
      <w:pPr>
        <w:pStyle w:val="DSBodyTextIndent1"/>
        <w:ind w:left="1304"/>
        <w:jc w:val="both"/>
        <w:rPr>
          <w:i/>
          <w:iCs/>
          <w:lang w:bidi="en-GB"/>
        </w:rPr>
      </w:pPr>
      <w:r w:rsidRPr="003549F7">
        <w:rPr>
          <w:i/>
          <w:iCs/>
          <w:lang w:bidi="en-GB"/>
        </w:rPr>
        <w:t>(D)</w:t>
      </w:r>
      <w:r w:rsidR="00F47EFB">
        <w:rPr>
          <w:i/>
          <w:iCs/>
          <w:lang w:bidi="en-GB"/>
        </w:rPr>
        <w:t xml:space="preserve"> </w:t>
      </w:r>
      <w:r w:rsidRPr="003549F7">
        <w:rPr>
          <w:i/>
          <w:iCs/>
          <w:lang w:bidi="en-GB"/>
        </w:rPr>
        <w:t xml:space="preserve">Between 11 December 2025 and the Final Results Announcement, no Material Adverse Change having occurred. </w:t>
      </w:r>
    </w:p>
    <w:p w14:paraId="4DC7C994" w14:textId="77777777" w:rsidR="00F47EFB" w:rsidRDefault="00F47EFB" w:rsidP="003549F7">
      <w:pPr>
        <w:pStyle w:val="DSBodyTextIndent1"/>
        <w:ind w:left="1304"/>
        <w:jc w:val="both"/>
        <w:rPr>
          <w:i/>
          <w:iCs/>
          <w:lang w:bidi="en-GB"/>
        </w:rPr>
      </w:pPr>
    </w:p>
    <w:p w14:paraId="5A3BAE94" w14:textId="335D6D30" w:rsidR="003549F7" w:rsidRPr="003549F7" w:rsidRDefault="003549F7" w:rsidP="003549F7">
      <w:pPr>
        <w:pStyle w:val="DSBodyTextIndent1"/>
        <w:ind w:left="1304"/>
        <w:jc w:val="both"/>
        <w:rPr>
          <w:i/>
          <w:iCs/>
          <w:lang w:bidi="en-GB"/>
        </w:rPr>
      </w:pPr>
      <w:r w:rsidRPr="003549F7">
        <w:rPr>
          <w:i/>
          <w:iCs/>
          <w:lang w:bidi="en-GB"/>
        </w:rPr>
        <w:t>(E)</w:t>
      </w:r>
      <w:r w:rsidR="00F47EFB">
        <w:rPr>
          <w:i/>
          <w:iCs/>
          <w:lang w:bidi="en-GB"/>
        </w:rPr>
        <w:t xml:space="preserve"> </w:t>
      </w:r>
      <w:r w:rsidRPr="003549F7">
        <w:rPr>
          <w:i/>
          <w:iCs/>
          <w:lang w:bidi="en-GB"/>
        </w:rPr>
        <w:t>The Company having Published the Board Recommendation, and not subsequently having committed (including having communicated an intention to do the following) any act or omission that would constitute an Adverse Recommendation Change, where “</w:t>
      </w:r>
      <w:r w:rsidRPr="00447D12">
        <w:rPr>
          <w:b/>
          <w:bCs/>
          <w:i/>
          <w:iCs/>
          <w:lang w:bidi="en-GB"/>
        </w:rPr>
        <w:t>Adverse Recommendation Change</w:t>
      </w:r>
      <w:r w:rsidRPr="003549F7">
        <w:rPr>
          <w:i/>
          <w:iCs/>
          <w:lang w:bidi="en-GB"/>
        </w:rPr>
        <w:t>” means, that (</w:t>
      </w:r>
      <w:proofErr w:type="spellStart"/>
      <w:r w:rsidRPr="003549F7">
        <w:rPr>
          <w:i/>
          <w:iCs/>
          <w:lang w:bidi="en-GB"/>
        </w:rPr>
        <w:t>i</w:t>
      </w:r>
      <w:proofErr w:type="spellEnd"/>
      <w:r w:rsidRPr="003549F7">
        <w:rPr>
          <w:i/>
          <w:iCs/>
          <w:lang w:bidi="en-GB"/>
        </w:rPr>
        <w:t>) the Company not Publishing the Board Recommendation, (ii) the Board recommending that Shareholders accept a Competing Offer, or (iii) the Board approving or recommending that the Shareholders approve an Alternative Transaction.</w:t>
      </w:r>
    </w:p>
    <w:p w14:paraId="5B92B1B6" w14:textId="77777777" w:rsidR="00F47EFB" w:rsidRDefault="00F47EFB" w:rsidP="003549F7">
      <w:pPr>
        <w:pStyle w:val="DSBodyTextIndent1"/>
        <w:ind w:left="1304"/>
        <w:jc w:val="both"/>
        <w:rPr>
          <w:i/>
          <w:iCs/>
          <w:lang w:bidi="en-GB"/>
        </w:rPr>
      </w:pPr>
    </w:p>
    <w:p w14:paraId="3EA54612" w14:textId="074B111E" w:rsidR="003549F7" w:rsidRPr="003549F7" w:rsidRDefault="003549F7" w:rsidP="003549F7">
      <w:pPr>
        <w:pStyle w:val="DSBodyTextIndent1"/>
        <w:ind w:left="1304"/>
        <w:jc w:val="both"/>
        <w:rPr>
          <w:i/>
          <w:iCs/>
          <w:lang w:bidi="en-GB"/>
        </w:rPr>
      </w:pPr>
      <w:r w:rsidRPr="003549F7">
        <w:rPr>
          <w:i/>
          <w:iCs/>
          <w:lang w:bidi="en-GB"/>
        </w:rPr>
        <w:t>(F)</w:t>
      </w:r>
      <w:r w:rsidR="00F47EFB">
        <w:rPr>
          <w:i/>
          <w:iCs/>
          <w:lang w:bidi="en-GB"/>
        </w:rPr>
        <w:t xml:space="preserve"> </w:t>
      </w:r>
      <w:r w:rsidRPr="003549F7">
        <w:rPr>
          <w:i/>
          <w:iCs/>
          <w:lang w:bidi="en-GB"/>
        </w:rPr>
        <w:t>Since 11 December 2025, there having been no change in or binding undertaking to amend or change the share capital of the Company or its articles of association, except as a result of a Permitted Share Scheme Transaction.</w:t>
      </w:r>
    </w:p>
    <w:p w14:paraId="01D6EB7B" w14:textId="77777777" w:rsidR="00F47EFB" w:rsidRDefault="00F47EFB" w:rsidP="003549F7">
      <w:pPr>
        <w:pStyle w:val="DSBodyTextIndent1"/>
        <w:ind w:left="1304"/>
        <w:jc w:val="both"/>
        <w:rPr>
          <w:i/>
          <w:iCs/>
          <w:lang w:bidi="en-GB"/>
        </w:rPr>
      </w:pPr>
    </w:p>
    <w:p w14:paraId="657E065D" w14:textId="59DCE41D" w:rsidR="003549F7" w:rsidRPr="003549F7" w:rsidRDefault="003549F7" w:rsidP="003549F7">
      <w:pPr>
        <w:pStyle w:val="DSBodyTextIndent1"/>
        <w:ind w:left="1304"/>
        <w:jc w:val="both"/>
        <w:rPr>
          <w:i/>
          <w:iCs/>
          <w:lang w:bidi="en-GB"/>
        </w:rPr>
      </w:pPr>
      <w:r w:rsidRPr="003549F7">
        <w:rPr>
          <w:i/>
          <w:iCs/>
          <w:lang w:bidi="en-GB"/>
        </w:rPr>
        <w:t>(G)</w:t>
      </w:r>
      <w:r w:rsidR="00F47EFB">
        <w:rPr>
          <w:i/>
          <w:iCs/>
          <w:lang w:bidi="en-GB"/>
        </w:rPr>
        <w:t xml:space="preserve"> </w:t>
      </w:r>
      <w:r w:rsidRPr="003549F7">
        <w:rPr>
          <w:i/>
          <w:iCs/>
          <w:lang w:bidi="en-GB"/>
        </w:rPr>
        <w:t>Since 11 December 2025, the Company not having issued, or authorised the issuance of, any securities exercisable or exchangeable for, directly or indirectly convertible into, in lieu of or in substitution for, Shares, except for issuances pursuant to a Permitted Share Scheme Transaction.</w:t>
      </w:r>
    </w:p>
    <w:p w14:paraId="7C8E6252" w14:textId="77777777" w:rsidR="00F47EFB" w:rsidRDefault="00F47EFB" w:rsidP="003549F7">
      <w:pPr>
        <w:pStyle w:val="DSBodyTextIndent1"/>
        <w:ind w:left="1304"/>
        <w:jc w:val="both"/>
        <w:rPr>
          <w:i/>
          <w:iCs/>
          <w:lang w:bidi="en-GB"/>
        </w:rPr>
      </w:pPr>
    </w:p>
    <w:p w14:paraId="2EC71838" w14:textId="209163F3" w:rsidR="003549F7" w:rsidRPr="003549F7" w:rsidRDefault="003549F7" w:rsidP="003549F7">
      <w:pPr>
        <w:pStyle w:val="DSBodyTextIndent1"/>
        <w:ind w:left="1304"/>
        <w:jc w:val="both"/>
        <w:rPr>
          <w:i/>
          <w:iCs/>
          <w:lang w:bidi="en-GB"/>
        </w:rPr>
      </w:pPr>
      <w:r w:rsidRPr="003549F7">
        <w:rPr>
          <w:i/>
          <w:iCs/>
          <w:lang w:bidi="en-GB"/>
        </w:rPr>
        <w:t>(H)</w:t>
      </w:r>
      <w:r w:rsidR="00F47EFB">
        <w:rPr>
          <w:i/>
          <w:iCs/>
          <w:lang w:bidi="en-GB"/>
        </w:rPr>
        <w:t xml:space="preserve"> </w:t>
      </w:r>
      <w:r w:rsidRPr="003549F7">
        <w:rPr>
          <w:i/>
          <w:iCs/>
          <w:lang w:bidi="en-GB"/>
        </w:rPr>
        <w:t>Since 11 December 2025, the Company not having sold (or agreed to sell) or in any other way disposed of any of its Treasury Shares other than pursuant to a Permitted Share Scheme Transaction.</w:t>
      </w:r>
    </w:p>
    <w:p w14:paraId="5988FC2A" w14:textId="77777777" w:rsidR="00F47EFB" w:rsidRDefault="00F47EFB" w:rsidP="003549F7">
      <w:pPr>
        <w:pStyle w:val="DSBodyTextIndent1"/>
        <w:ind w:left="1304"/>
        <w:jc w:val="both"/>
        <w:rPr>
          <w:i/>
          <w:iCs/>
          <w:lang w:bidi="en-GB"/>
        </w:rPr>
      </w:pPr>
    </w:p>
    <w:p w14:paraId="26F8EE8B" w14:textId="74699F45" w:rsidR="003549F7" w:rsidRPr="003549F7" w:rsidRDefault="003549F7" w:rsidP="003549F7">
      <w:pPr>
        <w:pStyle w:val="DSBodyTextIndent1"/>
        <w:ind w:left="1304"/>
        <w:jc w:val="both"/>
        <w:rPr>
          <w:i/>
          <w:iCs/>
          <w:lang w:bidi="en-GB"/>
        </w:rPr>
      </w:pPr>
      <w:r w:rsidRPr="003549F7">
        <w:rPr>
          <w:i/>
          <w:iCs/>
          <w:lang w:bidi="en-GB"/>
        </w:rPr>
        <w:lastRenderedPageBreak/>
        <w:t>(I)</w:t>
      </w:r>
      <w:r w:rsidR="00F47EFB">
        <w:rPr>
          <w:i/>
          <w:iCs/>
          <w:lang w:bidi="en-GB"/>
        </w:rPr>
        <w:t xml:space="preserve"> </w:t>
      </w:r>
      <w:r w:rsidRPr="003549F7">
        <w:rPr>
          <w:i/>
          <w:iCs/>
          <w:lang w:bidi="en-GB"/>
        </w:rPr>
        <w:t>Since 11 December 2025, neither the general meeting of the Company nor the Board having carried out or resolved on any share repurchases, bonus shares issuances or share capital decreases other than pursuant to a Permitted Share Scheme Transaction.</w:t>
      </w:r>
    </w:p>
    <w:p w14:paraId="0B19AE93" w14:textId="77777777" w:rsidR="00F47EFB" w:rsidRDefault="00F47EFB" w:rsidP="003549F7">
      <w:pPr>
        <w:pStyle w:val="DSBodyTextIndent1"/>
        <w:ind w:left="1304"/>
        <w:jc w:val="both"/>
        <w:rPr>
          <w:i/>
          <w:iCs/>
          <w:lang w:bidi="en-GB"/>
        </w:rPr>
      </w:pPr>
    </w:p>
    <w:p w14:paraId="36E407F0" w14:textId="53EB5A1E" w:rsidR="003549F7" w:rsidRPr="003549F7" w:rsidRDefault="003549F7" w:rsidP="003549F7">
      <w:pPr>
        <w:pStyle w:val="DSBodyTextIndent1"/>
        <w:ind w:left="1304"/>
        <w:jc w:val="both"/>
        <w:rPr>
          <w:i/>
          <w:iCs/>
          <w:lang w:bidi="en-GB"/>
        </w:rPr>
      </w:pPr>
      <w:r w:rsidRPr="003549F7">
        <w:rPr>
          <w:i/>
          <w:iCs/>
          <w:lang w:bidi="en-GB"/>
        </w:rPr>
        <w:t>(J)</w:t>
      </w:r>
      <w:r w:rsidR="00F47EFB">
        <w:rPr>
          <w:i/>
          <w:iCs/>
          <w:lang w:bidi="en-GB"/>
        </w:rPr>
        <w:t xml:space="preserve"> </w:t>
      </w:r>
      <w:r w:rsidRPr="003549F7">
        <w:rPr>
          <w:i/>
          <w:iCs/>
          <w:lang w:bidi="en-GB"/>
        </w:rPr>
        <w:t>Other than legislation, regulation or decisions falling within the scope of the Regulatory Conditions with respect to the jurisdictions referenced in Schedule 4.9(B) as for competition approvals, no legislation or other regulation having been issued or decision made and remaining in effect by a competent court or regulatory authority or other Governmental Body that would prevent or otherwise prohibit Completion, nor shall any action have been taken, or any applicable Law or order promulgated, entered, enforced, enacted, issued or deemed applicable to the Offer or the transactions contemplated by the Announcement Agreement by any Governmental Body, which prohibits, makes illegal, prevents or otherwise prohibits the Completion of the Offer.</w:t>
      </w:r>
    </w:p>
    <w:p w14:paraId="585367A4" w14:textId="77777777" w:rsidR="00F47EFB" w:rsidRDefault="00F47EFB" w:rsidP="003549F7">
      <w:pPr>
        <w:pStyle w:val="DSBodyTextIndent1"/>
        <w:ind w:left="1304"/>
        <w:jc w:val="both"/>
        <w:rPr>
          <w:i/>
          <w:iCs/>
          <w:lang w:bidi="en-GB"/>
        </w:rPr>
      </w:pPr>
    </w:p>
    <w:p w14:paraId="77CD13F8" w14:textId="16155FA1" w:rsidR="00BC5025" w:rsidRPr="003D786A" w:rsidRDefault="003549F7" w:rsidP="003549F7">
      <w:pPr>
        <w:pStyle w:val="DSBodyTextIndent1"/>
        <w:ind w:left="1304"/>
        <w:jc w:val="both"/>
        <w:rPr>
          <w:i/>
          <w:iCs/>
          <w:lang w:bidi="en-GB"/>
        </w:rPr>
      </w:pPr>
      <w:r w:rsidRPr="003549F7">
        <w:rPr>
          <w:i/>
          <w:iCs/>
          <w:lang w:bidi="en-GB"/>
        </w:rPr>
        <w:t>(K)</w:t>
      </w:r>
      <w:r w:rsidR="00F47EFB">
        <w:rPr>
          <w:i/>
          <w:iCs/>
          <w:lang w:bidi="en-GB"/>
        </w:rPr>
        <w:t xml:space="preserve"> T</w:t>
      </w:r>
      <w:r w:rsidRPr="003549F7">
        <w:rPr>
          <w:i/>
          <w:iCs/>
          <w:lang w:bidi="en-GB"/>
        </w:rPr>
        <w:t>he Announcement Agreement remaining in full force and effect and not having been validly terminated in accordance with its terms and conditions</w:t>
      </w:r>
      <w:r w:rsidR="00AD4476">
        <w:rPr>
          <w:i/>
          <w:iCs/>
          <w:lang w:bidi="en-GB"/>
        </w:rPr>
        <w:t>,</w:t>
      </w:r>
      <w:r w:rsidRPr="003549F7">
        <w:rPr>
          <w:i/>
          <w:iCs/>
          <w:lang w:bidi="en-GB"/>
        </w:rPr>
        <w:t xml:space="preserve"> </w:t>
      </w:r>
      <w:r w:rsidR="00AD4476">
        <w:rPr>
          <w:i/>
          <w:iCs/>
          <w:lang w:bidi="en-GB"/>
        </w:rPr>
        <w:t>see</w:t>
      </w:r>
      <w:r w:rsidRPr="003549F7">
        <w:rPr>
          <w:i/>
          <w:iCs/>
          <w:lang w:bidi="en-GB"/>
        </w:rPr>
        <w:t xml:space="preserve"> section 8.4.2 (</w:t>
      </w:r>
      <w:proofErr w:type="spellStart"/>
      <w:r w:rsidRPr="003549F7">
        <w:rPr>
          <w:i/>
          <w:iCs/>
          <w:lang w:bidi="en-GB"/>
        </w:rPr>
        <w:t>i</w:t>
      </w:r>
      <w:proofErr w:type="spellEnd"/>
      <w:r w:rsidRPr="003549F7">
        <w:rPr>
          <w:i/>
          <w:iCs/>
          <w:lang w:bidi="en-GB"/>
        </w:rPr>
        <w:t>)-(iv).</w:t>
      </w:r>
      <w:r w:rsidR="0002604C" w:rsidRPr="003D786A">
        <w:rPr>
          <w:i/>
          <w:iCs/>
          <w:lang w:bidi="en-GB"/>
        </w:rPr>
        <w:t>"</w:t>
      </w:r>
    </w:p>
    <w:p w14:paraId="13BBEB41" w14:textId="77777777" w:rsidR="00DB7E45" w:rsidRPr="003B74E0" w:rsidRDefault="00DB7E45" w:rsidP="00DB7E45">
      <w:pPr>
        <w:pStyle w:val="DSBodyTextIndent1"/>
        <w:ind w:left="0"/>
        <w:jc w:val="both"/>
        <w:rPr>
          <w:lang w:bidi="en-GB"/>
        </w:rPr>
      </w:pPr>
    </w:p>
    <w:p w14:paraId="373808B0" w14:textId="77777777" w:rsidR="00DB7E45" w:rsidRPr="003B74E0" w:rsidRDefault="00DB7E45" w:rsidP="00DB7E45">
      <w:pPr>
        <w:pStyle w:val="DSBodyTextIndent1"/>
        <w:jc w:val="both"/>
        <w:rPr>
          <w:lang w:bidi="en-GB"/>
        </w:rPr>
      </w:pPr>
      <w:r w:rsidRPr="003B74E0">
        <w:rPr>
          <w:lang w:bidi="en-GB"/>
        </w:rPr>
        <w:t xml:space="preserve">In the process leading up to the Offer, including during negotiations with the Offeror, the Board of Directors has focused on ensuring, as much as reasonably possible, that the Offer will, subject to the Shareholders' acceptance of the Offer, proceed to Completion. </w:t>
      </w:r>
    </w:p>
    <w:p w14:paraId="7BB22B4A" w14:textId="77777777" w:rsidR="00DB7E45" w:rsidRPr="003B74E0" w:rsidRDefault="00DB7E45" w:rsidP="00DB7E45">
      <w:pPr>
        <w:pStyle w:val="DSBodyTextIndent1"/>
        <w:jc w:val="both"/>
        <w:rPr>
          <w:highlight w:val="yellow"/>
          <w:lang w:bidi="en-GB"/>
        </w:rPr>
      </w:pPr>
    </w:p>
    <w:p w14:paraId="7D33B089" w14:textId="13F4E9A6" w:rsidR="00DB7E45" w:rsidRPr="003B74E0" w:rsidRDefault="00DB7E45" w:rsidP="00DB7E45">
      <w:pPr>
        <w:pStyle w:val="DSBodyTextIndent1"/>
        <w:jc w:val="both"/>
        <w:rPr>
          <w:lang w:bidi="en-GB"/>
        </w:rPr>
      </w:pPr>
      <w:r w:rsidRPr="003B74E0">
        <w:rPr>
          <w:lang w:bidi="en-GB"/>
        </w:rPr>
        <w:t xml:space="preserve">With respect to the Condition set out in section </w:t>
      </w:r>
      <w:r w:rsidR="005C76E2" w:rsidRPr="003B74E0">
        <w:rPr>
          <w:lang w:bidi="en-GB"/>
        </w:rPr>
        <w:t>4.9</w:t>
      </w:r>
      <w:r w:rsidRPr="003B74E0">
        <w:rPr>
          <w:lang w:bidi="en-GB"/>
        </w:rPr>
        <w:t>(</w:t>
      </w:r>
      <w:r w:rsidR="00256293">
        <w:rPr>
          <w:lang w:bidi="en-GB"/>
        </w:rPr>
        <w:t>B</w:t>
      </w:r>
      <w:r w:rsidRPr="003B74E0">
        <w:rPr>
          <w:lang w:bidi="en-GB"/>
        </w:rPr>
        <w:t xml:space="preserve">) of the Offer Document (the Competition Condition) and section </w:t>
      </w:r>
      <w:r w:rsidR="005C76E2" w:rsidRPr="003B74E0">
        <w:rPr>
          <w:lang w:bidi="en-GB"/>
        </w:rPr>
        <w:t>4</w:t>
      </w:r>
      <w:r w:rsidRPr="003B74E0">
        <w:rPr>
          <w:lang w:bidi="en-GB"/>
        </w:rPr>
        <w:t>.</w:t>
      </w:r>
      <w:r w:rsidR="005C76E2" w:rsidRPr="003B74E0">
        <w:rPr>
          <w:lang w:bidi="en-GB"/>
        </w:rPr>
        <w:t>9</w:t>
      </w:r>
      <w:r w:rsidRPr="003B74E0">
        <w:rPr>
          <w:lang w:bidi="en-GB"/>
        </w:rPr>
        <w:t>(</w:t>
      </w:r>
      <w:r w:rsidR="00256293">
        <w:rPr>
          <w:lang w:bidi="en-GB"/>
        </w:rPr>
        <w:t>C</w:t>
      </w:r>
      <w:r w:rsidRPr="003B74E0">
        <w:rPr>
          <w:lang w:bidi="en-GB"/>
        </w:rPr>
        <w:t xml:space="preserve">) </w:t>
      </w:r>
      <w:r w:rsidR="00C53B1B">
        <w:rPr>
          <w:lang w:bidi="en-GB"/>
        </w:rPr>
        <w:t xml:space="preserve">of the Offer Document </w:t>
      </w:r>
      <w:r w:rsidRPr="003B74E0">
        <w:rPr>
          <w:lang w:bidi="en-GB"/>
        </w:rPr>
        <w:t xml:space="preserve">(the </w:t>
      </w:r>
      <w:r w:rsidR="002835AC">
        <w:rPr>
          <w:lang w:bidi="en-GB"/>
        </w:rPr>
        <w:t>FSR</w:t>
      </w:r>
      <w:r w:rsidRPr="003B74E0">
        <w:rPr>
          <w:lang w:bidi="en-GB"/>
        </w:rPr>
        <w:t xml:space="preserve"> Condition), the Board of Directors notes that in the Announcement Agreement, the Offeror has made certain undertakings and commitments to the Company for the purpose of ensuring that the Regulatory Conditions will be satisfied. Reference is made to the description of certain terms and conditions of the Announcement Agreement in section </w:t>
      </w:r>
      <w:r w:rsidRPr="003B74E0">
        <w:rPr>
          <w:lang w:bidi="en-GB"/>
        </w:rPr>
        <w:fldChar w:fldCharType="begin"/>
      </w:r>
      <w:r w:rsidRPr="003B74E0">
        <w:rPr>
          <w:lang w:bidi="en-GB"/>
        </w:rPr>
        <w:instrText xml:space="preserve"> REF _Ref203811163 \r \h  \* MERGEFORMAT </w:instrText>
      </w:r>
      <w:r w:rsidRPr="003B74E0">
        <w:rPr>
          <w:lang w:bidi="en-GB"/>
        </w:rPr>
      </w:r>
      <w:r w:rsidRPr="003B74E0">
        <w:rPr>
          <w:lang w:bidi="en-GB"/>
        </w:rPr>
        <w:fldChar w:fldCharType="separate"/>
      </w:r>
      <w:r w:rsidR="00DE5216">
        <w:rPr>
          <w:lang w:bidi="en-GB"/>
        </w:rPr>
        <w:t>6</w:t>
      </w:r>
      <w:r w:rsidRPr="003B74E0">
        <w:rPr>
          <w:lang w:bidi="en-GB"/>
        </w:rPr>
        <w:fldChar w:fldCharType="end"/>
      </w:r>
      <w:r w:rsidRPr="003B74E0">
        <w:rPr>
          <w:lang w:bidi="en-GB"/>
        </w:rPr>
        <w:t xml:space="preserve"> above.</w:t>
      </w:r>
    </w:p>
    <w:p w14:paraId="4308854F" w14:textId="77777777" w:rsidR="00DB7E45" w:rsidRPr="003B74E0" w:rsidRDefault="00DB7E45" w:rsidP="00DB7E45">
      <w:pPr>
        <w:pStyle w:val="DSBodyTextIndent1"/>
        <w:jc w:val="both"/>
        <w:rPr>
          <w:highlight w:val="yellow"/>
          <w:lang w:bidi="en-GB"/>
        </w:rPr>
      </w:pPr>
    </w:p>
    <w:p w14:paraId="0AA34973" w14:textId="6DBCB242" w:rsidR="00DB7E45" w:rsidRPr="003B74E0" w:rsidRDefault="00DB7E45" w:rsidP="00DB7E45">
      <w:pPr>
        <w:pStyle w:val="DSBodyTextIndent1"/>
        <w:jc w:val="both"/>
        <w:rPr>
          <w:lang w:bidi="en-GB"/>
        </w:rPr>
      </w:pPr>
      <w:r w:rsidRPr="003B74E0">
        <w:rPr>
          <w:lang w:bidi="en-GB"/>
        </w:rPr>
        <w:t>Of the other Conditions, the Board of Directors specifically wish to highlight</w:t>
      </w:r>
      <w:r w:rsidR="0032148C">
        <w:rPr>
          <w:lang w:bidi="en-GB"/>
        </w:rPr>
        <w:t xml:space="preserve"> </w:t>
      </w:r>
      <w:r w:rsidRPr="003B74E0">
        <w:rPr>
          <w:lang w:bidi="en-GB"/>
        </w:rPr>
        <w:t xml:space="preserve">that the Condition set out in section </w:t>
      </w:r>
      <w:r w:rsidR="00027275">
        <w:rPr>
          <w:lang w:bidi="en-GB"/>
        </w:rPr>
        <w:t>4.9</w:t>
      </w:r>
      <w:r w:rsidRPr="003B74E0">
        <w:rPr>
          <w:lang w:bidi="en-GB"/>
        </w:rPr>
        <w:t>(</w:t>
      </w:r>
      <w:r w:rsidR="00BC5CB3">
        <w:rPr>
          <w:lang w:bidi="en-GB"/>
        </w:rPr>
        <w:t>D</w:t>
      </w:r>
      <w:r w:rsidRPr="003B74E0">
        <w:rPr>
          <w:lang w:bidi="en-GB"/>
        </w:rPr>
        <w:t>) of the Offer Document (No Material Adverse Changes) generally relates to Group-specific matters only, and not to matters generally affecting the financial markets, global or regional economies etc. other than in a manner materially disproportionate to the Group, taken as a whole</w:t>
      </w:r>
      <w:r w:rsidR="0032148C">
        <w:rPr>
          <w:lang w:bidi="en-GB"/>
        </w:rPr>
        <w:t>.</w:t>
      </w:r>
    </w:p>
    <w:p w14:paraId="09E102A0" w14:textId="2F6FE7B3" w:rsidR="00612942" w:rsidRPr="003B74E0" w:rsidRDefault="00612942" w:rsidP="00A05058">
      <w:pPr>
        <w:pStyle w:val="Heading2"/>
        <w:jc w:val="both"/>
      </w:pPr>
      <w:bookmarkStart w:id="130" w:name="_Toc218590578"/>
      <w:r w:rsidRPr="003B74E0">
        <w:t xml:space="preserve">Ability to </w:t>
      </w:r>
      <w:r w:rsidR="007C53BF" w:rsidRPr="003B74E0">
        <w:t>R</w:t>
      </w:r>
      <w:r w:rsidRPr="003B74E0">
        <w:t xml:space="preserve">espond to any </w:t>
      </w:r>
      <w:r w:rsidR="007C53BF" w:rsidRPr="003B74E0">
        <w:t>C</w:t>
      </w:r>
      <w:r w:rsidRPr="003B74E0">
        <w:t xml:space="preserve">ompeting </w:t>
      </w:r>
      <w:r w:rsidR="007C53BF" w:rsidRPr="003B74E0">
        <w:t>O</w:t>
      </w:r>
      <w:r w:rsidRPr="003B74E0">
        <w:t xml:space="preserve">ffers or </w:t>
      </w:r>
      <w:r w:rsidR="007C53BF" w:rsidRPr="003B74E0">
        <w:t>O</w:t>
      </w:r>
      <w:r w:rsidRPr="003B74E0">
        <w:t xml:space="preserve">ther </w:t>
      </w:r>
      <w:r w:rsidR="007C53BF" w:rsidRPr="003B74E0">
        <w:t>A</w:t>
      </w:r>
      <w:r w:rsidRPr="003B74E0">
        <w:t xml:space="preserve">lternative </w:t>
      </w:r>
      <w:r w:rsidR="007C53BF" w:rsidRPr="003B74E0">
        <w:t>T</w:t>
      </w:r>
      <w:r w:rsidRPr="003B74E0">
        <w:t>ransactions</w:t>
      </w:r>
      <w:bookmarkEnd w:id="130"/>
    </w:p>
    <w:p w14:paraId="503C9E68" w14:textId="5F82B05A" w:rsidR="00612942" w:rsidRPr="003B74E0" w:rsidRDefault="0079648F" w:rsidP="0079648F">
      <w:pPr>
        <w:ind w:left="851"/>
        <w:jc w:val="both"/>
        <w:rPr>
          <w:rFonts w:asciiTheme="minorHAnsi" w:hAnsiTheme="minorHAnsi" w:cstheme="minorHAnsi"/>
          <w:lang w:bidi="en-GB"/>
        </w:rPr>
      </w:pPr>
      <w:r w:rsidRPr="003B74E0">
        <w:t>The Board of Directors notes that it believes that it has under the Announcement Agreement secured a customary and reasonable level of ability to respond to any unsolicited offer or</w:t>
      </w:r>
      <w:r w:rsidR="008536CD" w:rsidRPr="003B74E0">
        <w:t xml:space="preserve"> unsolicited</w:t>
      </w:r>
      <w:r w:rsidRPr="003B74E0">
        <w:t xml:space="preserve"> proposal for any competing offer or other alternative transaction and to ultimately recommend any superior alternative transaction proposal in line with its fiduciary duties</w:t>
      </w:r>
      <w:r w:rsidR="009242BF" w:rsidRPr="003B74E0">
        <w:t xml:space="preserve"> to the extent it would become relevant</w:t>
      </w:r>
      <w:r w:rsidRPr="003B74E0">
        <w:t xml:space="preserve">. Reference is made to the description of certain terms and conditions of the Announcement Agreement in </w:t>
      </w:r>
      <w:r w:rsidR="00F6113D" w:rsidRPr="003B74E0">
        <w:t>s</w:t>
      </w:r>
      <w:r w:rsidRPr="003B74E0">
        <w:t xml:space="preserve">ection </w:t>
      </w:r>
      <w:r w:rsidRPr="003B74E0">
        <w:fldChar w:fldCharType="begin"/>
      </w:r>
      <w:r w:rsidRPr="003B74E0">
        <w:instrText xml:space="preserve"> REF _Ref203811163 \r \h </w:instrText>
      </w:r>
      <w:r w:rsidR="007B6062" w:rsidRPr="003B74E0">
        <w:instrText xml:space="preserve"> \* MERGEFORMAT </w:instrText>
      </w:r>
      <w:r w:rsidRPr="003B74E0">
        <w:fldChar w:fldCharType="separate"/>
      </w:r>
      <w:r w:rsidR="00DE5216">
        <w:t>6</w:t>
      </w:r>
      <w:r w:rsidRPr="003B74E0">
        <w:fldChar w:fldCharType="end"/>
      </w:r>
      <w:r w:rsidR="00F6113D" w:rsidRPr="003B74E0">
        <w:t xml:space="preserve"> above</w:t>
      </w:r>
      <w:r w:rsidRPr="003B74E0">
        <w:t>.</w:t>
      </w:r>
    </w:p>
    <w:p w14:paraId="54C30080" w14:textId="46216308" w:rsidR="00C409D1" w:rsidRPr="003B74E0" w:rsidRDefault="00C409D1" w:rsidP="00A05058">
      <w:pPr>
        <w:pStyle w:val="Heading2"/>
        <w:jc w:val="both"/>
      </w:pPr>
      <w:bookmarkStart w:id="131" w:name="_Toc218590579"/>
      <w:r w:rsidRPr="003B74E0">
        <w:rPr>
          <w:lang w:bidi="en-GB"/>
        </w:rPr>
        <w:t>Advantages and Disadvantages to the Shareholders</w:t>
      </w:r>
      <w:bookmarkEnd w:id="80"/>
      <w:bookmarkEnd w:id="122"/>
      <w:bookmarkEnd w:id="128"/>
      <w:r w:rsidRPr="003B74E0">
        <w:rPr>
          <w:lang w:bidi="en-GB"/>
        </w:rPr>
        <w:t xml:space="preserve"> Accepting the Offer</w:t>
      </w:r>
      <w:bookmarkEnd w:id="129"/>
      <w:bookmarkEnd w:id="131"/>
    </w:p>
    <w:p w14:paraId="284772C1" w14:textId="0870900A" w:rsidR="00E05E92" w:rsidRPr="003B74E0" w:rsidRDefault="00E05E92" w:rsidP="00A05058">
      <w:pPr>
        <w:pStyle w:val="DSBodyTextIndent1"/>
        <w:jc w:val="both"/>
        <w:rPr>
          <w:lang w:bidi="en-GB"/>
        </w:rPr>
      </w:pPr>
      <w:r w:rsidRPr="003B74E0">
        <w:rPr>
          <w:lang w:bidi="en-GB"/>
        </w:rPr>
        <w:t>The Board of Directors encourages the Shareholders to (</w:t>
      </w:r>
      <w:proofErr w:type="spellStart"/>
      <w:r w:rsidRPr="003B74E0">
        <w:rPr>
          <w:lang w:bidi="en-GB"/>
        </w:rPr>
        <w:t>i</w:t>
      </w:r>
      <w:proofErr w:type="spellEnd"/>
      <w:r w:rsidRPr="003B74E0">
        <w:rPr>
          <w:lang w:bidi="en-GB"/>
        </w:rPr>
        <w:t xml:space="preserve">) </w:t>
      </w:r>
      <w:r w:rsidR="00C367F8" w:rsidRPr="003B74E0">
        <w:rPr>
          <w:lang w:bidi="en-GB"/>
        </w:rPr>
        <w:t>analy</w:t>
      </w:r>
      <w:r w:rsidR="005C76E2" w:rsidRPr="003B74E0">
        <w:rPr>
          <w:lang w:bidi="en-GB"/>
        </w:rPr>
        <w:t>s</w:t>
      </w:r>
      <w:r w:rsidR="00C367F8" w:rsidRPr="003B74E0">
        <w:rPr>
          <w:lang w:bidi="en-GB"/>
        </w:rPr>
        <w:t>e</w:t>
      </w:r>
      <w:r w:rsidRPr="003B74E0">
        <w:rPr>
          <w:lang w:bidi="en-GB"/>
        </w:rPr>
        <w:t xml:space="preserve"> the Offer Document and consider all advantages and disadvantages thereof to each individual Shareholder before deciding whether to accept the Offer or not and (ii) take into consideration all of the other matters, circumstances and assessments described in this Statement when deciding whether to accept the Offer or not. </w:t>
      </w:r>
    </w:p>
    <w:p w14:paraId="580A2610" w14:textId="77777777" w:rsidR="00E05E92" w:rsidRPr="003B74E0" w:rsidRDefault="00E05E92" w:rsidP="00A05058">
      <w:pPr>
        <w:pStyle w:val="DSBodyTextIndent1"/>
        <w:jc w:val="both"/>
        <w:rPr>
          <w:lang w:bidi="en-GB"/>
        </w:rPr>
      </w:pPr>
    </w:p>
    <w:p w14:paraId="6ED8E2AF" w14:textId="770953CA" w:rsidR="00E05E92" w:rsidRPr="003B74E0" w:rsidRDefault="00E05E92" w:rsidP="00A05058">
      <w:pPr>
        <w:pStyle w:val="DSBodyTextIndent1"/>
        <w:jc w:val="both"/>
        <w:rPr>
          <w:lang w:bidi="en-GB"/>
        </w:rPr>
      </w:pPr>
      <w:r w:rsidRPr="003B74E0">
        <w:rPr>
          <w:lang w:bidi="en-GB"/>
        </w:rPr>
        <w:lastRenderedPageBreak/>
        <w:t>However, in the opinion of the Board of Directors an acceptance of the Offer entails in particular the following advantages and disadvantages to the Shareholders:</w:t>
      </w:r>
    </w:p>
    <w:p w14:paraId="3AA057B7" w14:textId="00382EB1" w:rsidR="00C409D1" w:rsidRPr="003B74E0" w:rsidRDefault="00C409D1" w:rsidP="00A05058">
      <w:pPr>
        <w:pStyle w:val="Heading3"/>
        <w:jc w:val="both"/>
        <w:rPr>
          <w:lang w:bidi="en-GB"/>
        </w:rPr>
      </w:pPr>
      <w:bookmarkStart w:id="132" w:name="_Toc194440337"/>
      <w:bookmarkStart w:id="133" w:name="_Toc218590580"/>
      <w:r w:rsidRPr="003B74E0">
        <w:rPr>
          <w:lang w:bidi="en-GB"/>
        </w:rPr>
        <w:t>Advantages to the Shareholders</w:t>
      </w:r>
      <w:bookmarkEnd w:id="132"/>
      <w:bookmarkEnd w:id="133"/>
    </w:p>
    <w:p w14:paraId="26870040" w14:textId="383B987E" w:rsidR="00D51FD1" w:rsidRPr="003B74E0" w:rsidRDefault="00B144B7" w:rsidP="00CC0325">
      <w:pPr>
        <w:pStyle w:val="ListBullet"/>
        <w:numPr>
          <w:ilvl w:val="0"/>
          <w:numId w:val="47"/>
        </w:numPr>
        <w:jc w:val="both"/>
        <w:rPr>
          <w:lang w:bidi="en-GB"/>
        </w:rPr>
      </w:pPr>
      <w:bookmarkStart w:id="134" w:name="_Toc194440338"/>
      <w:r w:rsidRPr="00DD6B70">
        <w:rPr>
          <w:lang w:bidi="en-GB"/>
        </w:rPr>
        <w:t xml:space="preserve">The Offer Price represents an attractive price as compared to the </w:t>
      </w:r>
      <w:r>
        <w:rPr>
          <w:lang w:bidi="en-GB"/>
        </w:rPr>
        <w:t xml:space="preserve">last day of trading prior to the announcement of the Offer as well the one, three, six, and twelve months volume-weighted average </w:t>
      </w:r>
      <w:r w:rsidRPr="00DD6B70">
        <w:rPr>
          <w:lang w:bidi="en-GB"/>
        </w:rPr>
        <w:t xml:space="preserve">trading prices of the Shares with a high degree of price certainty for </w:t>
      </w:r>
      <w:r>
        <w:rPr>
          <w:lang w:bidi="en-GB"/>
        </w:rPr>
        <w:t>S</w:t>
      </w:r>
      <w:r w:rsidRPr="00DD6B70">
        <w:rPr>
          <w:lang w:bidi="en-GB"/>
        </w:rPr>
        <w:t>hareholders</w:t>
      </w:r>
      <w:r w:rsidR="00D51FD1" w:rsidRPr="003B74E0">
        <w:rPr>
          <w:lang w:bidi="en-GB"/>
        </w:rPr>
        <w:t xml:space="preserve">, see </w:t>
      </w:r>
      <w:r w:rsidR="00F6113D" w:rsidRPr="003B74E0">
        <w:rPr>
          <w:lang w:bidi="en-GB"/>
        </w:rPr>
        <w:t>s</w:t>
      </w:r>
      <w:r w:rsidR="00D51FD1" w:rsidRPr="003B74E0">
        <w:rPr>
          <w:lang w:bidi="en-GB"/>
        </w:rPr>
        <w:t xml:space="preserve">ection </w:t>
      </w:r>
      <w:r w:rsidR="00D51FD1" w:rsidRPr="003B74E0">
        <w:fldChar w:fldCharType="begin"/>
      </w:r>
      <w:r w:rsidR="00D51FD1" w:rsidRPr="003B74E0">
        <w:instrText xml:space="preserve"> REF _Ref203811345 \r \h </w:instrText>
      </w:r>
      <w:r w:rsidR="00CC0325">
        <w:instrText xml:space="preserve"> \* MERGEFORMAT </w:instrText>
      </w:r>
      <w:r w:rsidR="00D51FD1" w:rsidRPr="003B74E0">
        <w:fldChar w:fldCharType="separate"/>
      </w:r>
      <w:r w:rsidR="00DE5216">
        <w:t>8.2.1</w:t>
      </w:r>
      <w:r w:rsidR="00D51FD1" w:rsidRPr="003B74E0">
        <w:fldChar w:fldCharType="end"/>
      </w:r>
      <w:r w:rsidR="00D51FD1" w:rsidRPr="003B74E0">
        <w:rPr>
          <w:lang w:bidi="en-GB"/>
        </w:rPr>
        <w:t xml:space="preserve"> above</w:t>
      </w:r>
      <w:r w:rsidR="00232F77" w:rsidRPr="003B74E0">
        <w:rPr>
          <w:lang w:bidi="en-GB"/>
        </w:rPr>
        <w:t>.</w:t>
      </w:r>
      <w:r w:rsidR="00D51FD1" w:rsidRPr="003B74E0">
        <w:rPr>
          <w:lang w:bidi="en-GB"/>
        </w:rPr>
        <w:t xml:space="preserve"> </w:t>
      </w:r>
    </w:p>
    <w:p w14:paraId="4DA7372D" w14:textId="0728528A" w:rsidR="00F96D13" w:rsidRPr="003B74E0" w:rsidRDefault="00D51FD1" w:rsidP="00CC0325">
      <w:pPr>
        <w:pStyle w:val="ListBullet"/>
        <w:numPr>
          <w:ilvl w:val="0"/>
          <w:numId w:val="47"/>
        </w:numPr>
        <w:spacing w:after="0"/>
        <w:jc w:val="both"/>
      </w:pPr>
      <w:r w:rsidRPr="003B74E0">
        <w:t>The Offer provides the Shareholders with an opportunity:</w:t>
      </w:r>
    </w:p>
    <w:p w14:paraId="6A27EAE8" w14:textId="4E94A2C6" w:rsidR="00F96D13" w:rsidRPr="003B74E0" w:rsidRDefault="00D51FD1" w:rsidP="00B30FE2">
      <w:pPr>
        <w:pStyle w:val="ListBullet4"/>
      </w:pPr>
      <w:r w:rsidRPr="003B74E0">
        <w:rPr>
          <w:lang w:bidi="en-GB"/>
        </w:rPr>
        <w:t xml:space="preserve">to sell their Shares at a price reflecting a premium to the listed share price; </w:t>
      </w:r>
    </w:p>
    <w:p w14:paraId="01967F72" w14:textId="0680361E" w:rsidR="00164A27" w:rsidRPr="003B74E0" w:rsidRDefault="00164A27" w:rsidP="00B30FE2">
      <w:pPr>
        <w:pStyle w:val="ListBullet4"/>
      </w:pPr>
      <w:r w:rsidRPr="003B74E0">
        <w:rPr>
          <w:lang w:bidi="en-GB"/>
        </w:rPr>
        <w:t>to sell their Shares at a price, which in the opinion of the Board of Directors, is attractive;</w:t>
      </w:r>
    </w:p>
    <w:p w14:paraId="16C3C3EA" w14:textId="722E00AA" w:rsidR="00F96D13" w:rsidRPr="003B74E0" w:rsidRDefault="00D51FD1" w:rsidP="00B30FE2">
      <w:pPr>
        <w:pStyle w:val="ListBullet4"/>
      </w:pPr>
      <w:r w:rsidRPr="003B74E0">
        <w:t>to sell all their Shares for a known and fixed consideration; and</w:t>
      </w:r>
    </w:p>
    <w:p w14:paraId="701D2F05" w14:textId="33E65E88" w:rsidR="00D51FD1" w:rsidRPr="003B74E0" w:rsidRDefault="00D51FD1" w:rsidP="00B30FE2">
      <w:pPr>
        <w:pStyle w:val="ListBullet4"/>
      </w:pPr>
      <w:r w:rsidRPr="003B74E0">
        <w:rPr>
          <w:lang w:bidi="en-GB"/>
        </w:rPr>
        <w:t>to sell their Shares at a price, which may not be obtained if the price for the Shares declines after the expiry of the Offer Period</w:t>
      </w:r>
      <w:r w:rsidRPr="003B74E0">
        <w:t>, as a result of events related or unrelated to the Company</w:t>
      </w:r>
      <w:r w:rsidRPr="003B74E0">
        <w:rPr>
          <w:lang w:bidi="en-GB"/>
        </w:rPr>
        <w:t>.</w:t>
      </w:r>
    </w:p>
    <w:p w14:paraId="199161F3" w14:textId="52A41271" w:rsidR="00D51FD1" w:rsidRPr="003B74E0" w:rsidRDefault="00D51FD1" w:rsidP="00CC0325">
      <w:pPr>
        <w:pStyle w:val="ListBullet"/>
        <w:numPr>
          <w:ilvl w:val="0"/>
          <w:numId w:val="47"/>
        </w:numPr>
        <w:jc w:val="both"/>
      </w:pPr>
      <w:r w:rsidRPr="003B74E0">
        <w:t>The Offer Price will be paid in cash.</w:t>
      </w:r>
    </w:p>
    <w:p w14:paraId="79676FA8" w14:textId="0B93E0B7" w:rsidR="00D51FD1" w:rsidRPr="003B74E0" w:rsidRDefault="00D51FD1" w:rsidP="00CC0325">
      <w:pPr>
        <w:pStyle w:val="ListBullet"/>
        <w:numPr>
          <w:ilvl w:val="0"/>
          <w:numId w:val="47"/>
        </w:numPr>
        <w:jc w:val="both"/>
      </w:pPr>
      <w:r w:rsidRPr="003B74E0">
        <w:t xml:space="preserve">Completion of the Offer is subject only to satisfaction of the Conditions, including satisfaction of the </w:t>
      </w:r>
      <w:r w:rsidR="00DB391D" w:rsidRPr="00CC0325">
        <w:t xml:space="preserve">Regulatory Conditions </w:t>
      </w:r>
      <w:r w:rsidRPr="003B74E0">
        <w:t>and the absence of any Material Adverse Change (each as defined in the Offer Document) which are customary in nature.</w:t>
      </w:r>
    </w:p>
    <w:p w14:paraId="1FB7B2FB" w14:textId="3D484996" w:rsidR="00D51FD1" w:rsidRPr="003B74E0" w:rsidRDefault="00D51FD1" w:rsidP="00CC0325">
      <w:pPr>
        <w:pStyle w:val="ListBullet"/>
        <w:numPr>
          <w:ilvl w:val="0"/>
          <w:numId w:val="47"/>
        </w:numPr>
        <w:jc w:val="both"/>
      </w:pPr>
      <w:r w:rsidRPr="003B74E0">
        <w:t>Completion of the Offer is not conditional on other conditions, including any due diligence investigations, the Offeror obtaining any financing or any internal approvals of the</w:t>
      </w:r>
      <w:r w:rsidR="008E69D1" w:rsidRPr="003B74E0">
        <w:t xml:space="preserve"> Offeror</w:t>
      </w:r>
      <w:r w:rsidRPr="003B74E0">
        <w:t>.</w:t>
      </w:r>
    </w:p>
    <w:p w14:paraId="4D66EFD6" w14:textId="19A7FAE7" w:rsidR="00C367F8" w:rsidRPr="003B74E0" w:rsidRDefault="00D51FD1" w:rsidP="00CC0325">
      <w:pPr>
        <w:pStyle w:val="ListBullet"/>
        <w:numPr>
          <w:ilvl w:val="0"/>
          <w:numId w:val="47"/>
        </w:numPr>
        <w:jc w:val="both"/>
      </w:pPr>
      <w:r w:rsidRPr="003B74E0">
        <w:t xml:space="preserve">Accepting the Offer will not restrict the Shareholders from accepting (subject to the restrictions set out in the Offer Document) a </w:t>
      </w:r>
      <w:r w:rsidR="00E45A42" w:rsidRPr="003B74E0">
        <w:t>c</w:t>
      </w:r>
      <w:r w:rsidRPr="003B74E0">
        <w:t xml:space="preserve">ompeting </w:t>
      </w:r>
      <w:r w:rsidR="00E45A42" w:rsidRPr="003B74E0">
        <w:t>o</w:t>
      </w:r>
      <w:r w:rsidRPr="003B74E0">
        <w:t>ffer, if made.</w:t>
      </w:r>
    </w:p>
    <w:p w14:paraId="10B10920" w14:textId="4EB0D7C4" w:rsidR="005024E5" w:rsidRPr="003B74E0" w:rsidRDefault="00B46FD2" w:rsidP="00CC0325">
      <w:pPr>
        <w:pStyle w:val="ListBullet"/>
        <w:numPr>
          <w:ilvl w:val="0"/>
          <w:numId w:val="47"/>
        </w:numPr>
        <w:jc w:val="both"/>
      </w:pPr>
      <w:r w:rsidRPr="003B74E0">
        <w:t xml:space="preserve">Shareholders representing </w:t>
      </w:r>
      <w:r w:rsidR="00B344A3">
        <w:t xml:space="preserve">50.9% </w:t>
      </w:r>
      <w:r w:rsidRPr="003B74E0">
        <w:t xml:space="preserve">of the Shares have signed </w:t>
      </w:r>
      <w:r w:rsidR="00BE5023" w:rsidRPr="003B74E0">
        <w:t xml:space="preserve">the </w:t>
      </w:r>
      <w:r w:rsidR="00FB1A3A" w:rsidRPr="003B74E0">
        <w:t>Irrevocable Under</w:t>
      </w:r>
      <w:r w:rsidR="00BE5023" w:rsidRPr="003B74E0">
        <w:t xml:space="preserve">takings </w:t>
      </w:r>
      <w:r w:rsidR="0026785A" w:rsidRPr="003B74E0">
        <w:t xml:space="preserve">and have thus found the Offer and the Offer Price attractive. Accordingly, </w:t>
      </w:r>
      <w:r w:rsidR="00F5144A">
        <w:t xml:space="preserve">the Board </w:t>
      </w:r>
      <w:r w:rsidR="00AD6C65">
        <w:t xml:space="preserve">of Directors </w:t>
      </w:r>
      <w:r w:rsidR="00F5144A">
        <w:t xml:space="preserve">believes that </w:t>
      </w:r>
      <w:r w:rsidR="0026785A" w:rsidRPr="003B74E0">
        <w:t xml:space="preserve">there is a high </w:t>
      </w:r>
      <w:r w:rsidR="00FA38CE" w:rsidRPr="003B74E0">
        <w:t xml:space="preserve">likelihood that the Offer will be Completed. </w:t>
      </w:r>
    </w:p>
    <w:p w14:paraId="13F8A9ED" w14:textId="1C5F471B" w:rsidR="00C409D1" w:rsidRPr="003B74E0" w:rsidRDefault="00C409D1" w:rsidP="00A05058">
      <w:pPr>
        <w:pStyle w:val="Heading3"/>
        <w:jc w:val="both"/>
        <w:rPr>
          <w:lang w:bidi="en-GB"/>
        </w:rPr>
      </w:pPr>
      <w:bookmarkStart w:id="135" w:name="_Toc218590581"/>
      <w:r w:rsidRPr="003B74E0">
        <w:rPr>
          <w:lang w:bidi="en-GB"/>
        </w:rPr>
        <w:t>Disadvantages to the Shareholders</w:t>
      </w:r>
      <w:bookmarkEnd w:id="134"/>
      <w:bookmarkEnd w:id="135"/>
    </w:p>
    <w:p w14:paraId="7CA0055C" w14:textId="294FABA9" w:rsidR="003875E2" w:rsidRPr="003B74E0" w:rsidRDefault="003875E2" w:rsidP="00CC0325">
      <w:pPr>
        <w:pStyle w:val="ListBullet"/>
        <w:numPr>
          <w:ilvl w:val="0"/>
          <w:numId w:val="47"/>
        </w:numPr>
        <w:jc w:val="both"/>
      </w:pPr>
      <w:r w:rsidRPr="003B74E0">
        <w:t>Shareholders accepting the Offer will, with effect from Completion, not take part in any future value creation in the Company.</w:t>
      </w:r>
    </w:p>
    <w:p w14:paraId="2F69C4B8" w14:textId="25E7AAE1" w:rsidR="003875E2" w:rsidRPr="003B74E0" w:rsidRDefault="003875E2" w:rsidP="00CC0325">
      <w:pPr>
        <w:pStyle w:val="ListBullet"/>
        <w:numPr>
          <w:ilvl w:val="0"/>
          <w:numId w:val="47"/>
        </w:numPr>
        <w:jc w:val="both"/>
      </w:pPr>
      <w:r w:rsidRPr="003B74E0">
        <w:t>The Shareholders will normally have to pay tax on the gain realised if they decide to sell their Shares. Acceptance of the Offer may expedite the taxation. Since the tax consequences of accepting the Offer depends on the tax affairs of each individual Shareholder, the Board of Directors recommends that the Shareholders assess their own tax affairs and, if necessary, consult their own professional advisors.</w:t>
      </w:r>
    </w:p>
    <w:p w14:paraId="629F1591" w14:textId="77777777" w:rsidR="00C409D1" w:rsidRPr="003B74E0" w:rsidRDefault="00C409D1" w:rsidP="00A05058">
      <w:pPr>
        <w:pStyle w:val="Heading2"/>
        <w:jc w:val="both"/>
      </w:pPr>
      <w:bookmarkStart w:id="136" w:name="_Toc194440339"/>
      <w:bookmarkStart w:id="137" w:name="_Ref206674978"/>
      <w:bookmarkStart w:id="138" w:name="_Toc218590582"/>
      <w:r w:rsidRPr="003B74E0">
        <w:t>Potential Consequences for Shareholders not Accepting the Offer</w:t>
      </w:r>
      <w:bookmarkEnd w:id="136"/>
      <w:bookmarkEnd w:id="137"/>
      <w:bookmarkEnd w:id="138"/>
    </w:p>
    <w:p w14:paraId="2F874EF5" w14:textId="178E04EF" w:rsidR="00C409D1" w:rsidRPr="003B74E0" w:rsidRDefault="00C409D1" w:rsidP="00A05058">
      <w:pPr>
        <w:pStyle w:val="DSBodyTextIndent1"/>
        <w:jc w:val="both"/>
      </w:pPr>
      <w:r w:rsidRPr="003B74E0">
        <w:t xml:space="preserve">Shareholders not accepting the Offer could encounter materially changed terms of their investment in the Company, if, following Completion, </w:t>
      </w:r>
      <w:r w:rsidR="000A0B9F" w:rsidRPr="003B74E0">
        <w:t>the Offeror</w:t>
      </w:r>
      <w:r w:rsidR="00236D7B" w:rsidRPr="003B74E0">
        <w:t xml:space="preserve"> </w:t>
      </w:r>
      <w:r w:rsidRPr="003B74E0">
        <w:t xml:space="preserve">is neither entitled nor obliged under applicable Danish law to </w:t>
      </w:r>
      <w:r w:rsidR="00CD0F3F">
        <w:t>acquire</w:t>
      </w:r>
      <w:r w:rsidRPr="003B74E0">
        <w:t xml:space="preserve"> any remaining Shares. Under the Companies Act, only a shareholder holding more than 90% of the shares and voting rights in the company is entitled and obliged to </w:t>
      </w:r>
      <w:r w:rsidR="004753D4">
        <w:t>acquire</w:t>
      </w:r>
      <w:r w:rsidRPr="003B74E0">
        <w:t xml:space="preserve"> the remaining shares.</w:t>
      </w:r>
      <w:r w:rsidRPr="003B74E0">
        <w:rPr>
          <w:vertAlign w:val="superscript"/>
        </w:rPr>
        <w:footnoteReference w:id="5"/>
      </w:r>
    </w:p>
    <w:p w14:paraId="4C54E9E5" w14:textId="77777777" w:rsidR="00693196" w:rsidRPr="003B74E0" w:rsidRDefault="00693196" w:rsidP="00A05058">
      <w:pPr>
        <w:pStyle w:val="DSBodyTextIndent1"/>
        <w:jc w:val="both"/>
      </w:pPr>
    </w:p>
    <w:p w14:paraId="4029F517" w14:textId="088AB7CF" w:rsidR="00C409D1" w:rsidRPr="003B74E0" w:rsidRDefault="00C409D1" w:rsidP="00F6113D">
      <w:pPr>
        <w:pStyle w:val="DSBodyTextIndent1"/>
        <w:jc w:val="both"/>
      </w:pPr>
      <w:r w:rsidRPr="003B74E0">
        <w:t>Potential consequences for Shareholders not accepting the Offer may include, without limitation, any of the following:</w:t>
      </w:r>
    </w:p>
    <w:p w14:paraId="458E7B41" w14:textId="03D05435" w:rsidR="00524188" w:rsidRPr="003B74E0" w:rsidRDefault="00C409D1" w:rsidP="00CC0325">
      <w:pPr>
        <w:pStyle w:val="ListBullet"/>
        <w:numPr>
          <w:ilvl w:val="0"/>
          <w:numId w:val="46"/>
        </w:numPr>
        <w:jc w:val="both"/>
      </w:pPr>
      <w:r w:rsidRPr="003B74E0">
        <w:lastRenderedPageBreak/>
        <w:t xml:space="preserve">It is uncertain whether the market price of the Shares, after Completion of the Offer, will </w:t>
      </w:r>
      <w:r w:rsidR="00B662BE">
        <w:t>increase</w:t>
      </w:r>
      <w:r w:rsidRPr="003B74E0">
        <w:t xml:space="preserve">, </w:t>
      </w:r>
      <w:r w:rsidR="00B662BE">
        <w:t>decrease</w:t>
      </w:r>
      <w:r w:rsidRPr="003B74E0">
        <w:t xml:space="preserve"> or stay at the current level.</w:t>
      </w:r>
    </w:p>
    <w:p w14:paraId="20FA9680" w14:textId="0DCDF98E" w:rsidR="00C409D1" w:rsidRPr="003B74E0" w:rsidRDefault="00C409D1" w:rsidP="00CC0325">
      <w:pPr>
        <w:pStyle w:val="ListBullet"/>
        <w:numPr>
          <w:ilvl w:val="0"/>
          <w:numId w:val="46"/>
        </w:numPr>
        <w:jc w:val="both"/>
      </w:pPr>
      <w:r w:rsidRPr="003B74E0">
        <w:t xml:space="preserve">Completion of the Offer may result in a significant reduction of the free float of the Shares and may significantly impact the liquidity of the Shares on Nasdaq Copenhagen. </w:t>
      </w:r>
    </w:p>
    <w:p w14:paraId="68DE0CCA" w14:textId="39D8B6AD" w:rsidR="00C409D1" w:rsidRDefault="00C409D1" w:rsidP="00CC0325">
      <w:pPr>
        <w:pStyle w:val="ListBullet"/>
        <w:numPr>
          <w:ilvl w:val="0"/>
          <w:numId w:val="46"/>
        </w:numPr>
        <w:jc w:val="both"/>
      </w:pPr>
      <w:r w:rsidRPr="003B74E0">
        <w:t xml:space="preserve">If, after Completion, the Shares in </w:t>
      </w:r>
      <w:r w:rsidR="004E3630" w:rsidRPr="003B74E0">
        <w:t>the Company</w:t>
      </w:r>
      <w:r w:rsidRPr="003B74E0">
        <w:t xml:space="preserve"> are delisted other than </w:t>
      </w:r>
      <w:r w:rsidR="004B70BF">
        <w:t>in connection with</w:t>
      </w:r>
      <w:r w:rsidRPr="003B74E0">
        <w:t xml:space="preserve"> a compulsory acquisition, any remaining Shareholders will no longer benefit from the increased reporting duties required for </w:t>
      </w:r>
      <w:r w:rsidR="004E3630" w:rsidRPr="003B74E0">
        <w:t>the Company</w:t>
      </w:r>
      <w:r w:rsidRPr="003B74E0">
        <w:t xml:space="preserve"> as admitted to trading on a regulated market and the remaining Shareholders' ability to trade in Shares will be materially restricted. Further, if, after Completion, the Shares in </w:t>
      </w:r>
      <w:r w:rsidR="004E3630" w:rsidRPr="003B74E0">
        <w:t>the Compan</w:t>
      </w:r>
      <w:r w:rsidR="00157745" w:rsidRPr="003B74E0">
        <w:t xml:space="preserve">y </w:t>
      </w:r>
      <w:r w:rsidRPr="003B74E0">
        <w:t xml:space="preserve">are delisted other than </w:t>
      </w:r>
      <w:r w:rsidR="004B70BF">
        <w:t>in connection with</w:t>
      </w:r>
      <w:r w:rsidRPr="003B74E0">
        <w:t xml:space="preserve"> a compulsory acquisition, such delisting may have negative consequences for the Shareholders’ tax treatment of the Shares. The </w:t>
      </w:r>
      <w:r w:rsidR="00B86488" w:rsidRPr="003B74E0">
        <w:t>Board of Directors</w:t>
      </w:r>
      <w:r w:rsidRPr="003B74E0">
        <w:t xml:space="preserve"> recommend</w:t>
      </w:r>
      <w:r w:rsidR="00D77DE3" w:rsidRPr="003B74E0">
        <w:t>s</w:t>
      </w:r>
      <w:r w:rsidRPr="003B74E0">
        <w:t xml:space="preserve"> that the Shareholders assess their own tax affairs and, if necessary, consult their own professional advisors.</w:t>
      </w:r>
    </w:p>
    <w:p w14:paraId="19505BBB" w14:textId="4C303A5D" w:rsidR="004738F5" w:rsidRPr="00C111CF" w:rsidRDefault="004738F5" w:rsidP="00C111CF">
      <w:pPr>
        <w:pStyle w:val="ListBullet"/>
        <w:numPr>
          <w:ilvl w:val="0"/>
          <w:numId w:val="46"/>
        </w:numPr>
        <w:jc w:val="both"/>
      </w:pPr>
      <w:r w:rsidRPr="00C111CF">
        <w:t xml:space="preserve">If the Offer is Completed, and the Offeror following Completion owns more than 50% of the Shares the Offeror will, regardless of attendance at the general meeting, be able to elect and remove all shareholder-elected members of the Board of Directors and thus be able to control most strategic and operational decisions as well as the Company's </w:t>
      </w:r>
      <w:r w:rsidR="007A3FD4">
        <w:t>return of capital to Shareholders</w:t>
      </w:r>
      <w:r w:rsidRPr="00C111CF">
        <w:t xml:space="preserve">. </w:t>
      </w:r>
      <w:r w:rsidR="00E0267A">
        <w:t>A</w:t>
      </w:r>
      <w:r w:rsidR="00233CE6">
        <w:t>s</w:t>
      </w:r>
      <w:r w:rsidRPr="00C111CF">
        <w:t xml:space="preserve"> set out in section</w:t>
      </w:r>
      <w:r w:rsidR="00C111CF" w:rsidRPr="00C111CF">
        <w:t xml:space="preserve"> </w:t>
      </w:r>
      <w:r w:rsidR="00C111CF" w:rsidRPr="00C111CF">
        <w:fldChar w:fldCharType="begin"/>
      </w:r>
      <w:r w:rsidR="00C111CF" w:rsidRPr="00C111CF">
        <w:instrText xml:space="preserve"> REF _Ref205904855 \r \h </w:instrText>
      </w:r>
      <w:r w:rsidR="00C111CF">
        <w:instrText xml:space="preserve"> \* MERGEFORMAT </w:instrText>
      </w:r>
      <w:r w:rsidR="00C111CF" w:rsidRPr="00C111CF">
        <w:fldChar w:fldCharType="separate"/>
      </w:r>
      <w:r w:rsidR="00DE5216">
        <w:t>8.3.1.4</w:t>
      </w:r>
      <w:r w:rsidR="00C111CF" w:rsidRPr="00C111CF">
        <w:fldChar w:fldCharType="end"/>
      </w:r>
      <w:r w:rsidRPr="00C111CF">
        <w:t xml:space="preserve">, the Offeror’s </w:t>
      </w:r>
      <w:r w:rsidR="00C111CF" w:rsidRPr="00C111CF">
        <w:t>intention</w:t>
      </w:r>
      <w:r w:rsidRPr="00C111CF">
        <w:t xml:space="preserve"> may involve </w:t>
      </w:r>
      <w:r w:rsidR="008E03F0" w:rsidRPr="00C111CF">
        <w:t xml:space="preserve">not </w:t>
      </w:r>
      <w:r w:rsidRPr="00C111CF">
        <w:t>returning cash to Shareholders. This could result in a lower level or slower pace of dividends, share buybacks, or other capital returns than contemplated by the Company’s current capital allocation and return policy.</w:t>
      </w:r>
    </w:p>
    <w:p w14:paraId="1FB212A4" w14:textId="04195CD4" w:rsidR="004738F5" w:rsidRPr="00BB2F5C" w:rsidRDefault="004738F5" w:rsidP="00BB2F5C">
      <w:pPr>
        <w:pStyle w:val="ListBullet"/>
        <w:numPr>
          <w:ilvl w:val="0"/>
          <w:numId w:val="46"/>
        </w:numPr>
        <w:jc w:val="both"/>
      </w:pPr>
      <w:r w:rsidRPr="00BB2F5C">
        <w:t xml:space="preserve">If the Offer is Completed, and the Offeror following Completion owns 2/3 of the Shares, the Offeror will, regardless of attendance at the general meeting, be secured a qualified (2/3) voting majority at the Company's </w:t>
      </w:r>
      <w:r w:rsidR="002F1545" w:rsidRPr="00BB2F5C">
        <w:t xml:space="preserve">general </w:t>
      </w:r>
      <w:r w:rsidRPr="00BB2F5C">
        <w:t>meeting, which means the Offeror will have a sufficient voting majority to adopt resolutions on changes in the Company, which may be adopted by qualified (2/3) voting majority, including significant structural changes in the Company, including amendment of the articles of association, share capital changes, reorganizations, mergers and demergers of the Company. With respect to share capital changes, this includes approving or authorizing share capital increases at market price without pre-emption rights for existing Shareholders and the Offeror may thus, for example, decide that further investment into the Company</w:t>
      </w:r>
      <w:r w:rsidR="00F56BF2">
        <w:t>, if any,</w:t>
      </w:r>
      <w:r w:rsidRPr="00BB2F5C">
        <w:t xml:space="preserve"> would be carried out through directed share issuances to the Offeror thereby further diluting the ownership share of other Shareholders.</w:t>
      </w:r>
    </w:p>
    <w:p w14:paraId="5BED7E98" w14:textId="48BF8E48" w:rsidR="004738F5" w:rsidRPr="003B74E0" w:rsidRDefault="004738F5" w:rsidP="00892106">
      <w:pPr>
        <w:pStyle w:val="ListBullet"/>
        <w:numPr>
          <w:ilvl w:val="0"/>
          <w:numId w:val="46"/>
        </w:numPr>
        <w:jc w:val="both"/>
      </w:pPr>
      <w:r w:rsidRPr="00942CBA">
        <w:t xml:space="preserve">If the Offeror acquires more than </w:t>
      </w:r>
      <w:r>
        <w:t>1/2</w:t>
      </w:r>
      <w:r w:rsidRPr="00942CBA">
        <w:t xml:space="preserve"> of the votes in the Company in the Offer</w:t>
      </w:r>
      <w:r w:rsidR="00892106">
        <w:t xml:space="preserve">, the Offeror will not be required to make a mandatory public offer to the Shareholders following Completion of the Offer. Further, </w:t>
      </w:r>
      <w:r w:rsidR="00B15D21">
        <w:t>i</w:t>
      </w:r>
      <w:r w:rsidR="00892106">
        <w:t>f the Offeror in the Offer acquires more than 1/3 of the votes in the Company</w:t>
      </w:r>
      <w:r w:rsidR="00C221B5">
        <w:t xml:space="preserve"> and control over the Company (within the meanin</w:t>
      </w:r>
      <w:r w:rsidR="00F422EB">
        <w:t>g</w:t>
      </w:r>
      <w:r w:rsidR="00C221B5">
        <w:t xml:space="preserve"> of the Capital Markets Act) in the Offer,</w:t>
      </w:r>
      <w:r w:rsidRPr="00942CBA">
        <w:t xml:space="preserve"> the Offeror’s subsequent increase </w:t>
      </w:r>
      <w:r w:rsidR="00F422EB">
        <w:t>in</w:t>
      </w:r>
      <w:r w:rsidRPr="00942CBA">
        <w:t xml:space="preserve"> the ownership interest in the Company will not result in an obligation to make a mandatory offer, provided that the Offeror’s holding of Shares continuously results in the Offeror controlling the Company pursuant to section 44 of the Capital Markets Act.</w:t>
      </w:r>
    </w:p>
    <w:p w14:paraId="4ACA2957" w14:textId="77777777" w:rsidR="00346968" w:rsidRPr="003B74E0" w:rsidRDefault="00346968" w:rsidP="00A05058">
      <w:pPr>
        <w:pStyle w:val="DSBodyTextIndent1"/>
        <w:jc w:val="both"/>
      </w:pPr>
      <w:bookmarkStart w:id="139" w:name="_Ref281851222"/>
    </w:p>
    <w:p w14:paraId="2A11D731" w14:textId="023FAFFD" w:rsidR="00292C28" w:rsidRPr="00276E9A" w:rsidRDefault="00292C28" w:rsidP="00292C28">
      <w:pPr>
        <w:pStyle w:val="DSBodyTextIndent1"/>
      </w:pPr>
      <w:r w:rsidRPr="00276E9A">
        <w:t>The Board of Directors advises the Shareholders to take the statements made by the Offeror in the Offer Document, including the abovementioned potential consequences, into due consideration when deciding on whether to accept the Offer as well as the further observations made below. In making these observations, the Board of Directors emphasises that it has no actual knowledge or expectations that the Offeror would seek to exploit its control over the Company following Completion in a manner adverse to minority Shareholders. Against this background, the description set out below is intended to make the Shareholders aware of certain fundamental principles of applicable Danish law</w:t>
      </w:r>
      <w:r w:rsidR="00160683">
        <w:t>.</w:t>
      </w:r>
    </w:p>
    <w:p w14:paraId="09794E4B" w14:textId="77777777" w:rsidR="00292C28" w:rsidRPr="00276E9A" w:rsidRDefault="00292C28" w:rsidP="00292C28">
      <w:pPr>
        <w:pStyle w:val="DSBodyTextIndent1"/>
      </w:pPr>
    </w:p>
    <w:p w14:paraId="0DBD3E68" w14:textId="77777777" w:rsidR="00292C28" w:rsidRPr="00276E9A" w:rsidRDefault="00292C28" w:rsidP="00292C28">
      <w:pPr>
        <w:pStyle w:val="DSBodyTextIndent1"/>
      </w:pPr>
      <w:r w:rsidRPr="00276E9A">
        <w:lastRenderedPageBreak/>
        <w:t>While the Danish Companies Act offers the minority shareholders of a company certain protective rights, and while (</w:t>
      </w:r>
      <w:proofErr w:type="spellStart"/>
      <w:r w:rsidRPr="00276E9A">
        <w:t>i</w:t>
      </w:r>
      <w:proofErr w:type="spellEnd"/>
      <w:r w:rsidRPr="00276E9A">
        <w:t>) the board of directors of the company is under Danish law obliged to safeguard the interests of the company and of all shareholders, (ii) the individual members of the board of directors being excluded from participating in any decision where such member has or represents a third party that has or may have a material interest in the decision that conflicts with those of the company,</w:t>
      </w:r>
      <w:r w:rsidRPr="00276E9A">
        <w:rPr>
          <w:rStyle w:val="FootnoteReference"/>
        </w:rPr>
        <w:footnoteReference w:id="6"/>
      </w:r>
      <w:r w:rsidRPr="00276E9A">
        <w:t xml:space="preserve"> and (iii) neither the general meeting nor the board of directors are allowed to take or implement any decision that may grant a third party (including a shareholder) an undue advantage to the detriment of the company or any of its shareholders,</w:t>
      </w:r>
      <w:r w:rsidRPr="00276E9A">
        <w:rPr>
          <w:rStyle w:val="FootnoteReference"/>
        </w:rPr>
        <w:footnoteReference w:id="7"/>
      </w:r>
      <w:r w:rsidRPr="00276E9A">
        <w:t xml:space="preserve"> there can be no assurance that such rights will give the minority shareholders adequate protection, and in any event, enforcement of such rights may be costly and time-consuming. Under general principles of Danish law, a shareholder does not owe any fiduciary or similar duties to the company or the other shareholders.</w:t>
      </w:r>
    </w:p>
    <w:p w14:paraId="300FE73C" w14:textId="77777777" w:rsidR="00292C28" w:rsidRPr="00276E9A" w:rsidRDefault="00292C28" w:rsidP="00292C28">
      <w:pPr>
        <w:pStyle w:val="DSBodyTextIndent1"/>
      </w:pPr>
    </w:p>
    <w:p w14:paraId="1371474D" w14:textId="4A3DAFCD" w:rsidR="00346968" w:rsidRPr="003B74E0" w:rsidRDefault="00F6113D" w:rsidP="00F6113D">
      <w:pPr>
        <w:pStyle w:val="DSBodyTextIndent1"/>
        <w:jc w:val="both"/>
      </w:pPr>
      <w:r w:rsidRPr="003B74E0">
        <w:br w:type="page"/>
      </w:r>
    </w:p>
    <w:p w14:paraId="1CF52F4B" w14:textId="77777777" w:rsidR="00C409D1" w:rsidRPr="003B74E0" w:rsidRDefault="00C409D1" w:rsidP="00A05058">
      <w:pPr>
        <w:pStyle w:val="Heading1"/>
        <w:jc w:val="both"/>
      </w:pPr>
      <w:bookmarkStart w:id="140" w:name="_Ref134026483"/>
      <w:bookmarkStart w:id="141" w:name="_Toc194440340"/>
      <w:bookmarkStart w:id="142" w:name="_Toc218590583"/>
      <w:r w:rsidRPr="003B74E0">
        <w:rPr>
          <w:lang w:bidi="en-GB"/>
        </w:rPr>
        <w:lastRenderedPageBreak/>
        <w:t>Information about certain ownership interests</w:t>
      </w:r>
      <w:bookmarkEnd w:id="139"/>
      <w:r w:rsidRPr="003B74E0">
        <w:rPr>
          <w:lang w:bidi="en-GB"/>
        </w:rPr>
        <w:t xml:space="preserve"> etc.</w:t>
      </w:r>
      <w:bookmarkEnd w:id="140"/>
      <w:bookmarkEnd w:id="141"/>
      <w:bookmarkEnd w:id="142"/>
    </w:p>
    <w:p w14:paraId="052421FF" w14:textId="4787538E" w:rsidR="00C409D1" w:rsidRPr="003B74E0" w:rsidRDefault="00C409D1" w:rsidP="00A05058">
      <w:pPr>
        <w:pStyle w:val="Heading2"/>
        <w:jc w:val="both"/>
      </w:pPr>
      <w:bookmarkStart w:id="143" w:name="_Toc194440341"/>
      <w:bookmarkStart w:id="144" w:name="_Toc218590584"/>
      <w:bookmarkStart w:id="145" w:name="_Ref117489831"/>
      <w:r w:rsidRPr="003B74E0">
        <w:rPr>
          <w:lang w:bidi="en-GB"/>
        </w:rPr>
        <w:t xml:space="preserve">Ownership Interests held by the </w:t>
      </w:r>
      <w:r w:rsidR="00B86488" w:rsidRPr="003B74E0">
        <w:rPr>
          <w:lang w:bidi="en-GB"/>
        </w:rPr>
        <w:t>Board of Directors</w:t>
      </w:r>
      <w:r w:rsidRPr="003B74E0">
        <w:rPr>
          <w:lang w:bidi="en-GB"/>
        </w:rPr>
        <w:t xml:space="preserve"> and </w:t>
      </w:r>
      <w:r w:rsidR="006140EF" w:rsidRPr="003B74E0">
        <w:rPr>
          <w:lang w:bidi="en-GB"/>
        </w:rPr>
        <w:t>Executive</w:t>
      </w:r>
      <w:r w:rsidRPr="003B74E0">
        <w:rPr>
          <w:lang w:bidi="en-GB"/>
        </w:rPr>
        <w:t xml:space="preserve"> Management</w:t>
      </w:r>
      <w:bookmarkEnd w:id="143"/>
      <w:bookmarkEnd w:id="144"/>
    </w:p>
    <w:p w14:paraId="5638EDA1" w14:textId="1D1AB2F6" w:rsidR="00C409D1" w:rsidRPr="003B74E0" w:rsidRDefault="00C409D1" w:rsidP="00A05058">
      <w:pPr>
        <w:pStyle w:val="DSBodyTextIndent1"/>
        <w:jc w:val="both"/>
        <w:rPr>
          <w:lang w:bidi="en-GB"/>
        </w:rPr>
      </w:pPr>
      <w:r w:rsidRPr="003B74E0">
        <w:rPr>
          <w:lang w:bidi="en-GB"/>
        </w:rPr>
        <w:t xml:space="preserve">The </w:t>
      </w:r>
      <w:r w:rsidR="00B86488" w:rsidRPr="003B74E0">
        <w:rPr>
          <w:lang w:bidi="en-GB"/>
        </w:rPr>
        <w:t>Board of Directors</w:t>
      </w:r>
      <w:r w:rsidRPr="003B74E0">
        <w:rPr>
          <w:lang w:bidi="en-GB"/>
        </w:rPr>
        <w:t xml:space="preserve"> and the Executive Management hold Shares in the Company as set out in </w:t>
      </w:r>
      <w:r w:rsidRPr="003B74E0">
        <w:rPr>
          <w:u w:val="single"/>
          <w:lang w:bidi="en-GB"/>
        </w:rPr>
        <w:t>Appendix 1</w:t>
      </w:r>
      <w:r w:rsidRPr="003B74E0">
        <w:rPr>
          <w:lang w:bidi="en-GB"/>
        </w:rPr>
        <w:t xml:space="preserve"> </w:t>
      </w:r>
      <w:r w:rsidR="00A82767" w:rsidRPr="003B74E0">
        <w:rPr>
          <w:lang w:bidi="en-GB"/>
        </w:rPr>
        <w:t>(</w:t>
      </w:r>
      <w:r w:rsidR="004F10FE" w:rsidRPr="003B74E0">
        <w:rPr>
          <w:i/>
          <w:iCs/>
          <w:lang w:bidi="en-GB"/>
        </w:rPr>
        <w:t xml:space="preserve">Equity instruments held by the </w:t>
      </w:r>
      <w:r w:rsidR="00B86488" w:rsidRPr="003B74E0">
        <w:rPr>
          <w:i/>
          <w:iCs/>
          <w:lang w:bidi="en-GB"/>
        </w:rPr>
        <w:t>Board of Directors</w:t>
      </w:r>
      <w:r w:rsidR="00A82767" w:rsidRPr="003B74E0">
        <w:rPr>
          <w:lang w:bidi="en-GB"/>
        </w:rPr>
        <w:t xml:space="preserve">) and </w:t>
      </w:r>
      <w:r w:rsidR="00A82767" w:rsidRPr="003B74E0">
        <w:rPr>
          <w:u w:val="single"/>
          <w:lang w:bidi="en-GB"/>
        </w:rPr>
        <w:t>Appendix 2</w:t>
      </w:r>
      <w:r w:rsidR="00A82767" w:rsidRPr="003B74E0">
        <w:rPr>
          <w:lang w:bidi="en-GB"/>
        </w:rPr>
        <w:t xml:space="preserve"> (</w:t>
      </w:r>
      <w:r w:rsidR="004F10FE" w:rsidRPr="003B74E0">
        <w:rPr>
          <w:i/>
          <w:iCs/>
          <w:lang w:bidi="en-GB"/>
        </w:rPr>
        <w:t>Equity instruments held by the Executive Management</w:t>
      </w:r>
      <w:r w:rsidR="00A82767" w:rsidRPr="003B74E0">
        <w:rPr>
          <w:lang w:bidi="en-GB"/>
        </w:rPr>
        <w:t xml:space="preserve">) </w:t>
      </w:r>
      <w:r w:rsidRPr="003B74E0">
        <w:rPr>
          <w:lang w:bidi="en-GB"/>
        </w:rPr>
        <w:t xml:space="preserve">to this Statement. </w:t>
      </w:r>
    </w:p>
    <w:p w14:paraId="610129F4" w14:textId="7B36FF30" w:rsidR="00C409D1" w:rsidRPr="003B74E0" w:rsidRDefault="00A353DD" w:rsidP="00A05058">
      <w:pPr>
        <w:pStyle w:val="Heading2"/>
        <w:jc w:val="both"/>
      </w:pPr>
      <w:bookmarkStart w:id="146" w:name="_Ref506623510"/>
      <w:bookmarkStart w:id="147" w:name="_Toc194440342"/>
      <w:bookmarkStart w:id="148" w:name="_Toc218590585"/>
      <w:r w:rsidRPr="003B74E0">
        <w:rPr>
          <w:lang w:bidi="en-GB"/>
        </w:rPr>
        <w:t xml:space="preserve">Equity instruments </w:t>
      </w:r>
      <w:bookmarkEnd w:id="146"/>
      <w:bookmarkEnd w:id="147"/>
      <w:r w:rsidR="006140EF" w:rsidRPr="003B74E0">
        <w:rPr>
          <w:lang w:bidi="en-GB"/>
        </w:rPr>
        <w:t>held by the Board of Directors and Executive Management</w:t>
      </w:r>
      <w:bookmarkEnd w:id="148"/>
    </w:p>
    <w:p w14:paraId="71AEA8CE" w14:textId="535393AC" w:rsidR="00C409D1" w:rsidRPr="003B74E0" w:rsidRDefault="00C83F22" w:rsidP="00A05058">
      <w:pPr>
        <w:pStyle w:val="DSBodyTextIndent1"/>
        <w:jc w:val="both"/>
        <w:rPr>
          <w:lang w:bidi="en-GB"/>
        </w:rPr>
      </w:pPr>
      <w:r>
        <w:rPr>
          <w:lang w:bidi="en-GB"/>
        </w:rPr>
        <w:t>Certain members of t</w:t>
      </w:r>
      <w:r w:rsidR="00C409D1" w:rsidRPr="003B74E0">
        <w:rPr>
          <w:lang w:bidi="en-GB"/>
        </w:rPr>
        <w:t xml:space="preserve">he </w:t>
      </w:r>
      <w:r w:rsidR="00B86488" w:rsidRPr="003B74E0">
        <w:rPr>
          <w:lang w:bidi="en-GB"/>
        </w:rPr>
        <w:t>Board of Directors</w:t>
      </w:r>
      <w:r w:rsidR="004F10FE" w:rsidRPr="003B74E0">
        <w:rPr>
          <w:lang w:bidi="en-GB"/>
        </w:rPr>
        <w:t xml:space="preserve"> and the Executive Management </w:t>
      </w:r>
      <w:r w:rsidR="00C409D1" w:rsidRPr="003B74E0">
        <w:rPr>
          <w:lang w:bidi="en-GB"/>
        </w:rPr>
        <w:t xml:space="preserve">hold </w:t>
      </w:r>
      <w:r w:rsidR="00A353DD" w:rsidRPr="003B74E0">
        <w:rPr>
          <w:lang w:bidi="en-GB"/>
        </w:rPr>
        <w:t>w</w:t>
      </w:r>
      <w:r w:rsidR="00E645B2" w:rsidRPr="003B74E0">
        <w:rPr>
          <w:lang w:bidi="en-GB"/>
        </w:rPr>
        <w:t xml:space="preserve">arrants and </w:t>
      </w:r>
      <w:r w:rsidR="000A70D0" w:rsidRPr="003B74E0">
        <w:rPr>
          <w:lang w:bidi="en-GB"/>
        </w:rPr>
        <w:t>P</w:t>
      </w:r>
      <w:r w:rsidR="00C409D1" w:rsidRPr="003B74E0">
        <w:rPr>
          <w:lang w:bidi="en-GB"/>
        </w:rPr>
        <w:t xml:space="preserve">SUs in the Company. The number of </w:t>
      </w:r>
      <w:r w:rsidR="00A353DD" w:rsidRPr="003B74E0">
        <w:rPr>
          <w:lang w:bidi="en-GB"/>
        </w:rPr>
        <w:t>w</w:t>
      </w:r>
      <w:r w:rsidR="00E645B2" w:rsidRPr="003B74E0">
        <w:rPr>
          <w:lang w:bidi="en-GB"/>
        </w:rPr>
        <w:t xml:space="preserve">arrants and </w:t>
      </w:r>
      <w:r w:rsidR="000A70D0" w:rsidRPr="003B74E0">
        <w:rPr>
          <w:lang w:bidi="en-GB"/>
        </w:rPr>
        <w:t>P</w:t>
      </w:r>
      <w:r w:rsidR="00E645B2" w:rsidRPr="003B74E0">
        <w:rPr>
          <w:lang w:bidi="en-GB"/>
        </w:rPr>
        <w:t xml:space="preserve">SUs </w:t>
      </w:r>
      <w:r w:rsidR="00B662BE">
        <w:rPr>
          <w:lang w:bidi="en-GB"/>
        </w:rPr>
        <w:t>(as relevant)</w:t>
      </w:r>
      <w:r w:rsidR="00E645B2" w:rsidRPr="003B74E0">
        <w:rPr>
          <w:lang w:bidi="en-GB"/>
        </w:rPr>
        <w:t xml:space="preserve"> </w:t>
      </w:r>
      <w:r w:rsidR="00C409D1" w:rsidRPr="003B74E0">
        <w:rPr>
          <w:lang w:bidi="en-GB"/>
        </w:rPr>
        <w:t>held by the</w:t>
      </w:r>
      <w:r w:rsidR="004F10FE" w:rsidRPr="003B74E0">
        <w:rPr>
          <w:lang w:bidi="en-GB"/>
        </w:rPr>
        <w:t xml:space="preserve"> </w:t>
      </w:r>
      <w:r>
        <w:rPr>
          <w:lang w:bidi="en-GB"/>
        </w:rPr>
        <w:t>members of</w:t>
      </w:r>
      <w:r w:rsidR="00C409D1" w:rsidRPr="003B74E0">
        <w:rPr>
          <w:lang w:bidi="en-GB"/>
        </w:rPr>
        <w:t xml:space="preserve"> the</w:t>
      </w:r>
      <w:r w:rsidR="004F10FE" w:rsidRPr="003B74E0">
        <w:rPr>
          <w:lang w:bidi="en-GB"/>
        </w:rPr>
        <w:t xml:space="preserve"> </w:t>
      </w:r>
      <w:r w:rsidR="00B86488" w:rsidRPr="003B74E0">
        <w:rPr>
          <w:lang w:bidi="en-GB"/>
        </w:rPr>
        <w:t>Board of Directors</w:t>
      </w:r>
      <w:r w:rsidR="004F10FE" w:rsidRPr="003B74E0">
        <w:rPr>
          <w:lang w:bidi="en-GB"/>
        </w:rPr>
        <w:t xml:space="preserve"> is set out in </w:t>
      </w:r>
      <w:r w:rsidR="004F10FE" w:rsidRPr="003B74E0">
        <w:rPr>
          <w:u w:val="single"/>
          <w:lang w:bidi="en-GB"/>
        </w:rPr>
        <w:t>Appendix 1</w:t>
      </w:r>
      <w:r w:rsidR="004F10FE" w:rsidRPr="003B74E0">
        <w:rPr>
          <w:lang w:bidi="en-GB"/>
        </w:rPr>
        <w:t xml:space="preserve"> (</w:t>
      </w:r>
      <w:r w:rsidR="004F10FE" w:rsidRPr="003B74E0">
        <w:rPr>
          <w:i/>
          <w:iCs/>
          <w:lang w:bidi="en-GB"/>
        </w:rPr>
        <w:t xml:space="preserve">Equity instruments held by the </w:t>
      </w:r>
      <w:r w:rsidR="00B86488" w:rsidRPr="003B74E0">
        <w:rPr>
          <w:i/>
          <w:iCs/>
          <w:lang w:bidi="en-GB"/>
        </w:rPr>
        <w:t>Board of Directors</w:t>
      </w:r>
      <w:r w:rsidR="004F10FE" w:rsidRPr="003B74E0">
        <w:rPr>
          <w:lang w:bidi="en-GB"/>
        </w:rPr>
        <w:t>)</w:t>
      </w:r>
      <w:r w:rsidR="00C409D1" w:rsidRPr="003B74E0">
        <w:rPr>
          <w:lang w:bidi="en-GB"/>
        </w:rPr>
        <w:t xml:space="preserve"> to this Statement</w:t>
      </w:r>
      <w:r w:rsidR="004F10FE" w:rsidRPr="003B74E0">
        <w:rPr>
          <w:lang w:bidi="en-GB"/>
        </w:rPr>
        <w:t xml:space="preserve"> and the number of Warrants and </w:t>
      </w:r>
      <w:r w:rsidR="00247401" w:rsidRPr="003B74E0">
        <w:rPr>
          <w:lang w:bidi="en-GB"/>
        </w:rPr>
        <w:t>P</w:t>
      </w:r>
      <w:r w:rsidR="004F10FE" w:rsidRPr="003B74E0">
        <w:rPr>
          <w:lang w:bidi="en-GB"/>
        </w:rPr>
        <w:t xml:space="preserve">SUs held by </w:t>
      </w:r>
      <w:r>
        <w:rPr>
          <w:lang w:bidi="en-GB"/>
        </w:rPr>
        <w:t xml:space="preserve">members of </w:t>
      </w:r>
      <w:r w:rsidR="004F10FE" w:rsidRPr="003B74E0">
        <w:rPr>
          <w:lang w:bidi="en-GB"/>
        </w:rPr>
        <w:t xml:space="preserve">the Executive Management is set out in </w:t>
      </w:r>
      <w:r w:rsidR="004F10FE" w:rsidRPr="003B74E0">
        <w:rPr>
          <w:u w:val="single"/>
          <w:lang w:bidi="en-GB"/>
        </w:rPr>
        <w:t>Appendix 2</w:t>
      </w:r>
      <w:r w:rsidR="004F10FE" w:rsidRPr="003B74E0">
        <w:rPr>
          <w:lang w:bidi="en-GB"/>
        </w:rPr>
        <w:t xml:space="preserve"> (</w:t>
      </w:r>
      <w:r w:rsidR="004F10FE" w:rsidRPr="003B74E0">
        <w:rPr>
          <w:i/>
          <w:iCs/>
          <w:lang w:bidi="en-GB"/>
        </w:rPr>
        <w:t>Equity instruments held by the Executive Management</w:t>
      </w:r>
      <w:r w:rsidR="004F10FE" w:rsidRPr="003B74E0">
        <w:rPr>
          <w:lang w:bidi="en-GB"/>
        </w:rPr>
        <w:t>) to this Statement</w:t>
      </w:r>
      <w:r w:rsidR="00C409D1" w:rsidRPr="003B74E0">
        <w:rPr>
          <w:lang w:bidi="en-GB"/>
        </w:rPr>
        <w:t xml:space="preserve">. </w:t>
      </w:r>
    </w:p>
    <w:p w14:paraId="53D76E94" w14:textId="77777777" w:rsidR="00BB2072" w:rsidRPr="003B74E0" w:rsidRDefault="00BB2072" w:rsidP="00A05058">
      <w:pPr>
        <w:pStyle w:val="DSBodyTextIndent1"/>
        <w:jc w:val="both"/>
        <w:rPr>
          <w:lang w:bidi="en-GB"/>
        </w:rPr>
      </w:pPr>
    </w:p>
    <w:p w14:paraId="548ED97A" w14:textId="206DFA69" w:rsidR="00C409D1" w:rsidRPr="003B74E0" w:rsidRDefault="00C409D1" w:rsidP="00A05058">
      <w:pPr>
        <w:pStyle w:val="DSBodyTextIndent1"/>
        <w:jc w:val="both"/>
        <w:rPr>
          <w:lang w:bidi="en-GB"/>
        </w:rPr>
      </w:pPr>
      <w:r w:rsidRPr="003B74E0">
        <w:rPr>
          <w:lang w:bidi="en-GB"/>
        </w:rPr>
        <w:t xml:space="preserve">Please refer to section </w:t>
      </w:r>
      <w:r w:rsidRPr="003B74E0">
        <w:fldChar w:fldCharType="begin"/>
      </w:r>
      <w:r w:rsidRPr="003B74E0">
        <w:rPr>
          <w:lang w:bidi="en-GB"/>
        </w:rPr>
        <w:instrText xml:space="preserve"> REF _Ref134025496 \r \h </w:instrText>
      </w:r>
      <w:r w:rsidR="00A05058" w:rsidRPr="003B74E0">
        <w:instrText xml:space="preserve"> \* MERGEFORMAT </w:instrText>
      </w:r>
      <w:r w:rsidRPr="003B74E0">
        <w:fldChar w:fldCharType="separate"/>
      </w:r>
      <w:r w:rsidR="00DE5216">
        <w:rPr>
          <w:lang w:bidi="en-GB"/>
        </w:rPr>
        <w:t>5</w:t>
      </w:r>
      <w:r w:rsidRPr="003B74E0">
        <w:fldChar w:fldCharType="end"/>
      </w:r>
      <w:r w:rsidRPr="003B74E0">
        <w:rPr>
          <w:lang w:bidi="en-GB"/>
        </w:rPr>
        <w:t xml:space="preserve"> above for a summary of the consequences of the Offer on </w:t>
      </w:r>
      <w:r w:rsidR="00B8185C" w:rsidRPr="003B74E0">
        <w:rPr>
          <w:lang w:bidi="en-GB"/>
        </w:rPr>
        <w:t>the Share-Based Incentive Programs</w:t>
      </w:r>
      <w:r w:rsidRPr="003B74E0">
        <w:rPr>
          <w:lang w:bidi="en-GB"/>
        </w:rPr>
        <w:t xml:space="preserve">, including </w:t>
      </w:r>
      <w:r w:rsidR="00A353DD" w:rsidRPr="003B74E0">
        <w:rPr>
          <w:lang w:bidi="en-GB"/>
        </w:rPr>
        <w:t>w</w:t>
      </w:r>
      <w:r w:rsidR="00E645B2" w:rsidRPr="003B74E0">
        <w:rPr>
          <w:lang w:bidi="en-GB"/>
        </w:rPr>
        <w:t xml:space="preserve">arrants and </w:t>
      </w:r>
      <w:r w:rsidR="00247401" w:rsidRPr="003B74E0">
        <w:rPr>
          <w:lang w:bidi="en-GB"/>
        </w:rPr>
        <w:t>P</w:t>
      </w:r>
      <w:r w:rsidR="00E645B2" w:rsidRPr="003B74E0">
        <w:rPr>
          <w:lang w:bidi="en-GB"/>
        </w:rPr>
        <w:t xml:space="preserve">SUs </w:t>
      </w:r>
      <w:r w:rsidRPr="003B74E0">
        <w:rPr>
          <w:lang w:bidi="en-GB"/>
        </w:rPr>
        <w:t xml:space="preserve">held by </w:t>
      </w:r>
      <w:r w:rsidR="00BB2072" w:rsidRPr="003B74E0">
        <w:rPr>
          <w:lang w:bidi="en-GB"/>
        </w:rPr>
        <w:t xml:space="preserve">the </w:t>
      </w:r>
      <w:r w:rsidR="00B86488" w:rsidRPr="003B74E0">
        <w:rPr>
          <w:lang w:bidi="en-GB"/>
        </w:rPr>
        <w:t>Board of Directors</w:t>
      </w:r>
      <w:r w:rsidR="00BB2072" w:rsidRPr="003B74E0">
        <w:rPr>
          <w:lang w:bidi="en-GB"/>
        </w:rPr>
        <w:t xml:space="preserve"> and </w:t>
      </w:r>
      <w:r w:rsidRPr="003B74E0">
        <w:rPr>
          <w:lang w:bidi="en-GB"/>
        </w:rPr>
        <w:t>the Executive Management.</w:t>
      </w:r>
      <w:bookmarkStart w:id="149" w:name="_Ref281846599"/>
      <w:r w:rsidRPr="003B74E0">
        <w:rPr>
          <w:lang w:bidi="en-GB"/>
        </w:rPr>
        <w:t xml:space="preserve"> </w:t>
      </w:r>
    </w:p>
    <w:p w14:paraId="2A4AB9B8" w14:textId="1DF63C36" w:rsidR="00C2519C" w:rsidRPr="003B74E0" w:rsidRDefault="00120C26" w:rsidP="00120C26">
      <w:pPr>
        <w:pStyle w:val="Heading2"/>
        <w:jc w:val="both"/>
        <w:rPr>
          <w:lang w:bidi="en-GB"/>
        </w:rPr>
      </w:pPr>
      <w:bookmarkStart w:id="150" w:name="_Toc218590586"/>
      <w:r w:rsidRPr="003B74E0">
        <w:rPr>
          <w:lang w:bidi="en-GB"/>
        </w:rPr>
        <w:t>Bonus Payments</w:t>
      </w:r>
      <w:bookmarkEnd w:id="150"/>
    </w:p>
    <w:bookmarkEnd w:id="145"/>
    <w:bookmarkEnd w:id="149"/>
    <w:p w14:paraId="0E4DADE1" w14:textId="4DA9BB76" w:rsidR="00C409D1" w:rsidRPr="003B74E0" w:rsidRDefault="00A95309" w:rsidP="00A05058">
      <w:pPr>
        <w:pStyle w:val="DSBodyTextIndent1"/>
        <w:jc w:val="both"/>
        <w:rPr>
          <w:lang w:bidi="en-GB"/>
        </w:rPr>
      </w:pPr>
      <w:r w:rsidRPr="003B74E0">
        <w:rPr>
          <w:lang w:bidi="en-GB"/>
        </w:rPr>
        <w:t>No member of the Executive Management are entitled to any transaction bonuses.</w:t>
      </w:r>
      <w:r w:rsidR="00C409D1" w:rsidRPr="003B74E0">
        <w:br w:type="page"/>
      </w:r>
    </w:p>
    <w:p w14:paraId="55144E7A" w14:textId="77777777" w:rsidR="00C409D1" w:rsidRPr="003B74E0" w:rsidRDefault="00C409D1" w:rsidP="00A05058">
      <w:pPr>
        <w:pStyle w:val="Heading1"/>
        <w:jc w:val="both"/>
      </w:pPr>
      <w:bookmarkStart w:id="151" w:name="_Toc194440344"/>
      <w:bookmarkStart w:id="152" w:name="_Toc218590587"/>
      <w:r w:rsidRPr="003B74E0">
        <w:lastRenderedPageBreak/>
        <w:t>miscellaneous</w:t>
      </w:r>
      <w:bookmarkEnd w:id="151"/>
      <w:bookmarkEnd w:id="152"/>
    </w:p>
    <w:p w14:paraId="071391F0" w14:textId="77777777" w:rsidR="00C409D1" w:rsidRPr="003B74E0" w:rsidRDefault="00C409D1" w:rsidP="00A05058">
      <w:pPr>
        <w:pStyle w:val="Heading2"/>
        <w:jc w:val="both"/>
      </w:pPr>
      <w:bookmarkStart w:id="153" w:name="_Toc194440345"/>
      <w:bookmarkStart w:id="154" w:name="_Toc218590588"/>
      <w:r w:rsidRPr="003B74E0">
        <w:rPr>
          <w:lang w:bidi="en-GB"/>
        </w:rPr>
        <w:t>Applicable Law</w:t>
      </w:r>
      <w:bookmarkEnd w:id="153"/>
      <w:bookmarkEnd w:id="154"/>
    </w:p>
    <w:p w14:paraId="14D26215" w14:textId="77777777" w:rsidR="00C409D1" w:rsidRPr="003B74E0" w:rsidRDefault="00C409D1" w:rsidP="00A05058">
      <w:pPr>
        <w:pStyle w:val="DSBodyTextIndent1"/>
        <w:jc w:val="both"/>
      </w:pPr>
      <w:r w:rsidRPr="003B74E0">
        <w:rPr>
          <w:lang w:bidi="en-GB"/>
        </w:rPr>
        <w:t xml:space="preserve">This Statement is subject to and governed by Danish law. </w:t>
      </w:r>
    </w:p>
    <w:p w14:paraId="66097474" w14:textId="78B2D9CA" w:rsidR="00C409D1" w:rsidRPr="003B74E0" w:rsidRDefault="00C409D1" w:rsidP="00A05058">
      <w:pPr>
        <w:pStyle w:val="Heading2"/>
        <w:jc w:val="both"/>
      </w:pPr>
      <w:bookmarkStart w:id="155" w:name="_Toc194440346"/>
      <w:bookmarkStart w:id="156" w:name="_Ref217982563"/>
      <w:bookmarkStart w:id="157" w:name="_Toc218590589"/>
      <w:r w:rsidRPr="003B74E0">
        <w:t>Forward</w:t>
      </w:r>
      <w:r w:rsidR="00DA5DB4">
        <w:t>-</w:t>
      </w:r>
      <w:r w:rsidRPr="003B74E0">
        <w:t>Looking Statements</w:t>
      </w:r>
      <w:bookmarkEnd w:id="155"/>
      <w:bookmarkEnd w:id="156"/>
      <w:bookmarkEnd w:id="157"/>
    </w:p>
    <w:p w14:paraId="13C56228" w14:textId="04D2035E" w:rsidR="00C409D1" w:rsidRPr="003B74E0" w:rsidRDefault="00C409D1" w:rsidP="00A05058">
      <w:pPr>
        <w:pStyle w:val="DSBodyTextIndent1"/>
        <w:jc w:val="both"/>
        <w:rPr>
          <w:lang w:bidi="en-GB"/>
        </w:rPr>
      </w:pPr>
      <w:r w:rsidRPr="003B74E0">
        <w:rPr>
          <w:lang w:bidi="en-GB"/>
        </w:rPr>
        <w:t xml:space="preserve">Certain matters addressed in this Statement may constitute forward-looking statements. Forward-looking statements are statements which are not historical facts and which are characterised by words such as "assesses", </w:t>
      </w:r>
      <w:r w:rsidR="00D4068E">
        <w:rPr>
          <w:lang w:bidi="en-GB"/>
        </w:rPr>
        <w:t>"</w:t>
      </w:r>
      <w:r w:rsidRPr="003B74E0">
        <w:rPr>
          <w:lang w:bidi="en-GB"/>
        </w:rPr>
        <w:t>believes</w:t>
      </w:r>
      <w:r w:rsidR="00D4068E">
        <w:rPr>
          <w:lang w:bidi="en-GB"/>
        </w:rPr>
        <w:t>"</w:t>
      </w:r>
      <w:r w:rsidRPr="003B74E0">
        <w:rPr>
          <w:lang w:bidi="en-GB"/>
        </w:rPr>
        <w:t xml:space="preserve">, </w:t>
      </w:r>
      <w:r w:rsidR="00D4068E">
        <w:rPr>
          <w:lang w:bidi="en-GB"/>
        </w:rPr>
        <w:t>"</w:t>
      </w:r>
      <w:r w:rsidRPr="003B74E0">
        <w:rPr>
          <w:lang w:bidi="en-GB"/>
        </w:rPr>
        <w:t>expects</w:t>
      </w:r>
      <w:r w:rsidR="00D4068E">
        <w:rPr>
          <w:lang w:bidi="en-GB"/>
        </w:rPr>
        <w:t>"</w:t>
      </w:r>
      <w:r w:rsidRPr="003B74E0">
        <w:rPr>
          <w:lang w:bidi="en-GB"/>
        </w:rPr>
        <w:t xml:space="preserve">, </w:t>
      </w:r>
      <w:r w:rsidR="00D4068E">
        <w:rPr>
          <w:lang w:bidi="en-GB"/>
        </w:rPr>
        <w:t>"</w:t>
      </w:r>
      <w:r w:rsidRPr="003B74E0">
        <w:rPr>
          <w:lang w:bidi="en-GB"/>
        </w:rPr>
        <w:t>assumes</w:t>
      </w:r>
      <w:r w:rsidR="00D4068E">
        <w:rPr>
          <w:lang w:bidi="en-GB"/>
        </w:rPr>
        <w:t>"</w:t>
      </w:r>
      <w:r w:rsidRPr="003B74E0">
        <w:rPr>
          <w:lang w:bidi="en-GB"/>
        </w:rPr>
        <w:t xml:space="preserve">, </w:t>
      </w:r>
      <w:r w:rsidR="00D4068E">
        <w:rPr>
          <w:lang w:bidi="en-GB"/>
        </w:rPr>
        <w:t>"</w:t>
      </w:r>
      <w:r w:rsidRPr="003B74E0">
        <w:rPr>
          <w:lang w:bidi="en-GB"/>
        </w:rPr>
        <w:t>anticipates</w:t>
      </w:r>
      <w:r w:rsidR="00D4068E">
        <w:rPr>
          <w:lang w:bidi="en-GB"/>
        </w:rPr>
        <w:t>"</w:t>
      </w:r>
      <w:r w:rsidRPr="003B74E0">
        <w:rPr>
          <w:lang w:bidi="en-GB"/>
        </w:rPr>
        <w:t xml:space="preserve">, </w:t>
      </w:r>
      <w:r w:rsidR="00D4068E">
        <w:rPr>
          <w:lang w:bidi="en-GB"/>
        </w:rPr>
        <w:t>"</w:t>
      </w:r>
      <w:r w:rsidRPr="003B74E0">
        <w:rPr>
          <w:lang w:bidi="en-GB"/>
        </w:rPr>
        <w:t>contemplates</w:t>
      </w:r>
      <w:r w:rsidR="00D4068E">
        <w:rPr>
          <w:lang w:bidi="en-GB"/>
        </w:rPr>
        <w:t>"</w:t>
      </w:r>
      <w:r w:rsidRPr="003B74E0">
        <w:rPr>
          <w:lang w:bidi="en-GB"/>
        </w:rPr>
        <w:t xml:space="preserve">, </w:t>
      </w:r>
      <w:r w:rsidR="00D4068E">
        <w:rPr>
          <w:lang w:bidi="en-GB"/>
        </w:rPr>
        <w:t>"</w:t>
      </w:r>
      <w:r w:rsidRPr="003B74E0">
        <w:rPr>
          <w:lang w:bidi="en-GB"/>
        </w:rPr>
        <w:t>intends</w:t>
      </w:r>
      <w:r w:rsidR="00D4068E">
        <w:rPr>
          <w:lang w:bidi="en-GB"/>
        </w:rPr>
        <w:t>"</w:t>
      </w:r>
      <w:r w:rsidRPr="003B74E0">
        <w:rPr>
          <w:lang w:bidi="en-GB"/>
        </w:rPr>
        <w:t xml:space="preserve">, </w:t>
      </w:r>
      <w:r w:rsidR="00D4068E">
        <w:rPr>
          <w:lang w:bidi="en-GB"/>
        </w:rPr>
        <w:t>"</w:t>
      </w:r>
      <w:r w:rsidRPr="003B74E0">
        <w:rPr>
          <w:lang w:bidi="en-GB"/>
        </w:rPr>
        <w:t>estimates</w:t>
      </w:r>
      <w:r w:rsidR="00D4068E">
        <w:rPr>
          <w:lang w:bidi="en-GB"/>
        </w:rPr>
        <w:t>"</w:t>
      </w:r>
      <w:r w:rsidRPr="003B74E0">
        <w:rPr>
          <w:lang w:bidi="en-GB"/>
        </w:rPr>
        <w:t xml:space="preserve">, </w:t>
      </w:r>
      <w:r w:rsidR="00D4068E">
        <w:rPr>
          <w:lang w:bidi="en-GB"/>
        </w:rPr>
        <w:t>"</w:t>
      </w:r>
      <w:r w:rsidRPr="003B74E0">
        <w:rPr>
          <w:lang w:bidi="en-GB"/>
        </w:rPr>
        <w:t>will</w:t>
      </w:r>
      <w:r w:rsidR="00D4068E">
        <w:rPr>
          <w:lang w:bidi="en-GB"/>
        </w:rPr>
        <w:t>"</w:t>
      </w:r>
      <w:r w:rsidRPr="003B74E0">
        <w:rPr>
          <w:lang w:bidi="en-GB"/>
        </w:rPr>
        <w:t xml:space="preserve">, </w:t>
      </w:r>
      <w:r w:rsidR="00D4068E">
        <w:rPr>
          <w:lang w:bidi="en-GB"/>
        </w:rPr>
        <w:t>"</w:t>
      </w:r>
      <w:r w:rsidRPr="003B74E0">
        <w:rPr>
          <w:lang w:bidi="en-GB"/>
        </w:rPr>
        <w:t>may</w:t>
      </w:r>
      <w:r w:rsidR="00D4068E">
        <w:rPr>
          <w:lang w:bidi="en-GB"/>
        </w:rPr>
        <w:t>"</w:t>
      </w:r>
      <w:r w:rsidRPr="003B74E0">
        <w:rPr>
          <w:lang w:bidi="en-GB"/>
        </w:rPr>
        <w:t xml:space="preserve">, </w:t>
      </w:r>
      <w:r w:rsidR="00D4068E">
        <w:rPr>
          <w:lang w:bidi="en-GB"/>
        </w:rPr>
        <w:t>"</w:t>
      </w:r>
      <w:r w:rsidRPr="003B74E0">
        <w:rPr>
          <w:lang w:bidi="en-GB"/>
        </w:rPr>
        <w:t>continues to</w:t>
      </w:r>
      <w:r w:rsidR="00D4068E">
        <w:rPr>
          <w:lang w:bidi="en-GB"/>
        </w:rPr>
        <w:t>"</w:t>
      </w:r>
      <w:r w:rsidRPr="003B74E0">
        <w:rPr>
          <w:lang w:bidi="en-GB"/>
        </w:rPr>
        <w:t xml:space="preserve">, </w:t>
      </w:r>
      <w:r w:rsidR="00D4068E">
        <w:rPr>
          <w:lang w:bidi="en-GB"/>
        </w:rPr>
        <w:t>"</w:t>
      </w:r>
      <w:r w:rsidRPr="003B74E0">
        <w:rPr>
          <w:lang w:bidi="en-GB"/>
        </w:rPr>
        <w:t>should</w:t>
      </w:r>
      <w:r w:rsidR="00D4068E">
        <w:rPr>
          <w:lang w:bidi="en-GB"/>
        </w:rPr>
        <w:t>"</w:t>
      </w:r>
      <w:r w:rsidRPr="003B74E0">
        <w:rPr>
          <w:lang w:bidi="en-GB"/>
        </w:rPr>
        <w:t xml:space="preserve"> and similar expressions. In this Statement forward-looking statements are based on several assumptions, many of which are based on further assumptions. While the Company believes these assumptions to be reasonable at the time they are made, they are by their nature associated with significant known and unknown risks, uncertainties, unforeseen events, and other material matters which are difficult or impossible to predict or which are outside the Company's control. Such risks, uncertainties, unforeseen events, and other material matters may cause actual events to differ significantly from the expectations expressed or implied in relation to the forward-looking statements.</w:t>
      </w:r>
    </w:p>
    <w:p w14:paraId="16534E1C" w14:textId="77777777" w:rsidR="00C409D1" w:rsidRPr="003B74E0" w:rsidRDefault="00C409D1" w:rsidP="00A05058">
      <w:pPr>
        <w:pStyle w:val="Heading2"/>
        <w:jc w:val="both"/>
      </w:pPr>
      <w:bookmarkStart w:id="158" w:name="_Toc194440347"/>
      <w:bookmarkStart w:id="159" w:name="_Toc218590590"/>
      <w:r w:rsidRPr="003B74E0">
        <w:t>Addressees of the Statement</w:t>
      </w:r>
      <w:bookmarkEnd w:id="158"/>
      <w:bookmarkEnd w:id="159"/>
    </w:p>
    <w:p w14:paraId="14E836C8" w14:textId="7DE59889" w:rsidR="00C409D1" w:rsidRPr="003B74E0" w:rsidRDefault="00C409D1" w:rsidP="00A05058">
      <w:pPr>
        <w:pStyle w:val="DSBodyTextIndent1"/>
        <w:jc w:val="both"/>
        <w:rPr>
          <w:lang w:bidi="en-GB"/>
        </w:rPr>
      </w:pPr>
      <w:r w:rsidRPr="003B74E0">
        <w:rPr>
          <w:lang w:bidi="en-GB"/>
        </w:rPr>
        <w:t xml:space="preserve">The Statement is addressed solely to those of the Shareholders to whom the Offer is made and who are, by the terms of the Offer Document, not excluded from accepting the Offer. Reference is made to section </w:t>
      </w:r>
      <w:r w:rsidRPr="003B74E0">
        <w:rPr>
          <w:lang w:bidi="en-GB"/>
        </w:rPr>
        <w:fldChar w:fldCharType="begin"/>
      </w:r>
      <w:r w:rsidRPr="003B74E0">
        <w:rPr>
          <w:lang w:bidi="en-GB"/>
        </w:rPr>
        <w:instrText xml:space="preserve"> REF _Ref462403744 \r \h </w:instrText>
      </w:r>
      <w:r w:rsidR="00A05058" w:rsidRPr="003B74E0">
        <w:rPr>
          <w:lang w:bidi="en-GB"/>
        </w:rPr>
        <w:instrText xml:space="preserve"> \* MERGEFORMAT </w:instrText>
      </w:r>
      <w:r w:rsidRPr="003B74E0">
        <w:rPr>
          <w:lang w:bidi="en-GB"/>
        </w:rPr>
      </w:r>
      <w:r w:rsidRPr="003B74E0">
        <w:rPr>
          <w:lang w:bidi="en-GB"/>
        </w:rPr>
        <w:fldChar w:fldCharType="separate"/>
      </w:r>
      <w:r w:rsidR="00DE5216">
        <w:rPr>
          <w:lang w:bidi="en-GB"/>
        </w:rPr>
        <w:t>1.1</w:t>
      </w:r>
      <w:r w:rsidRPr="003B74E0">
        <w:fldChar w:fldCharType="end"/>
      </w:r>
      <w:r w:rsidRPr="003B74E0">
        <w:rPr>
          <w:lang w:bidi="en-GB"/>
        </w:rPr>
        <w:t xml:space="preserve"> above. No other person is entitled to rely on the Statement. </w:t>
      </w:r>
    </w:p>
    <w:p w14:paraId="2B8A4962" w14:textId="77777777" w:rsidR="00C409D1" w:rsidRPr="003B74E0" w:rsidRDefault="00C409D1" w:rsidP="00A05058">
      <w:pPr>
        <w:pStyle w:val="Heading2"/>
        <w:jc w:val="both"/>
      </w:pPr>
      <w:bookmarkStart w:id="160" w:name="_Toc174044054"/>
      <w:bookmarkStart w:id="161" w:name="_Toc194440348"/>
      <w:bookmarkStart w:id="162" w:name="_Toc218590591"/>
      <w:r w:rsidRPr="003B74E0">
        <w:t>Advisers</w:t>
      </w:r>
      <w:bookmarkEnd w:id="160"/>
      <w:bookmarkEnd w:id="161"/>
      <w:bookmarkEnd w:id="162"/>
    </w:p>
    <w:p w14:paraId="732E0D50" w14:textId="129F9DB0" w:rsidR="00C409D1" w:rsidRPr="003B74E0" w:rsidRDefault="006E6CF2" w:rsidP="00A05058">
      <w:pPr>
        <w:pStyle w:val="DSBodyTextIndent1"/>
        <w:jc w:val="both"/>
      </w:pPr>
      <w:r w:rsidRPr="003B74E0">
        <w:t>Nilfisk</w:t>
      </w:r>
      <w:r w:rsidR="00C409D1" w:rsidRPr="003B74E0">
        <w:t xml:space="preserve">, including the </w:t>
      </w:r>
      <w:r w:rsidR="00B86488" w:rsidRPr="003B74E0">
        <w:t>Board of Directors</w:t>
      </w:r>
      <w:r w:rsidR="00C409D1" w:rsidRPr="003B74E0">
        <w:t xml:space="preserve">, is being advised by </w:t>
      </w:r>
      <w:r w:rsidR="003966BB" w:rsidRPr="003B74E0">
        <w:t xml:space="preserve">Guggenheim </w:t>
      </w:r>
      <w:r w:rsidR="0055541E" w:rsidRPr="003B74E0">
        <w:t xml:space="preserve">as its financial adviser, </w:t>
      </w:r>
      <w:r w:rsidR="004B0793" w:rsidRPr="003B74E0">
        <w:t>Krogerus</w:t>
      </w:r>
      <w:r w:rsidR="0055541E" w:rsidRPr="003B74E0">
        <w:t xml:space="preserve"> as its </w:t>
      </w:r>
      <w:r w:rsidR="003A766A" w:rsidRPr="003B74E0">
        <w:t>international</w:t>
      </w:r>
      <w:r w:rsidR="0055541E" w:rsidRPr="003B74E0">
        <w:t xml:space="preserve"> legal adviser, </w:t>
      </w:r>
      <w:r w:rsidR="004B0793" w:rsidRPr="003B74E0">
        <w:t xml:space="preserve">Kromann Reumert </w:t>
      </w:r>
      <w:r w:rsidR="0055541E" w:rsidRPr="003B74E0">
        <w:t xml:space="preserve">as its </w:t>
      </w:r>
      <w:r w:rsidR="004B0793" w:rsidRPr="003B74E0">
        <w:t>Danish</w:t>
      </w:r>
      <w:r w:rsidR="0055541E" w:rsidRPr="003B74E0">
        <w:t xml:space="preserve"> legal adviser, and </w:t>
      </w:r>
      <w:r w:rsidR="00FD00FE" w:rsidRPr="003B74E0">
        <w:t>Geelmuyden Kiese</w:t>
      </w:r>
      <w:r w:rsidR="0055541E" w:rsidRPr="003B74E0">
        <w:t xml:space="preserve"> as its communication adviser.</w:t>
      </w:r>
    </w:p>
    <w:p w14:paraId="48C1B8AA" w14:textId="77777777" w:rsidR="00C409D1" w:rsidRPr="003B74E0" w:rsidRDefault="00C409D1" w:rsidP="00A05058">
      <w:pPr>
        <w:pStyle w:val="Heading2"/>
        <w:jc w:val="both"/>
      </w:pPr>
      <w:bookmarkStart w:id="163" w:name="_Toc194440349"/>
      <w:bookmarkStart w:id="164" w:name="_Toc218590592"/>
      <w:r w:rsidRPr="003B74E0">
        <w:t>Disclaimers</w:t>
      </w:r>
      <w:bookmarkEnd w:id="163"/>
      <w:bookmarkEnd w:id="164"/>
    </w:p>
    <w:p w14:paraId="256CDD03" w14:textId="46BD42A1" w:rsidR="00F96EAE" w:rsidRPr="003B74E0" w:rsidRDefault="00F96EAE" w:rsidP="00893E1C">
      <w:pPr>
        <w:pStyle w:val="DSBodyTextIndent1"/>
        <w:jc w:val="both"/>
        <w:rPr>
          <w:lang w:bidi="en-GB"/>
        </w:rPr>
      </w:pPr>
      <w:r w:rsidRPr="003B74E0">
        <w:rPr>
          <w:lang w:bidi="en-GB"/>
        </w:rPr>
        <w:t>Members of the</w:t>
      </w:r>
      <w:r w:rsidR="00C409D1" w:rsidRPr="003B74E0">
        <w:rPr>
          <w:lang w:bidi="en-GB"/>
        </w:rPr>
        <w:t xml:space="preserve"> </w:t>
      </w:r>
      <w:r w:rsidR="00B86488" w:rsidRPr="003B74E0">
        <w:rPr>
          <w:lang w:bidi="en-GB"/>
        </w:rPr>
        <w:t>Board of Directors</w:t>
      </w:r>
      <w:r w:rsidR="00C409D1" w:rsidRPr="003B74E0">
        <w:rPr>
          <w:lang w:bidi="en-GB"/>
        </w:rPr>
        <w:t xml:space="preserve"> are acting on behalf of the Company in their capacity as members of the Board of Directors in connection with the Offer and the making of this Statement and not in any personal capacity.</w:t>
      </w:r>
    </w:p>
    <w:p w14:paraId="18B6B43A" w14:textId="77777777" w:rsidR="00C409D1" w:rsidRPr="003B74E0" w:rsidRDefault="00C409D1" w:rsidP="00A05058">
      <w:pPr>
        <w:pStyle w:val="Heading2"/>
        <w:jc w:val="both"/>
      </w:pPr>
      <w:bookmarkStart w:id="165" w:name="_Toc194440350"/>
      <w:bookmarkStart w:id="166" w:name="_Toc218590593"/>
      <w:r w:rsidRPr="003B74E0">
        <w:rPr>
          <w:lang w:bidi="en-GB"/>
        </w:rPr>
        <w:t>Sources of Information and References</w:t>
      </w:r>
      <w:bookmarkEnd w:id="165"/>
      <w:bookmarkEnd w:id="166"/>
    </w:p>
    <w:p w14:paraId="37275CBC" w14:textId="24F4430B" w:rsidR="00C409D1" w:rsidRPr="003B74E0" w:rsidRDefault="00C409D1" w:rsidP="00A05058">
      <w:pPr>
        <w:pStyle w:val="DSBodyTextIndent1"/>
        <w:jc w:val="both"/>
        <w:rPr>
          <w:lang w:bidi="en-GB"/>
        </w:rPr>
      </w:pPr>
      <w:r w:rsidRPr="003B74E0">
        <w:rPr>
          <w:lang w:bidi="en-GB"/>
        </w:rPr>
        <w:t xml:space="preserve">The information in this Statement relating to </w:t>
      </w:r>
      <w:r w:rsidR="000A0B9F" w:rsidRPr="003B74E0">
        <w:rPr>
          <w:lang w:bidi="en-GB"/>
        </w:rPr>
        <w:t>the Offeror</w:t>
      </w:r>
      <w:r w:rsidRPr="003B74E0">
        <w:rPr>
          <w:lang w:bidi="en-GB"/>
        </w:rPr>
        <w:t xml:space="preserve"> has been obtained from sources which are accessible to the public, including the Offer Document. The Statement also includes references to or quotations from the Offer Document. The Company and the </w:t>
      </w:r>
      <w:r w:rsidR="00B86488" w:rsidRPr="003B74E0">
        <w:rPr>
          <w:lang w:bidi="en-GB"/>
        </w:rPr>
        <w:t>Board of Directors</w:t>
      </w:r>
      <w:r w:rsidRPr="003B74E0">
        <w:rPr>
          <w:lang w:bidi="en-GB"/>
        </w:rPr>
        <w:t xml:space="preserve"> accept no responsibility or liability whatsoever for: 1) the accuracy or completeness of such information or quotations, and 2) any failure by </w:t>
      </w:r>
      <w:r w:rsidR="000A0B9F" w:rsidRPr="003B74E0">
        <w:rPr>
          <w:lang w:bidi="en-GB"/>
        </w:rPr>
        <w:t>the Offeror</w:t>
      </w:r>
      <w:r w:rsidRPr="003B74E0">
        <w:rPr>
          <w:lang w:bidi="en-GB"/>
        </w:rPr>
        <w:t xml:space="preserve"> to disclose information about events which may have occurred, or which may affect the meaning or accuracy of such information. </w:t>
      </w:r>
    </w:p>
    <w:p w14:paraId="3EF9BAA7" w14:textId="77777777" w:rsidR="004E6D3A" w:rsidRPr="003B74E0" w:rsidRDefault="004E6D3A" w:rsidP="00A05058">
      <w:pPr>
        <w:pStyle w:val="DSBodyTextIndent1"/>
        <w:jc w:val="both"/>
        <w:rPr>
          <w:lang w:bidi="en-GB"/>
        </w:rPr>
      </w:pPr>
    </w:p>
    <w:p w14:paraId="11F82BA6" w14:textId="796FDF0F" w:rsidR="00C409D1" w:rsidRPr="003B74E0" w:rsidRDefault="00C409D1" w:rsidP="00A05058">
      <w:pPr>
        <w:pStyle w:val="DSBodyTextIndent1"/>
        <w:jc w:val="both"/>
        <w:rPr>
          <w:lang w:bidi="en-GB"/>
        </w:rPr>
      </w:pPr>
      <w:r w:rsidRPr="003B74E0">
        <w:rPr>
          <w:lang w:bidi="en-GB"/>
        </w:rPr>
        <w:t xml:space="preserve">The Statement includes certain references to information, etc. which is available on the Company's website </w:t>
      </w:r>
      <w:r w:rsidR="008929F9" w:rsidRPr="003B74E0">
        <w:rPr>
          <w:lang w:bidi="en-GB"/>
        </w:rPr>
        <w:t>www.</w:t>
      </w:r>
      <w:r w:rsidR="0040739A" w:rsidRPr="003B74E0">
        <w:rPr>
          <w:lang w:bidi="en-GB"/>
        </w:rPr>
        <w:t>nilfisk</w:t>
      </w:r>
      <w:r w:rsidR="008929F9" w:rsidRPr="003B74E0">
        <w:rPr>
          <w:lang w:bidi="en-GB"/>
        </w:rPr>
        <w:t>.com</w:t>
      </w:r>
      <w:r w:rsidRPr="003B74E0">
        <w:rPr>
          <w:lang w:bidi="en-GB"/>
        </w:rPr>
        <w:t xml:space="preserve">. The content of the Company's website is not an integral part of this Statement and is not incorporated herein by reference. </w:t>
      </w:r>
    </w:p>
    <w:p w14:paraId="66B28983" w14:textId="77777777" w:rsidR="004E6D3A" w:rsidRPr="003B74E0" w:rsidRDefault="004E6D3A" w:rsidP="00A05058">
      <w:pPr>
        <w:pStyle w:val="DSBodyTextIndent1"/>
        <w:jc w:val="both"/>
        <w:rPr>
          <w:lang w:bidi="en-GB"/>
        </w:rPr>
      </w:pPr>
    </w:p>
    <w:p w14:paraId="72C08565" w14:textId="7B50FA53" w:rsidR="00C409D1" w:rsidRPr="003B74E0" w:rsidRDefault="00C409D1" w:rsidP="00A05058">
      <w:pPr>
        <w:pStyle w:val="DSBodyTextIndent1"/>
        <w:jc w:val="both"/>
        <w:rPr>
          <w:lang w:bidi="en-GB"/>
        </w:rPr>
      </w:pPr>
      <w:r w:rsidRPr="003B74E0">
        <w:rPr>
          <w:lang w:bidi="en-GB"/>
        </w:rPr>
        <w:lastRenderedPageBreak/>
        <w:t xml:space="preserve">The Statement includes certain references to the </w:t>
      </w:r>
      <w:r w:rsidR="00A92BA1">
        <w:rPr>
          <w:lang w:bidi="en-GB"/>
        </w:rPr>
        <w:t xml:space="preserve">2024 </w:t>
      </w:r>
      <w:r w:rsidRPr="003B74E0">
        <w:rPr>
          <w:lang w:bidi="en-GB"/>
        </w:rPr>
        <w:t>Annual Report</w:t>
      </w:r>
      <w:r w:rsidR="00B96B87">
        <w:rPr>
          <w:lang w:bidi="en-GB"/>
        </w:rPr>
        <w:t xml:space="preserve"> </w:t>
      </w:r>
      <w:r w:rsidR="00AD085F">
        <w:rPr>
          <w:lang w:bidi="en-GB"/>
        </w:rPr>
        <w:t>and the 2025 Q3 Report</w:t>
      </w:r>
      <w:r w:rsidRPr="003B74E0">
        <w:rPr>
          <w:lang w:bidi="en-GB"/>
        </w:rPr>
        <w:t xml:space="preserve">. The </w:t>
      </w:r>
      <w:r w:rsidR="00A92BA1">
        <w:rPr>
          <w:lang w:bidi="en-GB"/>
        </w:rPr>
        <w:t xml:space="preserve">2024 </w:t>
      </w:r>
      <w:r w:rsidR="00C7108D">
        <w:rPr>
          <w:lang w:bidi="en-GB"/>
        </w:rPr>
        <w:t xml:space="preserve">Annual Report and the 2025 Q3 Report </w:t>
      </w:r>
      <w:r w:rsidR="00192950">
        <w:rPr>
          <w:lang w:bidi="en-GB"/>
        </w:rPr>
        <w:t>do not form part of this Statement, except for the specific content thereof included in this Statement</w:t>
      </w:r>
      <w:r w:rsidRPr="003B74E0">
        <w:rPr>
          <w:lang w:bidi="en-GB"/>
        </w:rPr>
        <w:t xml:space="preserve">. </w:t>
      </w:r>
    </w:p>
    <w:p w14:paraId="7D93C909" w14:textId="77777777" w:rsidR="004E6D3A" w:rsidRPr="003B74E0" w:rsidRDefault="004E6D3A" w:rsidP="00A05058">
      <w:pPr>
        <w:pStyle w:val="DSBodyTextIndent1"/>
        <w:jc w:val="both"/>
        <w:rPr>
          <w:lang w:bidi="en-GB"/>
        </w:rPr>
      </w:pPr>
    </w:p>
    <w:p w14:paraId="18C9DE8F" w14:textId="6493189E" w:rsidR="00C409D1" w:rsidRPr="003B74E0" w:rsidRDefault="00C409D1" w:rsidP="00A05058">
      <w:pPr>
        <w:pStyle w:val="DSBodyTextIndent1"/>
        <w:jc w:val="both"/>
        <w:rPr>
          <w:lang w:bidi="en-GB"/>
        </w:rPr>
      </w:pPr>
      <w:r w:rsidRPr="003B74E0">
        <w:rPr>
          <w:lang w:bidi="en-GB"/>
        </w:rPr>
        <w:t>The Offer Document is not an integral part of this Statement and is not incorporated herein by reference or otherwise</w:t>
      </w:r>
      <w:r w:rsidR="00192950">
        <w:rPr>
          <w:lang w:bidi="en-GB"/>
        </w:rPr>
        <w:t xml:space="preserve"> form part of this Statement</w:t>
      </w:r>
      <w:r w:rsidRPr="003B74E0">
        <w:rPr>
          <w:lang w:bidi="en-GB"/>
        </w:rPr>
        <w:t xml:space="preserve">. The Company and the </w:t>
      </w:r>
      <w:r w:rsidR="00B86488" w:rsidRPr="003B74E0">
        <w:rPr>
          <w:lang w:bidi="en-GB"/>
        </w:rPr>
        <w:t>Board of Directors</w:t>
      </w:r>
      <w:r w:rsidRPr="003B74E0">
        <w:rPr>
          <w:lang w:bidi="en-GB"/>
        </w:rPr>
        <w:t xml:space="preserve"> accept no responsibility for the correctness, completeness, or adequacy of the Offer Document, which is the sole responsibility of </w:t>
      </w:r>
      <w:r w:rsidR="000A0B9F" w:rsidRPr="003B74E0">
        <w:rPr>
          <w:lang w:bidi="en-GB"/>
        </w:rPr>
        <w:t>the Offeror</w:t>
      </w:r>
      <w:r w:rsidRPr="003B74E0">
        <w:rPr>
          <w:lang w:bidi="en-GB"/>
        </w:rPr>
        <w:t xml:space="preserve">. </w:t>
      </w:r>
    </w:p>
    <w:p w14:paraId="20F065B9" w14:textId="77777777" w:rsidR="004E6D3A" w:rsidRPr="003B74E0" w:rsidRDefault="004E6D3A" w:rsidP="00A05058">
      <w:pPr>
        <w:pStyle w:val="DSBodyTextIndent1"/>
        <w:jc w:val="both"/>
      </w:pPr>
    </w:p>
    <w:p w14:paraId="136BE2ED" w14:textId="613A7ED7" w:rsidR="00C409D1" w:rsidRPr="003B74E0" w:rsidRDefault="00C409D1" w:rsidP="00A05058">
      <w:pPr>
        <w:pStyle w:val="DSBodyTextIndent1"/>
        <w:jc w:val="both"/>
        <w:rPr>
          <w:lang w:bidi="en-GB"/>
        </w:rPr>
      </w:pPr>
      <w:r w:rsidRPr="003B74E0">
        <w:rPr>
          <w:lang w:bidi="en-GB"/>
        </w:rPr>
        <w:t xml:space="preserve">The Company and the </w:t>
      </w:r>
      <w:r w:rsidR="00B86488" w:rsidRPr="003B74E0">
        <w:rPr>
          <w:lang w:bidi="en-GB"/>
        </w:rPr>
        <w:t>Board of Directors</w:t>
      </w:r>
      <w:r w:rsidRPr="003B74E0">
        <w:rPr>
          <w:lang w:bidi="en-GB"/>
        </w:rPr>
        <w:t xml:space="preserve"> accept no liability for any statements or opinions expressed by anyone in relation to the Offer other than the statements and opinions expressed in this Statement.</w:t>
      </w:r>
    </w:p>
    <w:p w14:paraId="7C2307BE" w14:textId="77777777" w:rsidR="00C409D1" w:rsidRPr="003B74E0" w:rsidRDefault="00C409D1" w:rsidP="00C409D1">
      <w:pPr>
        <w:spacing w:after="160" w:line="259" w:lineRule="auto"/>
      </w:pPr>
    </w:p>
    <w:p w14:paraId="66ED031A" w14:textId="77777777" w:rsidR="00C409D1" w:rsidRPr="003B74E0" w:rsidRDefault="00C409D1" w:rsidP="00C409D1">
      <w:pPr>
        <w:spacing w:after="160" w:line="259" w:lineRule="auto"/>
      </w:pPr>
      <w:r w:rsidRPr="003B74E0">
        <w:br w:type="page"/>
      </w:r>
    </w:p>
    <w:p w14:paraId="2D9CD8AF" w14:textId="57936F2C" w:rsidR="00C409D1" w:rsidRPr="003B74E0" w:rsidRDefault="00C409D1" w:rsidP="00C409D1">
      <w:pPr>
        <w:spacing w:after="160" w:line="259" w:lineRule="auto"/>
        <w:rPr>
          <w:b/>
        </w:rPr>
      </w:pPr>
      <w:r w:rsidRPr="003B74E0">
        <w:rPr>
          <w:b/>
        </w:rPr>
        <w:lastRenderedPageBreak/>
        <w:t xml:space="preserve">Appendix 1: </w:t>
      </w:r>
      <w:r w:rsidR="007A4D7E" w:rsidRPr="003B74E0">
        <w:rPr>
          <w:b/>
          <w:lang w:bidi="en-GB"/>
        </w:rPr>
        <w:t>Equity instruments</w:t>
      </w:r>
      <w:r w:rsidRPr="003B74E0">
        <w:rPr>
          <w:b/>
          <w:lang w:bidi="en-GB"/>
        </w:rPr>
        <w:t xml:space="preserve"> held by the </w:t>
      </w:r>
      <w:r w:rsidR="00B86488" w:rsidRPr="003B74E0">
        <w:rPr>
          <w:b/>
          <w:lang w:bidi="en-GB"/>
        </w:rPr>
        <w:t>Board of Directors</w:t>
      </w:r>
    </w:p>
    <w:p w14:paraId="355B7997" w14:textId="77777777" w:rsidR="00C409D1" w:rsidRPr="003B74E0" w:rsidRDefault="00C409D1" w:rsidP="00C409D1">
      <w:pPr>
        <w:spacing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362"/>
        <w:gridCol w:w="2362"/>
        <w:gridCol w:w="2362"/>
      </w:tblGrid>
      <w:tr w:rsidR="007A4D7E" w:rsidRPr="003B74E0" w14:paraId="74109A84" w14:textId="0575FEAF" w:rsidTr="00536FAB">
        <w:tc>
          <w:tcPr>
            <w:tcW w:w="2835" w:type="dxa"/>
            <w:hideMark/>
          </w:tcPr>
          <w:p w14:paraId="11546AFA" w14:textId="77777777" w:rsidR="007A4D7E" w:rsidRPr="003B74E0" w:rsidRDefault="007A4D7E" w:rsidP="00C409D1">
            <w:pPr>
              <w:spacing w:after="160" w:line="259" w:lineRule="auto"/>
              <w:rPr>
                <w:b/>
              </w:rPr>
            </w:pPr>
            <w:bookmarkStart w:id="167" w:name="_Hlk194410464"/>
            <w:r w:rsidRPr="003B74E0">
              <w:rPr>
                <w:b/>
              </w:rPr>
              <w:t>Name</w:t>
            </w:r>
          </w:p>
        </w:tc>
        <w:tc>
          <w:tcPr>
            <w:tcW w:w="2362" w:type="dxa"/>
            <w:hideMark/>
          </w:tcPr>
          <w:p w14:paraId="6E98B97B" w14:textId="77777777" w:rsidR="007A4D7E" w:rsidRPr="003B74E0" w:rsidRDefault="007A4D7E" w:rsidP="00C409D1">
            <w:pPr>
              <w:spacing w:after="160" w:line="259" w:lineRule="auto"/>
              <w:rPr>
                <w:b/>
              </w:rPr>
            </w:pPr>
            <w:r w:rsidRPr="003B74E0">
              <w:rPr>
                <w:b/>
              </w:rPr>
              <w:t>Number of Shares</w:t>
            </w:r>
          </w:p>
        </w:tc>
        <w:tc>
          <w:tcPr>
            <w:tcW w:w="2362" w:type="dxa"/>
          </w:tcPr>
          <w:p w14:paraId="1AB832E7" w14:textId="387F5AE2" w:rsidR="007A4D7E" w:rsidRPr="003B74E0" w:rsidRDefault="007A4D7E" w:rsidP="00C409D1">
            <w:pPr>
              <w:spacing w:after="160" w:line="259" w:lineRule="auto"/>
              <w:rPr>
                <w:b/>
              </w:rPr>
            </w:pPr>
            <w:r w:rsidRPr="003B74E0">
              <w:rPr>
                <w:b/>
              </w:rPr>
              <w:t>Number of Warrants</w:t>
            </w:r>
          </w:p>
        </w:tc>
        <w:tc>
          <w:tcPr>
            <w:tcW w:w="2362" w:type="dxa"/>
          </w:tcPr>
          <w:p w14:paraId="27858BA8" w14:textId="43208C04" w:rsidR="007A4D7E" w:rsidRPr="003B74E0" w:rsidRDefault="007A4D7E" w:rsidP="00C409D1">
            <w:pPr>
              <w:spacing w:after="160" w:line="259" w:lineRule="auto"/>
              <w:rPr>
                <w:b/>
              </w:rPr>
            </w:pPr>
            <w:r w:rsidRPr="003B74E0">
              <w:rPr>
                <w:b/>
              </w:rPr>
              <w:t xml:space="preserve">Number of </w:t>
            </w:r>
            <w:r w:rsidR="006D4E42" w:rsidRPr="003B74E0">
              <w:rPr>
                <w:b/>
              </w:rPr>
              <w:t>PSU</w:t>
            </w:r>
            <w:r w:rsidRPr="003B74E0">
              <w:rPr>
                <w:b/>
              </w:rPr>
              <w:t>s</w:t>
            </w:r>
          </w:p>
        </w:tc>
      </w:tr>
      <w:tr w:rsidR="00AD3A5A" w:rsidRPr="003B74E0" w14:paraId="12EF5158" w14:textId="201E8893" w:rsidTr="00536FAB">
        <w:tc>
          <w:tcPr>
            <w:tcW w:w="2835" w:type="dxa"/>
            <w:hideMark/>
          </w:tcPr>
          <w:p w14:paraId="3C04BD74" w14:textId="69E254C6" w:rsidR="00AD3A5A" w:rsidRPr="003B74E0" w:rsidRDefault="00936BAD" w:rsidP="00AD3A5A">
            <w:pPr>
              <w:spacing w:after="160" w:line="259" w:lineRule="auto"/>
            </w:pPr>
            <w:bookmarkStart w:id="168" w:name="_Hlk132647361"/>
            <w:r w:rsidRPr="003B74E0">
              <w:rPr>
                <w:rFonts w:cs="Arial"/>
              </w:rPr>
              <w:t>Göran Peter Nilsson</w:t>
            </w:r>
          </w:p>
        </w:tc>
        <w:tc>
          <w:tcPr>
            <w:tcW w:w="2362" w:type="dxa"/>
            <w:hideMark/>
          </w:tcPr>
          <w:p w14:paraId="1CE4DC97" w14:textId="1CAF0DFB" w:rsidR="00AD3A5A" w:rsidRPr="003B74E0" w:rsidRDefault="00C50F32" w:rsidP="00AD3A5A">
            <w:pPr>
              <w:spacing w:after="160" w:line="259" w:lineRule="auto"/>
            </w:pPr>
            <w:r w:rsidRPr="003B74E0">
              <w:t>44,104</w:t>
            </w:r>
          </w:p>
        </w:tc>
        <w:tc>
          <w:tcPr>
            <w:tcW w:w="2362" w:type="dxa"/>
          </w:tcPr>
          <w:p w14:paraId="4E6A3E4D" w14:textId="78BAB624" w:rsidR="00AD3A5A" w:rsidRPr="003B74E0" w:rsidRDefault="00023A47" w:rsidP="00AD3A5A">
            <w:pPr>
              <w:pStyle w:val="DSBodyTextIndent1"/>
              <w:ind w:left="0"/>
            </w:pPr>
            <w:r>
              <w:rPr>
                <w:rFonts w:cs="Arial"/>
              </w:rPr>
              <w:t>-</w:t>
            </w:r>
          </w:p>
        </w:tc>
        <w:tc>
          <w:tcPr>
            <w:tcW w:w="2362" w:type="dxa"/>
          </w:tcPr>
          <w:p w14:paraId="5CE4F413" w14:textId="29FCF8DD" w:rsidR="00AD3A5A" w:rsidRPr="003B74E0" w:rsidRDefault="00023A47" w:rsidP="00AD3A5A">
            <w:pPr>
              <w:pStyle w:val="DSBodyTextIndent1"/>
              <w:ind w:left="0"/>
            </w:pPr>
            <w:r>
              <w:t>-</w:t>
            </w:r>
          </w:p>
        </w:tc>
      </w:tr>
      <w:tr w:rsidR="00AD3A5A" w:rsidRPr="003B74E0" w14:paraId="2FE4B4B5" w14:textId="77777777" w:rsidTr="00536FAB">
        <w:tc>
          <w:tcPr>
            <w:tcW w:w="2835" w:type="dxa"/>
          </w:tcPr>
          <w:p w14:paraId="7F838AE6" w14:textId="4725A1FD" w:rsidR="00AD3A5A" w:rsidRPr="003B74E0" w:rsidRDefault="00936BAD" w:rsidP="00936BAD">
            <w:pPr>
              <w:spacing w:after="160" w:line="259" w:lineRule="auto"/>
              <w:rPr>
                <w:rFonts w:cs="Arial"/>
              </w:rPr>
            </w:pPr>
            <w:r w:rsidRPr="003B74E0">
              <w:rPr>
                <w:rFonts w:cs="Arial"/>
              </w:rPr>
              <w:t xml:space="preserve">Are </w:t>
            </w:r>
            <w:proofErr w:type="spellStart"/>
            <w:r w:rsidRPr="003B74E0">
              <w:rPr>
                <w:rFonts w:cs="Arial"/>
              </w:rPr>
              <w:t>Dragesund</w:t>
            </w:r>
            <w:proofErr w:type="spellEnd"/>
          </w:p>
        </w:tc>
        <w:tc>
          <w:tcPr>
            <w:tcW w:w="2362" w:type="dxa"/>
          </w:tcPr>
          <w:p w14:paraId="74749B7A" w14:textId="613B1891" w:rsidR="00AD3A5A" w:rsidRPr="003B74E0" w:rsidRDefault="00023A47" w:rsidP="00AD3A5A">
            <w:pPr>
              <w:pStyle w:val="DSBodyTextIndent1"/>
              <w:ind w:left="0"/>
            </w:pPr>
            <w:r>
              <w:t>-</w:t>
            </w:r>
          </w:p>
        </w:tc>
        <w:tc>
          <w:tcPr>
            <w:tcW w:w="2362" w:type="dxa"/>
          </w:tcPr>
          <w:p w14:paraId="387D9653" w14:textId="470E553E" w:rsidR="00AD3A5A" w:rsidRPr="003B74E0" w:rsidRDefault="00023A47" w:rsidP="00AD3A5A">
            <w:pPr>
              <w:pStyle w:val="DSBodyTextIndent1"/>
              <w:ind w:left="0"/>
            </w:pPr>
            <w:r>
              <w:t>-</w:t>
            </w:r>
          </w:p>
        </w:tc>
        <w:tc>
          <w:tcPr>
            <w:tcW w:w="2362" w:type="dxa"/>
          </w:tcPr>
          <w:p w14:paraId="44FCC37F" w14:textId="68E3F346" w:rsidR="00AD3A5A" w:rsidRPr="003B74E0" w:rsidRDefault="00023A47" w:rsidP="00AD3A5A">
            <w:pPr>
              <w:pStyle w:val="DSBodyTextIndent1"/>
              <w:ind w:left="0"/>
            </w:pPr>
            <w:r>
              <w:t>-</w:t>
            </w:r>
          </w:p>
        </w:tc>
      </w:tr>
      <w:tr w:rsidR="00AD3A5A" w:rsidRPr="003B74E0" w14:paraId="12BB8464" w14:textId="77777777" w:rsidTr="00536FAB">
        <w:tc>
          <w:tcPr>
            <w:tcW w:w="2835" w:type="dxa"/>
          </w:tcPr>
          <w:p w14:paraId="3130DF2D" w14:textId="1179188E" w:rsidR="00AD3A5A" w:rsidRPr="003B74E0" w:rsidRDefault="00936BAD" w:rsidP="00936BAD">
            <w:pPr>
              <w:spacing w:after="160" w:line="259" w:lineRule="auto"/>
              <w:rPr>
                <w:rFonts w:cs="Arial"/>
              </w:rPr>
            </w:pPr>
            <w:r w:rsidRPr="003B74E0">
              <w:rPr>
                <w:rFonts w:cs="Arial"/>
              </w:rPr>
              <w:t>Ole Kristian Jødahl</w:t>
            </w:r>
          </w:p>
        </w:tc>
        <w:tc>
          <w:tcPr>
            <w:tcW w:w="2362" w:type="dxa"/>
          </w:tcPr>
          <w:p w14:paraId="3AEE8FA6" w14:textId="2CAA0174" w:rsidR="00AD3A5A" w:rsidRPr="003B74E0" w:rsidRDefault="00C50F32" w:rsidP="00AD3A5A">
            <w:pPr>
              <w:pStyle w:val="DSBodyTextIndent1"/>
              <w:ind w:left="0"/>
            </w:pPr>
            <w:r w:rsidRPr="003B74E0">
              <w:t>2,082</w:t>
            </w:r>
          </w:p>
        </w:tc>
        <w:tc>
          <w:tcPr>
            <w:tcW w:w="2362" w:type="dxa"/>
          </w:tcPr>
          <w:p w14:paraId="6D09A606" w14:textId="0BE8FF5F" w:rsidR="00AD3A5A" w:rsidRPr="003B74E0" w:rsidRDefault="00023A47" w:rsidP="00AD3A5A">
            <w:pPr>
              <w:pStyle w:val="DSBodyTextIndent1"/>
              <w:ind w:left="0"/>
            </w:pPr>
            <w:r>
              <w:t>-</w:t>
            </w:r>
          </w:p>
        </w:tc>
        <w:tc>
          <w:tcPr>
            <w:tcW w:w="2362" w:type="dxa"/>
          </w:tcPr>
          <w:p w14:paraId="26332267" w14:textId="0BF8BF17" w:rsidR="00AD3A5A" w:rsidRPr="003B74E0" w:rsidRDefault="00023A47" w:rsidP="00AD3A5A">
            <w:pPr>
              <w:pStyle w:val="DSBodyTextIndent1"/>
              <w:ind w:left="0"/>
            </w:pPr>
            <w:r>
              <w:t>-</w:t>
            </w:r>
          </w:p>
        </w:tc>
      </w:tr>
      <w:tr w:rsidR="00AD3A5A" w:rsidRPr="003B74E0" w14:paraId="353EE3A7" w14:textId="77777777" w:rsidTr="00536FAB">
        <w:tc>
          <w:tcPr>
            <w:tcW w:w="2835" w:type="dxa"/>
          </w:tcPr>
          <w:p w14:paraId="3ED2A1EE" w14:textId="6BA74DAB" w:rsidR="00AD3A5A" w:rsidRPr="003B74E0" w:rsidRDefault="00DC4277" w:rsidP="00DC4277">
            <w:pPr>
              <w:spacing w:after="160" w:line="259" w:lineRule="auto"/>
              <w:rPr>
                <w:rFonts w:cs="Arial"/>
              </w:rPr>
            </w:pPr>
            <w:r w:rsidRPr="003B74E0">
              <w:rPr>
                <w:rFonts w:cs="Arial"/>
              </w:rPr>
              <w:t>Franck Falezan</w:t>
            </w:r>
          </w:p>
        </w:tc>
        <w:tc>
          <w:tcPr>
            <w:tcW w:w="2362" w:type="dxa"/>
          </w:tcPr>
          <w:p w14:paraId="319B0ABE" w14:textId="4A89D67D" w:rsidR="00AD3A5A" w:rsidRPr="003B74E0" w:rsidRDefault="00023A47" w:rsidP="00AD3A5A">
            <w:pPr>
              <w:pStyle w:val="DSBodyTextIndent1"/>
              <w:ind w:left="0"/>
            </w:pPr>
            <w:r>
              <w:t>-</w:t>
            </w:r>
          </w:p>
        </w:tc>
        <w:tc>
          <w:tcPr>
            <w:tcW w:w="2362" w:type="dxa"/>
          </w:tcPr>
          <w:p w14:paraId="23F7E85A" w14:textId="04999CCF" w:rsidR="00AD3A5A" w:rsidRPr="003B74E0" w:rsidRDefault="00023A47" w:rsidP="00AD3A5A">
            <w:pPr>
              <w:pStyle w:val="DSBodyTextIndent1"/>
              <w:ind w:left="0"/>
            </w:pPr>
            <w:r>
              <w:t>-</w:t>
            </w:r>
          </w:p>
        </w:tc>
        <w:tc>
          <w:tcPr>
            <w:tcW w:w="2362" w:type="dxa"/>
          </w:tcPr>
          <w:p w14:paraId="7899898D" w14:textId="60C79618" w:rsidR="00AD3A5A" w:rsidRPr="003B74E0" w:rsidRDefault="00023A47" w:rsidP="00AD3A5A">
            <w:pPr>
              <w:pStyle w:val="DSBodyTextIndent1"/>
              <w:ind w:left="0"/>
            </w:pPr>
            <w:r>
              <w:t>-</w:t>
            </w:r>
          </w:p>
        </w:tc>
      </w:tr>
      <w:tr w:rsidR="00AD3A5A" w:rsidRPr="003B74E0" w14:paraId="0609CDE8" w14:textId="77777777" w:rsidTr="00536FAB">
        <w:tc>
          <w:tcPr>
            <w:tcW w:w="2835" w:type="dxa"/>
          </w:tcPr>
          <w:p w14:paraId="3B5F571D" w14:textId="69AEC745" w:rsidR="00AD3A5A" w:rsidRPr="003B74E0" w:rsidRDefault="00536FAB" w:rsidP="00936BAD">
            <w:pPr>
              <w:spacing w:after="160" w:line="259" w:lineRule="auto"/>
              <w:rPr>
                <w:rFonts w:cs="Arial"/>
              </w:rPr>
            </w:pPr>
            <w:r w:rsidRPr="003B74E0">
              <w:rPr>
                <w:rFonts w:cs="Arial"/>
              </w:rPr>
              <w:t>Viveka Marianne Ekberg</w:t>
            </w:r>
          </w:p>
        </w:tc>
        <w:tc>
          <w:tcPr>
            <w:tcW w:w="2362" w:type="dxa"/>
          </w:tcPr>
          <w:p w14:paraId="539DD8FD" w14:textId="58CFE5DB" w:rsidR="00AD3A5A" w:rsidRPr="003B74E0" w:rsidRDefault="005733E8" w:rsidP="00AD3A5A">
            <w:pPr>
              <w:pStyle w:val="DSBodyTextIndent1"/>
              <w:ind w:left="0"/>
            </w:pPr>
            <w:r w:rsidRPr="003B74E0">
              <w:t>9,500</w:t>
            </w:r>
          </w:p>
        </w:tc>
        <w:tc>
          <w:tcPr>
            <w:tcW w:w="2362" w:type="dxa"/>
          </w:tcPr>
          <w:p w14:paraId="699A3980" w14:textId="142154A5" w:rsidR="00AD3A5A" w:rsidRPr="003B74E0" w:rsidRDefault="00023A47" w:rsidP="00AD3A5A">
            <w:pPr>
              <w:pStyle w:val="DSBodyTextIndent1"/>
              <w:ind w:left="0"/>
            </w:pPr>
            <w:r>
              <w:t>-</w:t>
            </w:r>
          </w:p>
        </w:tc>
        <w:tc>
          <w:tcPr>
            <w:tcW w:w="2362" w:type="dxa"/>
          </w:tcPr>
          <w:p w14:paraId="5C9CCA4D" w14:textId="63D5EE29" w:rsidR="00AD3A5A" w:rsidRPr="003B74E0" w:rsidRDefault="00023A47" w:rsidP="00AD3A5A">
            <w:pPr>
              <w:pStyle w:val="DSBodyTextIndent1"/>
              <w:ind w:left="0"/>
            </w:pPr>
            <w:r>
              <w:t>-</w:t>
            </w:r>
          </w:p>
        </w:tc>
      </w:tr>
      <w:tr w:rsidR="00AD3A5A" w:rsidRPr="003B74E0" w14:paraId="70311076" w14:textId="77777777" w:rsidTr="00536FAB">
        <w:tc>
          <w:tcPr>
            <w:tcW w:w="2835" w:type="dxa"/>
          </w:tcPr>
          <w:p w14:paraId="412D0044" w14:textId="1E3FB458" w:rsidR="00AD3A5A" w:rsidRPr="003B74E0" w:rsidRDefault="00536FAB" w:rsidP="00936BAD">
            <w:pPr>
              <w:spacing w:after="160" w:line="259" w:lineRule="auto"/>
              <w:rPr>
                <w:rFonts w:cs="Arial"/>
              </w:rPr>
            </w:pPr>
            <w:r w:rsidRPr="003B74E0">
              <w:rPr>
                <w:rFonts w:cs="Arial"/>
              </w:rPr>
              <w:t>Bengt Anders Lennart Thorsson</w:t>
            </w:r>
          </w:p>
        </w:tc>
        <w:tc>
          <w:tcPr>
            <w:tcW w:w="2362" w:type="dxa"/>
          </w:tcPr>
          <w:p w14:paraId="76701960" w14:textId="2AA4BDEE" w:rsidR="00AD3A5A" w:rsidRPr="003B74E0" w:rsidRDefault="005733E8" w:rsidP="00AD3A5A">
            <w:pPr>
              <w:pStyle w:val="DSBodyTextIndent1"/>
              <w:ind w:left="0"/>
            </w:pPr>
            <w:r w:rsidRPr="003B74E0">
              <w:t>1,000</w:t>
            </w:r>
          </w:p>
        </w:tc>
        <w:tc>
          <w:tcPr>
            <w:tcW w:w="2362" w:type="dxa"/>
          </w:tcPr>
          <w:p w14:paraId="458A6E90" w14:textId="5DB8EE32" w:rsidR="00AD3A5A" w:rsidRPr="003B74E0" w:rsidRDefault="00023A47" w:rsidP="00AD3A5A">
            <w:pPr>
              <w:pStyle w:val="DSBodyTextIndent1"/>
              <w:ind w:left="0"/>
            </w:pPr>
            <w:r>
              <w:t>-</w:t>
            </w:r>
          </w:p>
        </w:tc>
        <w:tc>
          <w:tcPr>
            <w:tcW w:w="2362" w:type="dxa"/>
          </w:tcPr>
          <w:p w14:paraId="6AC0595C" w14:textId="211E73C3" w:rsidR="00AD3A5A" w:rsidRPr="003B74E0" w:rsidRDefault="00023A47" w:rsidP="00AD3A5A">
            <w:pPr>
              <w:pStyle w:val="DSBodyTextIndent1"/>
              <w:ind w:left="0"/>
            </w:pPr>
            <w:r>
              <w:t>-</w:t>
            </w:r>
          </w:p>
        </w:tc>
      </w:tr>
      <w:tr w:rsidR="00AD3A5A" w:rsidRPr="003B74E0" w14:paraId="4DDFBA04" w14:textId="77777777" w:rsidTr="00536FAB">
        <w:tc>
          <w:tcPr>
            <w:tcW w:w="2835" w:type="dxa"/>
          </w:tcPr>
          <w:p w14:paraId="25516A3E" w14:textId="5F2F95E3" w:rsidR="00AD3A5A" w:rsidRPr="003B74E0" w:rsidRDefault="00536FAB" w:rsidP="00936BAD">
            <w:pPr>
              <w:spacing w:after="160" w:line="259" w:lineRule="auto"/>
              <w:rPr>
                <w:rFonts w:cs="Arial"/>
              </w:rPr>
            </w:pPr>
            <w:r w:rsidRPr="003B74E0">
              <w:rPr>
                <w:rFonts w:cs="Arial"/>
              </w:rPr>
              <w:t>Gerner Raj Andersen</w:t>
            </w:r>
          </w:p>
        </w:tc>
        <w:tc>
          <w:tcPr>
            <w:tcW w:w="2362" w:type="dxa"/>
          </w:tcPr>
          <w:p w14:paraId="3F658B3D" w14:textId="1B225641" w:rsidR="00AD3A5A" w:rsidRPr="003B74E0" w:rsidRDefault="005733E8" w:rsidP="00AD3A5A">
            <w:pPr>
              <w:pStyle w:val="DSBodyTextIndent1"/>
              <w:ind w:left="0"/>
            </w:pPr>
            <w:r w:rsidRPr="003B74E0">
              <w:t>500</w:t>
            </w:r>
          </w:p>
        </w:tc>
        <w:tc>
          <w:tcPr>
            <w:tcW w:w="2362" w:type="dxa"/>
          </w:tcPr>
          <w:p w14:paraId="359B7E46" w14:textId="1A96CD1B" w:rsidR="00AD3A5A" w:rsidRPr="003B74E0" w:rsidRDefault="00023A47" w:rsidP="00AD3A5A">
            <w:pPr>
              <w:pStyle w:val="DSBodyTextIndent1"/>
              <w:ind w:left="0"/>
            </w:pPr>
            <w:r>
              <w:t>-</w:t>
            </w:r>
          </w:p>
        </w:tc>
        <w:tc>
          <w:tcPr>
            <w:tcW w:w="2362" w:type="dxa"/>
          </w:tcPr>
          <w:p w14:paraId="2948187A" w14:textId="284BC3A7" w:rsidR="00AD3A5A" w:rsidRPr="003B74E0" w:rsidRDefault="00023A47" w:rsidP="00AD3A5A">
            <w:pPr>
              <w:pStyle w:val="DSBodyTextIndent1"/>
              <w:ind w:left="0"/>
            </w:pPr>
            <w:r>
              <w:t>-</w:t>
            </w:r>
          </w:p>
        </w:tc>
      </w:tr>
      <w:tr w:rsidR="00AD3A5A" w:rsidRPr="003B74E0" w14:paraId="374EEA40" w14:textId="77777777" w:rsidTr="00536FAB">
        <w:tc>
          <w:tcPr>
            <w:tcW w:w="2835" w:type="dxa"/>
          </w:tcPr>
          <w:p w14:paraId="1AF0000D" w14:textId="29A271EC" w:rsidR="00AD3A5A" w:rsidRPr="003B74E0" w:rsidRDefault="00536FAB" w:rsidP="00936BAD">
            <w:pPr>
              <w:spacing w:after="160" w:line="259" w:lineRule="auto"/>
              <w:rPr>
                <w:rFonts w:cs="Arial"/>
              </w:rPr>
            </w:pPr>
            <w:r w:rsidRPr="003B74E0">
              <w:rPr>
                <w:rFonts w:cs="Arial"/>
              </w:rPr>
              <w:t>Marcus Faber Kappendrup</w:t>
            </w:r>
          </w:p>
        </w:tc>
        <w:tc>
          <w:tcPr>
            <w:tcW w:w="2362" w:type="dxa"/>
          </w:tcPr>
          <w:p w14:paraId="043EA8FA" w14:textId="35C4E050" w:rsidR="00AD3A5A" w:rsidRPr="003B74E0" w:rsidRDefault="005733E8" w:rsidP="00AD3A5A">
            <w:pPr>
              <w:pStyle w:val="DSBodyTextIndent1"/>
              <w:ind w:left="0"/>
            </w:pPr>
            <w:r w:rsidRPr="003B74E0">
              <w:t>32</w:t>
            </w:r>
          </w:p>
        </w:tc>
        <w:tc>
          <w:tcPr>
            <w:tcW w:w="2362" w:type="dxa"/>
          </w:tcPr>
          <w:p w14:paraId="72E51F69" w14:textId="26474F97" w:rsidR="00AD3A5A" w:rsidRPr="003B74E0" w:rsidRDefault="00023A47" w:rsidP="00AD3A5A">
            <w:pPr>
              <w:pStyle w:val="DSBodyTextIndent1"/>
              <w:ind w:left="0"/>
            </w:pPr>
            <w:r>
              <w:t>-</w:t>
            </w:r>
          </w:p>
        </w:tc>
        <w:tc>
          <w:tcPr>
            <w:tcW w:w="2362" w:type="dxa"/>
          </w:tcPr>
          <w:p w14:paraId="5AF2FFDF" w14:textId="7D9D9FE7" w:rsidR="00AD3A5A" w:rsidRPr="003B74E0" w:rsidRDefault="00023A47" w:rsidP="00AD3A5A">
            <w:pPr>
              <w:pStyle w:val="DSBodyTextIndent1"/>
              <w:ind w:left="0"/>
            </w:pPr>
            <w:r>
              <w:t>-</w:t>
            </w:r>
          </w:p>
        </w:tc>
      </w:tr>
      <w:tr w:rsidR="00AD3A5A" w:rsidRPr="003B74E0" w14:paraId="6A5E558C" w14:textId="77777777" w:rsidTr="00536FAB">
        <w:tc>
          <w:tcPr>
            <w:tcW w:w="2835" w:type="dxa"/>
          </w:tcPr>
          <w:p w14:paraId="00A10ED6" w14:textId="2CC34522" w:rsidR="00AD3A5A" w:rsidRPr="003B74E0" w:rsidRDefault="00536FAB" w:rsidP="00536FAB">
            <w:pPr>
              <w:spacing w:after="160" w:line="259" w:lineRule="auto"/>
              <w:rPr>
                <w:rFonts w:cs="Arial"/>
              </w:rPr>
            </w:pPr>
            <w:r w:rsidRPr="003B74E0">
              <w:rPr>
                <w:rFonts w:cs="Arial"/>
              </w:rPr>
              <w:t>Wannie Kristina Trolle Hansen</w:t>
            </w:r>
          </w:p>
        </w:tc>
        <w:tc>
          <w:tcPr>
            <w:tcW w:w="2362" w:type="dxa"/>
          </w:tcPr>
          <w:p w14:paraId="3DC2D17A" w14:textId="0886E8F9" w:rsidR="00AD3A5A" w:rsidRPr="003B74E0" w:rsidRDefault="005733E8" w:rsidP="00AD3A5A">
            <w:pPr>
              <w:pStyle w:val="DSBodyTextIndent1"/>
              <w:ind w:left="0"/>
            </w:pPr>
            <w:r w:rsidRPr="003B74E0">
              <w:t>238</w:t>
            </w:r>
          </w:p>
        </w:tc>
        <w:tc>
          <w:tcPr>
            <w:tcW w:w="2362" w:type="dxa"/>
          </w:tcPr>
          <w:p w14:paraId="75EB15D3" w14:textId="18C511F9" w:rsidR="00AD3A5A" w:rsidRPr="003B74E0" w:rsidRDefault="00023A47" w:rsidP="00AD3A5A">
            <w:pPr>
              <w:pStyle w:val="DSBodyTextIndent1"/>
              <w:ind w:left="0"/>
            </w:pPr>
            <w:r>
              <w:t>-</w:t>
            </w:r>
          </w:p>
        </w:tc>
        <w:tc>
          <w:tcPr>
            <w:tcW w:w="2362" w:type="dxa"/>
          </w:tcPr>
          <w:p w14:paraId="56B14985" w14:textId="4F06B9C1" w:rsidR="00AD3A5A" w:rsidRPr="003B74E0" w:rsidRDefault="00DA608F" w:rsidP="00AD3A5A">
            <w:pPr>
              <w:pStyle w:val="DSBodyTextIndent1"/>
              <w:ind w:left="0"/>
            </w:pPr>
            <w:r w:rsidRPr="003B74E0">
              <w:rPr>
                <w:rFonts w:cs="Arial"/>
              </w:rPr>
              <w:t>2,376</w:t>
            </w:r>
          </w:p>
        </w:tc>
      </w:tr>
      <w:tr w:rsidR="00536FAB" w:rsidRPr="003B74E0" w14:paraId="0E2CC85F" w14:textId="77777777" w:rsidTr="00536FAB">
        <w:tc>
          <w:tcPr>
            <w:tcW w:w="2835" w:type="dxa"/>
          </w:tcPr>
          <w:p w14:paraId="3B3E6778" w14:textId="4D37004D" w:rsidR="00536FAB" w:rsidRPr="003B74E0" w:rsidRDefault="00536FAB" w:rsidP="00536FAB">
            <w:pPr>
              <w:spacing w:after="160" w:line="259" w:lineRule="auto"/>
              <w:rPr>
                <w:rFonts w:cs="Arial"/>
              </w:rPr>
            </w:pPr>
            <w:r w:rsidRPr="003B74E0">
              <w:rPr>
                <w:rFonts w:cs="Arial"/>
              </w:rPr>
              <w:t>Alexander Kjær Rasmussen</w:t>
            </w:r>
          </w:p>
        </w:tc>
        <w:tc>
          <w:tcPr>
            <w:tcW w:w="2362" w:type="dxa"/>
          </w:tcPr>
          <w:p w14:paraId="64143591" w14:textId="2A7E5076" w:rsidR="00536FAB" w:rsidRPr="003B74E0" w:rsidRDefault="00023A47" w:rsidP="00AD3A5A">
            <w:pPr>
              <w:pStyle w:val="DSBodyTextIndent1"/>
              <w:ind w:left="0"/>
              <w:rPr>
                <w:rFonts w:cs="Arial"/>
              </w:rPr>
            </w:pPr>
            <w:r>
              <w:rPr>
                <w:rFonts w:cs="Arial"/>
              </w:rPr>
              <w:t>-</w:t>
            </w:r>
          </w:p>
        </w:tc>
        <w:tc>
          <w:tcPr>
            <w:tcW w:w="2362" w:type="dxa"/>
          </w:tcPr>
          <w:p w14:paraId="7657E6BF" w14:textId="5B4F472F" w:rsidR="00536FAB" w:rsidRPr="003B74E0" w:rsidRDefault="00023A47" w:rsidP="00AD3A5A">
            <w:pPr>
              <w:pStyle w:val="DSBodyTextIndent1"/>
              <w:ind w:left="0"/>
              <w:rPr>
                <w:rFonts w:cs="Arial"/>
              </w:rPr>
            </w:pPr>
            <w:r>
              <w:rPr>
                <w:rFonts w:cs="Arial"/>
              </w:rPr>
              <w:t>-</w:t>
            </w:r>
          </w:p>
        </w:tc>
        <w:tc>
          <w:tcPr>
            <w:tcW w:w="2362" w:type="dxa"/>
          </w:tcPr>
          <w:p w14:paraId="253C1CE2" w14:textId="1B24450E" w:rsidR="00536FAB" w:rsidRPr="003B74E0" w:rsidRDefault="00023A47" w:rsidP="00A44F36">
            <w:pPr>
              <w:pStyle w:val="DSBodyTextIndent1"/>
              <w:ind w:left="0"/>
              <w:rPr>
                <w:rFonts w:cs="Arial"/>
              </w:rPr>
            </w:pPr>
            <w:r>
              <w:rPr>
                <w:rFonts w:cs="Arial"/>
              </w:rPr>
              <w:t>-</w:t>
            </w:r>
          </w:p>
        </w:tc>
      </w:tr>
      <w:bookmarkEnd w:id="167"/>
      <w:bookmarkEnd w:id="168"/>
    </w:tbl>
    <w:p w14:paraId="29F75F6C" w14:textId="4F021C0D" w:rsidR="00C409D1" w:rsidRPr="003B74E0" w:rsidRDefault="00C409D1" w:rsidP="00C409D1">
      <w:pPr>
        <w:spacing w:after="160" w:line="259" w:lineRule="auto"/>
      </w:pPr>
      <w:r w:rsidRPr="003B74E0">
        <w:br w:type="page"/>
      </w:r>
    </w:p>
    <w:p w14:paraId="12147287" w14:textId="5CC1537A" w:rsidR="00C409D1" w:rsidRPr="003B74E0" w:rsidRDefault="00C409D1" w:rsidP="00C409D1">
      <w:pPr>
        <w:spacing w:after="160" w:line="259" w:lineRule="auto"/>
        <w:rPr>
          <w:b/>
          <w:lang w:bidi="en-GB"/>
        </w:rPr>
      </w:pPr>
      <w:r w:rsidRPr="003B74E0">
        <w:rPr>
          <w:b/>
        </w:rPr>
        <w:lastRenderedPageBreak/>
        <w:t xml:space="preserve">Appendix 2: </w:t>
      </w:r>
      <w:r w:rsidR="003A2A23" w:rsidRPr="003B74E0">
        <w:rPr>
          <w:b/>
        </w:rPr>
        <w:t>Equity instruments</w:t>
      </w:r>
      <w:r w:rsidRPr="003B74E0">
        <w:rPr>
          <w:b/>
          <w:bCs/>
          <w:lang w:bidi="en-GB"/>
        </w:rPr>
        <w:t xml:space="preserve"> held by the Executive Management</w:t>
      </w:r>
    </w:p>
    <w:p w14:paraId="357A52AD" w14:textId="77777777" w:rsidR="00C409D1" w:rsidRPr="003B74E0" w:rsidRDefault="00C409D1" w:rsidP="00C409D1">
      <w:pPr>
        <w:spacing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362"/>
        <w:gridCol w:w="2362"/>
        <w:gridCol w:w="2362"/>
      </w:tblGrid>
      <w:tr w:rsidR="003A2A23" w:rsidRPr="003B74E0" w14:paraId="5C113998" w14:textId="77777777" w:rsidTr="00936BAD">
        <w:tc>
          <w:tcPr>
            <w:tcW w:w="2835" w:type="dxa"/>
            <w:hideMark/>
          </w:tcPr>
          <w:p w14:paraId="15F64FB7" w14:textId="77777777" w:rsidR="003A2A23" w:rsidRPr="003B74E0" w:rsidRDefault="003A2A23">
            <w:pPr>
              <w:spacing w:after="160" w:line="259" w:lineRule="auto"/>
              <w:rPr>
                <w:b/>
              </w:rPr>
            </w:pPr>
            <w:bookmarkStart w:id="169" w:name="_Hlk134799595"/>
            <w:bookmarkEnd w:id="169"/>
            <w:r w:rsidRPr="003B74E0">
              <w:rPr>
                <w:b/>
              </w:rPr>
              <w:t>Name</w:t>
            </w:r>
          </w:p>
        </w:tc>
        <w:tc>
          <w:tcPr>
            <w:tcW w:w="2362" w:type="dxa"/>
            <w:hideMark/>
          </w:tcPr>
          <w:p w14:paraId="255CC9BE" w14:textId="77777777" w:rsidR="003A2A23" w:rsidRPr="003B74E0" w:rsidRDefault="003A2A23">
            <w:pPr>
              <w:spacing w:after="160" w:line="259" w:lineRule="auto"/>
              <w:rPr>
                <w:b/>
              </w:rPr>
            </w:pPr>
            <w:r w:rsidRPr="003B74E0">
              <w:rPr>
                <w:b/>
              </w:rPr>
              <w:t>Number of Shares</w:t>
            </w:r>
          </w:p>
        </w:tc>
        <w:tc>
          <w:tcPr>
            <w:tcW w:w="2362" w:type="dxa"/>
          </w:tcPr>
          <w:p w14:paraId="73B44294" w14:textId="77777777" w:rsidR="003A2A23" w:rsidRPr="003B74E0" w:rsidRDefault="003A2A23">
            <w:pPr>
              <w:spacing w:after="160" w:line="259" w:lineRule="auto"/>
              <w:rPr>
                <w:b/>
              </w:rPr>
            </w:pPr>
            <w:r w:rsidRPr="003B74E0">
              <w:rPr>
                <w:b/>
              </w:rPr>
              <w:t>Number of Warrants</w:t>
            </w:r>
          </w:p>
        </w:tc>
        <w:tc>
          <w:tcPr>
            <w:tcW w:w="2362" w:type="dxa"/>
          </w:tcPr>
          <w:p w14:paraId="656B2FAF" w14:textId="6987AA88" w:rsidR="003A2A23" w:rsidRPr="003B74E0" w:rsidRDefault="003A2A23">
            <w:pPr>
              <w:spacing w:after="160" w:line="259" w:lineRule="auto"/>
              <w:rPr>
                <w:b/>
              </w:rPr>
            </w:pPr>
            <w:r w:rsidRPr="003B74E0">
              <w:rPr>
                <w:b/>
              </w:rPr>
              <w:t xml:space="preserve">Number of </w:t>
            </w:r>
            <w:r w:rsidR="006D4E42" w:rsidRPr="003B74E0">
              <w:rPr>
                <w:b/>
              </w:rPr>
              <w:t>PSU</w:t>
            </w:r>
            <w:r w:rsidRPr="003B74E0">
              <w:rPr>
                <w:b/>
              </w:rPr>
              <w:t>s</w:t>
            </w:r>
          </w:p>
        </w:tc>
      </w:tr>
      <w:tr w:rsidR="007E0A92" w:rsidRPr="003B74E0" w14:paraId="1DC14543" w14:textId="77777777" w:rsidTr="00936BAD">
        <w:tc>
          <w:tcPr>
            <w:tcW w:w="2835" w:type="dxa"/>
            <w:hideMark/>
          </w:tcPr>
          <w:p w14:paraId="1BDB6113" w14:textId="0D5BD14B" w:rsidR="007E0A92" w:rsidRPr="003B74E0" w:rsidRDefault="000838D1" w:rsidP="007E0A92">
            <w:pPr>
              <w:spacing w:after="160" w:line="259" w:lineRule="auto"/>
            </w:pPr>
            <w:r w:rsidRPr="003B74E0">
              <w:rPr>
                <w:rFonts w:cs="Arial"/>
              </w:rPr>
              <w:t xml:space="preserve">Jon Erik Ivar </w:t>
            </w:r>
            <w:proofErr w:type="spellStart"/>
            <w:r w:rsidRPr="003B74E0">
              <w:rPr>
                <w:rFonts w:cs="Arial"/>
              </w:rPr>
              <w:t>Sintorn</w:t>
            </w:r>
            <w:proofErr w:type="spellEnd"/>
          </w:p>
        </w:tc>
        <w:tc>
          <w:tcPr>
            <w:tcW w:w="2362" w:type="dxa"/>
            <w:hideMark/>
          </w:tcPr>
          <w:p w14:paraId="4A27DC1C" w14:textId="1F6733C7" w:rsidR="007E0A92" w:rsidRPr="003B74E0" w:rsidRDefault="00162601" w:rsidP="007E0A92">
            <w:pPr>
              <w:spacing w:after="160" w:line="259" w:lineRule="auto"/>
            </w:pPr>
            <w:r w:rsidRPr="003B74E0">
              <w:t>18,770</w:t>
            </w:r>
          </w:p>
        </w:tc>
        <w:tc>
          <w:tcPr>
            <w:tcW w:w="2362" w:type="dxa"/>
          </w:tcPr>
          <w:p w14:paraId="7633FF93" w14:textId="223977DF" w:rsidR="007E0A92" w:rsidRPr="003B74E0" w:rsidRDefault="00896327" w:rsidP="007E0A92">
            <w:pPr>
              <w:pStyle w:val="DSBodyTextIndent1"/>
              <w:ind w:left="0"/>
            </w:pPr>
            <w:r w:rsidRPr="003B74E0">
              <w:t>90,469</w:t>
            </w:r>
          </w:p>
        </w:tc>
        <w:tc>
          <w:tcPr>
            <w:tcW w:w="2362" w:type="dxa"/>
          </w:tcPr>
          <w:p w14:paraId="43E0AFB3" w14:textId="4A50A19F" w:rsidR="007E0A92" w:rsidRPr="003B74E0" w:rsidRDefault="00154946" w:rsidP="007E0A92">
            <w:pPr>
              <w:pStyle w:val="DSBodyTextIndent1"/>
              <w:ind w:left="0"/>
            </w:pPr>
            <w:r w:rsidRPr="003B74E0">
              <w:t>67,176</w:t>
            </w:r>
          </w:p>
        </w:tc>
      </w:tr>
      <w:tr w:rsidR="007E0A92" w:rsidRPr="003B74E0" w14:paraId="77D1EECA" w14:textId="77777777" w:rsidTr="00936BAD">
        <w:tc>
          <w:tcPr>
            <w:tcW w:w="2835" w:type="dxa"/>
          </w:tcPr>
          <w:p w14:paraId="1A8AF003" w14:textId="0F453D0B" w:rsidR="007E0A92" w:rsidRPr="003B74E0" w:rsidRDefault="00FD075A" w:rsidP="00DC4277">
            <w:pPr>
              <w:spacing w:after="160" w:line="259" w:lineRule="auto"/>
            </w:pPr>
            <w:r w:rsidRPr="003B74E0">
              <w:rPr>
                <w:rFonts w:cs="Arial"/>
              </w:rPr>
              <w:t>Carl Fredrik Wilhelm Bandhold</w:t>
            </w:r>
          </w:p>
        </w:tc>
        <w:tc>
          <w:tcPr>
            <w:tcW w:w="2362" w:type="dxa"/>
          </w:tcPr>
          <w:p w14:paraId="5F26604E" w14:textId="02AC65B3" w:rsidR="007E0A92" w:rsidRPr="003B74E0" w:rsidRDefault="00162601" w:rsidP="007E0A92">
            <w:pPr>
              <w:pStyle w:val="DSBodyTextIndent1"/>
              <w:ind w:left="0"/>
            </w:pPr>
            <w:r w:rsidRPr="003B74E0">
              <w:rPr>
                <w:rFonts w:cs="Arial"/>
              </w:rPr>
              <w:t>14,000</w:t>
            </w:r>
          </w:p>
        </w:tc>
        <w:tc>
          <w:tcPr>
            <w:tcW w:w="2362" w:type="dxa"/>
          </w:tcPr>
          <w:p w14:paraId="5E497989" w14:textId="0E5A8A26" w:rsidR="007E0A92" w:rsidRPr="003B74E0" w:rsidRDefault="002252B2" w:rsidP="007E0A92">
            <w:pPr>
              <w:pStyle w:val="DSBodyTextIndent1"/>
              <w:ind w:left="0"/>
            </w:pPr>
            <w:r w:rsidRPr="003B74E0">
              <w:rPr>
                <w:rFonts w:cs="Arial"/>
              </w:rPr>
              <w:t>288,990</w:t>
            </w:r>
          </w:p>
        </w:tc>
        <w:tc>
          <w:tcPr>
            <w:tcW w:w="2362" w:type="dxa"/>
          </w:tcPr>
          <w:p w14:paraId="43C85782" w14:textId="206E0230" w:rsidR="007E0A92" w:rsidRPr="003B74E0" w:rsidRDefault="00154946" w:rsidP="007E0A92">
            <w:pPr>
              <w:pStyle w:val="DSBodyTextIndent1"/>
              <w:ind w:left="0"/>
            </w:pPr>
            <w:r w:rsidRPr="003B74E0">
              <w:t>28,891</w:t>
            </w:r>
          </w:p>
        </w:tc>
      </w:tr>
    </w:tbl>
    <w:p w14:paraId="6778B2E6" w14:textId="09BFC3E2" w:rsidR="00C409D1" w:rsidRPr="003B74E0" w:rsidRDefault="00C409D1" w:rsidP="00C409D1">
      <w:pPr>
        <w:spacing w:after="160" w:line="259" w:lineRule="auto"/>
      </w:pPr>
    </w:p>
    <w:sectPr w:rsidR="00C409D1" w:rsidRPr="003B74E0" w:rsidSect="00DE6DB8">
      <w:headerReference w:type="default" r:id="rId13"/>
      <w:footerReference w:type="default" r:id="rId14"/>
      <w:headerReference w:type="first" r:id="rId15"/>
      <w:footerReference w:type="first" r:id="rId16"/>
      <w:pgSz w:w="11906" w:h="16838" w:code="9"/>
      <w:pgMar w:top="2552" w:right="851" w:bottom="2211" w:left="1134" w:header="85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9A2E" w14:textId="77777777" w:rsidR="00306FD2" w:rsidRDefault="00306FD2" w:rsidP="009E4B94">
      <w:pPr>
        <w:spacing w:line="240" w:lineRule="auto"/>
      </w:pPr>
      <w:r>
        <w:separator/>
      </w:r>
    </w:p>
  </w:endnote>
  <w:endnote w:type="continuationSeparator" w:id="0">
    <w:p w14:paraId="76BA16BC" w14:textId="77777777" w:rsidR="00306FD2" w:rsidRDefault="00306FD2"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F2AD" w14:textId="77777777" w:rsidR="001239DE" w:rsidRPr="00731E14" w:rsidRDefault="001239DE" w:rsidP="001239DE">
    <w:r>
      <w:rPr>
        <w:noProof/>
        <w:lang w:eastAsia="en-GB"/>
      </w:rPr>
      <mc:AlternateContent>
        <mc:Choice Requires="wps">
          <w:drawing>
            <wp:anchor distT="0" distB="0" distL="114300" distR="114300" simplePos="0" relativeHeight="251658241" behindDoc="0" locked="0" layoutInCell="1" allowOverlap="1" wp14:anchorId="1714A327" wp14:editId="0DC3D109">
              <wp:simplePos x="0" y="0"/>
              <wp:positionH relativeFrom="margin">
                <wp:posOffset>0</wp:posOffset>
              </wp:positionH>
              <wp:positionV relativeFrom="page">
                <wp:posOffset>10025380</wp:posOffset>
              </wp:positionV>
              <wp:extent cx="6300000" cy="658800"/>
              <wp:effectExtent l="0" t="0" r="5715" b="8255"/>
              <wp:wrapNone/>
              <wp:docPr id="4"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dStyle_AutoTableName_49d28c89880647159d66a3c0e94e8e95"/>
                          </w:tblPr>
                          <w:tblGrid>
                            <w:gridCol w:w="6946"/>
                            <w:gridCol w:w="2965"/>
                          </w:tblGrid>
                          <w:tr w:rsidR="009B595A" w14:paraId="6AC3D263" w14:textId="77777777" w:rsidTr="002F59D1">
                            <w:tc>
                              <w:tcPr>
                                <w:tcW w:w="6946" w:type="dxa"/>
                              </w:tcPr>
                              <w:p w14:paraId="04A29CDB" w14:textId="376C6CD3" w:rsidR="009B595A" w:rsidRDefault="009B595A" w:rsidP="002F59D1">
                                <w:pPr>
                                  <w:pStyle w:val="DSFooter1"/>
                                </w:pPr>
                                <w:bookmarkStart w:id="171" w:name="cbmMatterIDDocumentNumber_2" w:colFirst="0" w:colLast="0"/>
                              </w:p>
                            </w:tc>
                            <w:tc>
                              <w:tcPr>
                                <w:tcW w:w="2965" w:type="dxa"/>
                              </w:tcPr>
                              <w:tbl>
                                <w:tblPr>
                                  <w:tblStyle w:val="DSTableClear"/>
                                  <w:tblW w:w="0" w:type="auto"/>
                                  <w:jc w:val="right"/>
                                  <w:tblLook w:val="04A0" w:firstRow="1" w:lastRow="0" w:firstColumn="1" w:lastColumn="0" w:noHBand="0" w:noVBand="1"/>
                                  <w:tblCaption w:val="dStyle_AutoTableName_cd4235502faa4d369ab37ffbe968cbb8"/>
                                </w:tblPr>
                                <w:tblGrid>
                                  <w:gridCol w:w="353"/>
                                  <w:gridCol w:w="284"/>
                                </w:tblGrid>
                                <w:tr w:rsidR="009B595A" w14:paraId="37EA7C5B" w14:textId="77777777" w:rsidTr="00C47AA7">
                                  <w:trPr>
                                    <w:jc w:val="right"/>
                                  </w:trPr>
                                  <w:tc>
                                    <w:tcPr>
                                      <w:tcW w:w="0" w:type="auto"/>
                                    </w:tcPr>
                                    <w:p w14:paraId="6D684291" w14:textId="77777777" w:rsidR="009B595A" w:rsidRDefault="009B595A" w:rsidP="002F59D1">
                                      <w:pPr>
                                        <w:pStyle w:val="DSFooter2"/>
                                      </w:pPr>
                                      <w:bookmarkStart w:id="172" w:name="lblPageNr_2" w:colFirst="0" w:colLast="0"/>
                                      <w:r>
                                        <w:t>Page</w:t>
                                      </w:r>
                                    </w:p>
                                  </w:tc>
                                  <w:tc>
                                    <w:tcPr>
                                      <w:tcW w:w="284" w:type="dxa"/>
                                      <w:hideMark/>
                                    </w:tcPr>
                                    <w:p w14:paraId="53CE99AE" w14:textId="77777777" w:rsidR="009B595A" w:rsidRDefault="009B595A" w:rsidP="002F59D1">
                                      <w:pPr>
                                        <w:pStyle w:val="DSFooter2"/>
                                        <w:jc w:val="center"/>
                                      </w:pPr>
                                      <w:r>
                                        <w:fldChar w:fldCharType="begin"/>
                                      </w:r>
                                      <w:r>
                                        <w:instrText xml:space="preserve"> PAGE  </w:instrText>
                                      </w:r>
                                      <w:r>
                                        <w:fldChar w:fldCharType="separate"/>
                                      </w:r>
                                      <w:r>
                                        <w:rPr>
                                          <w:noProof/>
                                        </w:rPr>
                                        <w:t>8</w:t>
                                      </w:r>
                                      <w:r>
                                        <w:fldChar w:fldCharType="end"/>
                                      </w:r>
                                    </w:p>
                                  </w:tc>
                                </w:tr>
                                <w:bookmarkEnd w:id="172"/>
                              </w:tbl>
                              <w:p w14:paraId="39B18839" w14:textId="77777777" w:rsidR="009B595A" w:rsidRDefault="009B595A" w:rsidP="002F59D1">
                                <w:pPr>
                                  <w:pStyle w:val="DSFooter2"/>
                                </w:pPr>
                              </w:p>
                            </w:tc>
                          </w:tr>
                          <w:bookmarkEnd w:id="171"/>
                        </w:tbl>
                        <w:p w14:paraId="713B4B00" w14:textId="77777777" w:rsidR="001239DE" w:rsidRPr="00244D70" w:rsidRDefault="001239DE" w:rsidP="001239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4A327" id="_x0000_t202" coordsize="21600,21600" o:spt="202" path="m,l,21600r21600,l21600,xe">
              <v:stroke joinstyle="miter"/>
              <v:path gradientshapeok="t" o:connecttype="rect"/>
            </v:shapetype>
            <v:shape id="Footer info" o:spid="_x0000_s1026" type="#_x0000_t202" style="position:absolute;margin-left:0;margin-top:789.4pt;width:496.05pt;height:51.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" filled="f" stroked="f" strokeweight=".5pt">
              <v:textbox inset="0,0,0,0">
                <w:txbxContent>
                  <w:tbl>
                    <w:tblPr>
                      <w:tblStyle w:val="DSTableClear"/>
                      <w:tblW w:w="0" w:type="auto"/>
                      <w:tblLook w:val="04A0" w:firstRow="1" w:lastRow="0" w:firstColumn="1" w:lastColumn="0" w:noHBand="0" w:noVBand="1"/>
                      <w:tblCaption w:val="dStyle_AutoTableName_49d28c89880647159d66a3c0e94e8e95"/>
                    </w:tblPr>
                    <w:tblGrid>
                      <w:gridCol w:w="6946"/>
                      <w:gridCol w:w="2965"/>
                    </w:tblGrid>
                    <w:tr w:rsidR="009B595A" w14:paraId="6AC3D263" w14:textId="77777777" w:rsidTr="002F59D1">
                      <w:tc>
                        <w:tcPr>
                          <w:tcW w:w="6946" w:type="dxa"/>
                        </w:tcPr>
                        <w:p w14:paraId="04A29CDB" w14:textId="376C6CD3" w:rsidR="009B595A" w:rsidRDefault="009B595A" w:rsidP="002F59D1">
                          <w:pPr>
                            <w:pStyle w:val="DSFooter1"/>
                          </w:pPr>
                          <w:bookmarkStart w:id="173" w:name="cbmMatterIDDocumentNumber_2" w:colFirst="0" w:colLast="0"/>
                        </w:p>
                      </w:tc>
                      <w:tc>
                        <w:tcPr>
                          <w:tcW w:w="2965" w:type="dxa"/>
                        </w:tcPr>
                        <w:tbl>
                          <w:tblPr>
                            <w:tblStyle w:val="DSTableClear"/>
                            <w:tblW w:w="0" w:type="auto"/>
                            <w:jc w:val="right"/>
                            <w:tblLook w:val="04A0" w:firstRow="1" w:lastRow="0" w:firstColumn="1" w:lastColumn="0" w:noHBand="0" w:noVBand="1"/>
                            <w:tblCaption w:val="dStyle_AutoTableName_cd4235502faa4d369ab37ffbe968cbb8"/>
                          </w:tblPr>
                          <w:tblGrid>
                            <w:gridCol w:w="353"/>
                            <w:gridCol w:w="284"/>
                          </w:tblGrid>
                          <w:tr w:rsidR="009B595A" w14:paraId="37EA7C5B" w14:textId="77777777" w:rsidTr="00C47AA7">
                            <w:trPr>
                              <w:jc w:val="right"/>
                            </w:trPr>
                            <w:tc>
                              <w:tcPr>
                                <w:tcW w:w="0" w:type="auto"/>
                              </w:tcPr>
                              <w:p w14:paraId="6D684291" w14:textId="77777777" w:rsidR="009B595A" w:rsidRDefault="009B595A" w:rsidP="002F59D1">
                                <w:pPr>
                                  <w:pStyle w:val="DSFooter2"/>
                                </w:pPr>
                                <w:bookmarkStart w:id="174" w:name="lblPageNr_2" w:colFirst="0" w:colLast="0"/>
                                <w:r>
                                  <w:t>Page</w:t>
                                </w:r>
                              </w:p>
                            </w:tc>
                            <w:tc>
                              <w:tcPr>
                                <w:tcW w:w="284" w:type="dxa"/>
                                <w:hideMark/>
                              </w:tcPr>
                              <w:p w14:paraId="53CE99AE" w14:textId="77777777" w:rsidR="009B595A" w:rsidRDefault="009B595A" w:rsidP="002F59D1">
                                <w:pPr>
                                  <w:pStyle w:val="DSFooter2"/>
                                  <w:jc w:val="center"/>
                                </w:pPr>
                                <w:r>
                                  <w:fldChar w:fldCharType="begin"/>
                                </w:r>
                                <w:r>
                                  <w:instrText xml:space="preserve"> PAGE  </w:instrText>
                                </w:r>
                                <w:r>
                                  <w:fldChar w:fldCharType="separate"/>
                                </w:r>
                                <w:r>
                                  <w:rPr>
                                    <w:noProof/>
                                  </w:rPr>
                                  <w:t>8</w:t>
                                </w:r>
                                <w:r>
                                  <w:fldChar w:fldCharType="end"/>
                                </w:r>
                              </w:p>
                            </w:tc>
                          </w:tr>
                          <w:bookmarkEnd w:id="174"/>
                        </w:tbl>
                        <w:p w14:paraId="39B18839" w14:textId="77777777" w:rsidR="009B595A" w:rsidRDefault="009B595A" w:rsidP="002F59D1">
                          <w:pPr>
                            <w:pStyle w:val="DSFooter2"/>
                          </w:pPr>
                        </w:p>
                      </w:tc>
                    </w:tr>
                    <w:bookmarkEnd w:id="173"/>
                  </w:tbl>
                  <w:p w14:paraId="713B4B00" w14:textId="77777777" w:rsidR="001239DE" w:rsidRPr="00244D70" w:rsidRDefault="001239DE" w:rsidP="001239DE"/>
                </w:txbxContent>
              </v:textbox>
              <w10:wrap anchorx="margin" anchory="page"/>
            </v:shape>
          </w:pict>
        </mc:Fallback>
      </mc:AlternateContent>
    </w:r>
  </w:p>
  <w:p w14:paraId="162F9305" w14:textId="77777777" w:rsidR="00731E14" w:rsidRPr="008412FE" w:rsidRDefault="00731E14" w:rsidP="008412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0C45" w14:textId="77777777" w:rsidR="00AF0A5D" w:rsidRPr="008412FE" w:rsidRDefault="008412FE" w:rsidP="008412FE">
    <w:r>
      <w:rPr>
        <w:noProof/>
        <w:lang w:eastAsia="en-GB"/>
      </w:rPr>
      <mc:AlternateContent>
        <mc:Choice Requires="wps">
          <w:drawing>
            <wp:anchor distT="0" distB="0" distL="114300" distR="114300" simplePos="0" relativeHeight="251658240" behindDoc="0" locked="0" layoutInCell="1" allowOverlap="1" wp14:anchorId="2E4C17C1" wp14:editId="38382141">
              <wp:simplePos x="0" y="0"/>
              <wp:positionH relativeFrom="margin">
                <wp:posOffset>0</wp:posOffset>
              </wp:positionH>
              <wp:positionV relativeFrom="page">
                <wp:posOffset>10025380</wp:posOffset>
              </wp:positionV>
              <wp:extent cx="6300000" cy="658800"/>
              <wp:effectExtent l="0" t="0" r="5715" b="8255"/>
              <wp:wrapNone/>
              <wp:docPr id="3"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Blank_Footer"/>
                          </w:tblPr>
                          <w:tblGrid>
                            <w:gridCol w:w="6946"/>
                            <w:gridCol w:w="2965"/>
                          </w:tblGrid>
                          <w:tr w:rsidR="009B595A" w14:paraId="05DE02AA" w14:textId="77777777" w:rsidTr="00EE3553">
                            <w:tc>
                              <w:tcPr>
                                <w:tcW w:w="6946" w:type="dxa"/>
                              </w:tcPr>
                              <w:p w14:paraId="0D65D96C" w14:textId="44225E4A" w:rsidR="009B595A" w:rsidRDefault="009B595A" w:rsidP="00EE3553">
                                <w:pPr>
                                  <w:pStyle w:val="DSFooter1"/>
                                </w:pPr>
                              </w:p>
                            </w:tc>
                            <w:tc>
                              <w:tcPr>
                                <w:tcW w:w="2965" w:type="dxa"/>
                              </w:tcPr>
                              <w:tbl>
                                <w:tblPr>
                                  <w:tblStyle w:val="DSTableClear"/>
                                  <w:tblW w:w="0" w:type="auto"/>
                                  <w:jc w:val="right"/>
                                  <w:tblLook w:val="04A0" w:firstRow="1" w:lastRow="0" w:firstColumn="1" w:lastColumn="0" w:noHBand="0" w:noVBand="1"/>
                                  <w:tblCaption w:val="dStyle_AutoTableName_58e4a7cad2594164bd6892ce2f85a98b"/>
                                </w:tblPr>
                                <w:tblGrid>
                                  <w:gridCol w:w="353"/>
                                  <w:gridCol w:w="284"/>
                                </w:tblGrid>
                                <w:tr w:rsidR="009B595A" w14:paraId="22CD2D67" w14:textId="77777777" w:rsidTr="00EE3553">
                                  <w:trPr>
                                    <w:jc w:val="right"/>
                                  </w:trPr>
                                  <w:tc>
                                    <w:tcPr>
                                      <w:tcW w:w="0" w:type="auto"/>
                                    </w:tcPr>
                                    <w:p w14:paraId="1752BF81" w14:textId="77777777" w:rsidR="009B595A" w:rsidRDefault="009B595A" w:rsidP="00EE3553">
                                      <w:pPr>
                                        <w:pStyle w:val="DSFooter2"/>
                                      </w:pPr>
                                      <w:bookmarkStart w:id="175" w:name="lblPageNr" w:colFirst="0" w:colLast="0"/>
                                      <w:r>
                                        <w:t>Page</w:t>
                                      </w:r>
                                    </w:p>
                                  </w:tc>
                                  <w:tc>
                                    <w:tcPr>
                                      <w:tcW w:w="284" w:type="dxa"/>
                                      <w:hideMark/>
                                    </w:tcPr>
                                    <w:p w14:paraId="5C898556" w14:textId="77777777" w:rsidR="009B595A" w:rsidRDefault="009B595A" w:rsidP="00EE3553">
                                      <w:pPr>
                                        <w:pStyle w:val="DSFooter2"/>
                                        <w:jc w:val="center"/>
                                      </w:pPr>
                                      <w:r>
                                        <w:fldChar w:fldCharType="begin"/>
                                      </w:r>
                                      <w:r>
                                        <w:instrText xml:space="preserve"> PAGE  </w:instrText>
                                      </w:r>
                                      <w:r>
                                        <w:fldChar w:fldCharType="separate"/>
                                      </w:r>
                                      <w:r>
                                        <w:rPr>
                                          <w:noProof/>
                                        </w:rPr>
                                        <w:t>1</w:t>
                                      </w:r>
                                      <w:r>
                                        <w:fldChar w:fldCharType="end"/>
                                      </w:r>
                                    </w:p>
                                  </w:tc>
                                </w:tr>
                                <w:bookmarkEnd w:id="175"/>
                              </w:tbl>
                              <w:p w14:paraId="3453973E" w14:textId="77777777" w:rsidR="009B595A" w:rsidRDefault="009B595A" w:rsidP="00EE3553">
                                <w:pPr>
                                  <w:pStyle w:val="DSFooter2"/>
                                </w:pPr>
                              </w:p>
                            </w:tc>
                          </w:tr>
                        </w:tbl>
                        <w:p w14:paraId="16B801A0" w14:textId="77777777" w:rsidR="008412FE" w:rsidRPr="00244D70" w:rsidRDefault="008412FE" w:rsidP="008412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C17C1" id="_x0000_t202" coordsize="21600,21600" o:spt="202" path="m,l,21600r21600,l21600,xe">
              <v:stroke joinstyle="miter"/>
              <v:path gradientshapeok="t" o:connecttype="rect"/>
            </v:shapetype>
            <v:shape id="_x0000_s1027" type="#_x0000_t202" style="position:absolute;margin-left:0;margin-top:789.4pt;width:496.05pt;height:5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" filled="f" stroked="f" strokeweight=".5pt">
              <v:textbox inset="0,0,0,0">
                <w:txbxContent>
                  <w:tbl>
                    <w:tblPr>
                      <w:tblStyle w:val="DSTableClear"/>
                      <w:tblW w:w="0" w:type="auto"/>
                      <w:tblLook w:val="04A0" w:firstRow="1" w:lastRow="0" w:firstColumn="1" w:lastColumn="0" w:noHBand="0" w:noVBand="1"/>
                      <w:tblCaption w:val="Blank_Footer"/>
                    </w:tblPr>
                    <w:tblGrid>
                      <w:gridCol w:w="6946"/>
                      <w:gridCol w:w="2965"/>
                    </w:tblGrid>
                    <w:tr w:rsidR="009B595A" w14:paraId="05DE02AA" w14:textId="77777777" w:rsidTr="00EE3553">
                      <w:tc>
                        <w:tcPr>
                          <w:tcW w:w="6946" w:type="dxa"/>
                        </w:tcPr>
                        <w:p w14:paraId="0D65D96C" w14:textId="44225E4A" w:rsidR="009B595A" w:rsidRDefault="009B595A" w:rsidP="00EE3553">
                          <w:pPr>
                            <w:pStyle w:val="DSFooter1"/>
                          </w:pPr>
                        </w:p>
                      </w:tc>
                      <w:tc>
                        <w:tcPr>
                          <w:tcW w:w="2965" w:type="dxa"/>
                        </w:tcPr>
                        <w:tbl>
                          <w:tblPr>
                            <w:tblStyle w:val="DSTableClear"/>
                            <w:tblW w:w="0" w:type="auto"/>
                            <w:jc w:val="right"/>
                            <w:tblLook w:val="04A0" w:firstRow="1" w:lastRow="0" w:firstColumn="1" w:lastColumn="0" w:noHBand="0" w:noVBand="1"/>
                            <w:tblCaption w:val="dStyle_AutoTableName_58e4a7cad2594164bd6892ce2f85a98b"/>
                          </w:tblPr>
                          <w:tblGrid>
                            <w:gridCol w:w="353"/>
                            <w:gridCol w:w="284"/>
                          </w:tblGrid>
                          <w:tr w:rsidR="009B595A" w14:paraId="22CD2D67" w14:textId="77777777" w:rsidTr="00EE3553">
                            <w:trPr>
                              <w:jc w:val="right"/>
                            </w:trPr>
                            <w:tc>
                              <w:tcPr>
                                <w:tcW w:w="0" w:type="auto"/>
                              </w:tcPr>
                              <w:p w14:paraId="1752BF81" w14:textId="77777777" w:rsidR="009B595A" w:rsidRDefault="009B595A" w:rsidP="00EE3553">
                                <w:pPr>
                                  <w:pStyle w:val="DSFooter2"/>
                                </w:pPr>
                                <w:bookmarkStart w:id="176" w:name="lblPageNr" w:colFirst="0" w:colLast="0"/>
                                <w:r>
                                  <w:t>Page</w:t>
                                </w:r>
                              </w:p>
                            </w:tc>
                            <w:tc>
                              <w:tcPr>
                                <w:tcW w:w="284" w:type="dxa"/>
                                <w:hideMark/>
                              </w:tcPr>
                              <w:p w14:paraId="5C898556" w14:textId="77777777" w:rsidR="009B595A" w:rsidRDefault="009B595A" w:rsidP="00EE3553">
                                <w:pPr>
                                  <w:pStyle w:val="DSFooter2"/>
                                  <w:jc w:val="center"/>
                                </w:pPr>
                                <w:r>
                                  <w:fldChar w:fldCharType="begin"/>
                                </w:r>
                                <w:r>
                                  <w:instrText xml:space="preserve"> PAGE  </w:instrText>
                                </w:r>
                                <w:r>
                                  <w:fldChar w:fldCharType="separate"/>
                                </w:r>
                                <w:r>
                                  <w:rPr>
                                    <w:noProof/>
                                  </w:rPr>
                                  <w:t>1</w:t>
                                </w:r>
                                <w:r>
                                  <w:fldChar w:fldCharType="end"/>
                                </w:r>
                              </w:p>
                            </w:tc>
                          </w:tr>
                          <w:bookmarkEnd w:id="176"/>
                        </w:tbl>
                        <w:p w14:paraId="3453973E" w14:textId="77777777" w:rsidR="009B595A" w:rsidRDefault="009B595A" w:rsidP="00EE3553">
                          <w:pPr>
                            <w:pStyle w:val="DSFooter2"/>
                          </w:pPr>
                        </w:p>
                      </w:tc>
                    </w:tr>
                  </w:tbl>
                  <w:p w14:paraId="16B801A0" w14:textId="77777777" w:rsidR="008412FE" w:rsidRPr="00244D70" w:rsidRDefault="008412FE" w:rsidP="008412F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915D" w14:textId="77777777" w:rsidR="00306FD2" w:rsidRDefault="00306FD2" w:rsidP="009E4B94">
      <w:pPr>
        <w:spacing w:line="240" w:lineRule="auto"/>
      </w:pPr>
      <w:r>
        <w:separator/>
      </w:r>
    </w:p>
  </w:footnote>
  <w:footnote w:type="continuationSeparator" w:id="0">
    <w:p w14:paraId="4CA5C9DF" w14:textId="77777777" w:rsidR="00306FD2" w:rsidRDefault="00306FD2" w:rsidP="009E4B94">
      <w:pPr>
        <w:spacing w:line="240" w:lineRule="auto"/>
      </w:pPr>
      <w:r>
        <w:continuationSeparator/>
      </w:r>
    </w:p>
  </w:footnote>
  <w:footnote w:id="1">
    <w:p w14:paraId="7F2CE918" w14:textId="591FFE21" w:rsidR="00C409D1" w:rsidRPr="00C107A0" w:rsidRDefault="00C409D1" w:rsidP="00C409D1">
      <w:pPr>
        <w:pStyle w:val="FootnoteText"/>
        <w:rPr>
          <w:lang w:val="en-US"/>
        </w:rPr>
      </w:pPr>
      <w:r w:rsidRPr="00C107A0">
        <w:rPr>
          <w:rStyle w:val="FootnoteReference"/>
        </w:rPr>
        <w:footnoteRef/>
      </w:r>
      <w:r w:rsidRPr="00C107A0">
        <w:rPr>
          <w:lang w:val="en-US"/>
        </w:rPr>
        <w:t xml:space="preserve"> The </w:t>
      </w:r>
      <w:r w:rsidR="00A92BA1">
        <w:rPr>
          <w:lang w:val="en-US"/>
        </w:rPr>
        <w:t xml:space="preserve">2024 </w:t>
      </w:r>
      <w:r w:rsidRPr="00C107A0">
        <w:rPr>
          <w:lang w:val="en-US"/>
        </w:rPr>
        <w:t xml:space="preserve">Annual Report can be found on </w:t>
      </w:r>
      <w:hyperlink r:id="rId1" w:history="1">
        <w:r w:rsidR="006E6CF2" w:rsidRPr="00C107A0">
          <w:rPr>
            <w:rStyle w:val="Hyperlink"/>
            <w:lang w:val="en-US"/>
          </w:rPr>
          <w:t>Nilfisk Holding</w:t>
        </w:r>
        <w:r w:rsidR="00F6113D" w:rsidRPr="00C107A0">
          <w:rPr>
            <w:rStyle w:val="Hyperlink"/>
            <w:lang w:val="en-US"/>
          </w:rPr>
          <w:t xml:space="preserve"> Annual Report 2024</w:t>
        </w:r>
      </w:hyperlink>
      <w:r w:rsidRPr="00C107A0">
        <w:rPr>
          <w:lang w:val="en-US"/>
        </w:rPr>
        <w:t xml:space="preserve">. The </w:t>
      </w:r>
      <w:r w:rsidR="00A92BA1">
        <w:rPr>
          <w:lang w:val="en-US"/>
        </w:rPr>
        <w:t xml:space="preserve">2024 </w:t>
      </w:r>
      <w:r w:rsidRPr="00C107A0">
        <w:rPr>
          <w:lang w:val="en-US"/>
        </w:rPr>
        <w:t>Annual Report does not form part of this Statement, except for the specific content thereof included in the Statement.</w:t>
      </w:r>
    </w:p>
  </w:footnote>
  <w:footnote w:id="2">
    <w:p w14:paraId="696ECE7A" w14:textId="77C6821C" w:rsidR="0056608C" w:rsidRPr="0056608C" w:rsidRDefault="0056608C">
      <w:pPr>
        <w:pStyle w:val="FootnoteText"/>
        <w:rPr>
          <w:lang w:val="en-US"/>
        </w:rPr>
      </w:pPr>
      <w:r w:rsidRPr="00C107A0">
        <w:rPr>
          <w:rStyle w:val="FootnoteReference"/>
        </w:rPr>
        <w:footnoteRef/>
      </w:r>
      <w:r w:rsidRPr="00C107A0">
        <w:rPr>
          <w:lang w:val="en-US"/>
        </w:rPr>
        <w:t xml:space="preserve"> The 2025 </w:t>
      </w:r>
      <w:r w:rsidR="00397DF5" w:rsidRPr="00C107A0">
        <w:rPr>
          <w:lang w:val="en-US"/>
        </w:rPr>
        <w:t>Q</w:t>
      </w:r>
      <w:r w:rsidR="00457423" w:rsidRPr="00C107A0">
        <w:rPr>
          <w:lang w:val="en-US"/>
        </w:rPr>
        <w:t>3</w:t>
      </w:r>
      <w:r w:rsidR="00397DF5" w:rsidRPr="00C107A0">
        <w:rPr>
          <w:lang w:val="en-US"/>
        </w:rPr>
        <w:t xml:space="preserve"> </w:t>
      </w:r>
      <w:r w:rsidRPr="00C107A0">
        <w:rPr>
          <w:lang w:val="en-US"/>
        </w:rPr>
        <w:t xml:space="preserve">Report can be found on </w:t>
      </w:r>
      <w:hyperlink r:id="rId2" w:history="1">
        <w:r w:rsidR="006E6CF2" w:rsidRPr="00C107A0">
          <w:rPr>
            <w:rStyle w:val="Hyperlink"/>
            <w:lang w:val="en-US"/>
          </w:rPr>
          <w:t>Nilfisk Holding</w:t>
        </w:r>
      </w:hyperlink>
      <w:r w:rsidRPr="00C107A0">
        <w:rPr>
          <w:lang w:val="en-US"/>
        </w:rPr>
        <w:t xml:space="preserve">. The </w:t>
      </w:r>
      <w:r w:rsidR="00397DF5" w:rsidRPr="00C107A0">
        <w:rPr>
          <w:lang w:val="en-US"/>
        </w:rPr>
        <w:t>2025 Q</w:t>
      </w:r>
      <w:r w:rsidR="00457423" w:rsidRPr="00C107A0">
        <w:rPr>
          <w:lang w:val="en-US"/>
        </w:rPr>
        <w:t>3</w:t>
      </w:r>
      <w:r w:rsidR="00397DF5" w:rsidRPr="00C107A0">
        <w:rPr>
          <w:lang w:val="en-US"/>
        </w:rPr>
        <w:t xml:space="preserve"> Report </w:t>
      </w:r>
      <w:r w:rsidRPr="00C107A0">
        <w:rPr>
          <w:lang w:val="en-US"/>
        </w:rPr>
        <w:t>does not form part of this Statement, except for the specific content thereof included in the Statement.</w:t>
      </w:r>
    </w:p>
  </w:footnote>
  <w:footnote w:id="3">
    <w:p w14:paraId="4152C7D3" w14:textId="77777777" w:rsidR="00C409D1" w:rsidRPr="00C409D1" w:rsidRDefault="00C409D1" w:rsidP="00C409D1">
      <w:pPr>
        <w:pStyle w:val="FootnoteText"/>
        <w:rPr>
          <w:lang w:val="en-US"/>
        </w:rPr>
      </w:pPr>
      <w:r>
        <w:rPr>
          <w:rStyle w:val="FootnoteReference"/>
        </w:rPr>
        <w:footnoteRef/>
      </w:r>
      <w:r w:rsidRPr="00C409D1">
        <w:rPr>
          <w:lang w:val="en-US"/>
        </w:rPr>
        <w:t xml:space="preserve"> The parts of the text below which are derived from the Offer Document use certain terms that are defined in the Offer Document. Reference is made to the Offer Document for the applicable definitions of such terms.</w:t>
      </w:r>
    </w:p>
  </w:footnote>
  <w:footnote w:id="4">
    <w:p w14:paraId="32AE7DA1" w14:textId="13AD17E0" w:rsidR="00B030D6" w:rsidRPr="00B030D6" w:rsidRDefault="00B030D6">
      <w:pPr>
        <w:pStyle w:val="FootnoteText"/>
      </w:pPr>
      <w:r>
        <w:rPr>
          <w:rStyle w:val="FootnoteReference"/>
        </w:rPr>
        <w:footnoteRef/>
      </w:r>
      <w:r>
        <w:t xml:space="preserve"> The Recommendations on Corporate Governance can be found here: </w:t>
      </w:r>
      <w:hyperlink r:id="rId3" w:history="1">
        <w:r w:rsidR="00182B49" w:rsidRPr="00182B49">
          <w:rPr>
            <w:rStyle w:val="Hyperlink"/>
          </w:rPr>
          <w:t>Anbefalinger for god Selskabsledelse | Corporate Governance</w:t>
        </w:r>
      </w:hyperlink>
    </w:p>
  </w:footnote>
  <w:footnote w:id="5">
    <w:p w14:paraId="1FC8C3B8" w14:textId="029DA1B4" w:rsidR="00C409D1" w:rsidRPr="00C409D1" w:rsidRDefault="00C409D1" w:rsidP="00C409D1">
      <w:pPr>
        <w:pStyle w:val="FootnoteText"/>
        <w:rPr>
          <w:lang w:val="en-US"/>
        </w:rPr>
      </w:pPr>
      <w:r>
        <w:rPr>
          <w:rStyle w:val="FootnoteReference"/>
        </w:rPr>
        <w:footnoteRef/>
      </w:r>
      <w:r w:rsidRPr="00C409D1">
        <w:rPr>
          <w:lang w:val="en-US"/>
        </w:rPr>
        <w:t xml:space="preserve"> See </w:t>
      </w:r>
      <w:r w:rsidR="007A5C28">
        <w:rPr>
          <w:lang w:val="en-US"/>
        </w:rPr>
        <w:t>S</w:t>
      </w:r>
      <w:r w:rsidRPr="00C409D1">
        <w:rPr>
          <w:lang w:val="en-US"/>
        </w:rPr>
        <w:t>ection 70ff of the Companies Act</w:t>
      </w:r>
      <w:r w:rsidR="00633856">
        <w:rPr>
          <w:lang w:val="en-US"/>
        </w:rPr>
        <w:t xml:space="preserve">. </w:t>
      </w:r>
    </w:p>
  </w:footnote>
  <w:footnote w:id="6">
    <w:p w14:paraId="02845EB6" w14:textId="77777777" w:rsidR="00292C28" w:rsidRPr="00604022" w:rsidRDefault="00292C28" w:rsidP="00292C28">
      <w:pPr>
        <w:pStyle w:val="FootnoteText"/>
      </w:pPr>
      <w:r>
        <w:rPr>
          <w:rStyle w:val="FootnoteReference"/>
        </w:rPr>
        <w:footnoteRef/>
      </w:r>
      <w:r>
        <w:t xml:space="preserve"> </w:t>
      </w:r>
      <w:r w:rsidRPr="00604022">
        <w:t>See section 131 of t</w:t>
      </w:r>
      <w:r>
        <w:t>he Danish Companies Act.</w:t>
      </w:r>
    </w:p>
  </w:footnote>
  <w:footnote w:id="7">
    <w:p w14:paraId="2B3218DA" w14:textId="77777777" w:rsidR="00292C28" w:rsidRPr="004D009E" w:rsidRDefault="00292C28" w:rsidP="00292C28">
      <w:pPr>
        <w:pStyle w:val="FootnoteText"/>
      </w:pPr>
      <w:r>
        <w:rPr>
          <w:rStyle w:val="FootnoteReference"/>
        </w:rPr>
        <w:footnoteRef/>
      </w:r>
      <w:r>
        <w:t xml:space="preserve"> </w:t>
      </w:r>
      <w:r w:rsidRPr="004D009E">
        <w:t>See sections 108 and 127 o</w:t>
      </w:r>
      <w:r>
        <w:t>f the Danish Companies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Caption w:val="dStyle_AutoTableName_f05494f0a636406a92125781dc9a6641"/>
    </w:tblPr>
    <w:tblGrid>
      <w:gridCol w:w="11907"/>
    </w:tblGrid>
    <w:tr w:rsidR="009B595A" w14:paraId="152842B1" w14:textId="77777777" w:rsidTr="00A81537">
      <w:tc>
        <w:tcPr>
          <w:tcW w:w="11907" w:type="dxa"/>
        </w:tcPr>
        <w:p w14:paraId="7ACFE8F0" w14:textId="5EFAF3FF" w:rsidR="009B595A" w:rsidRDefault="009B595A" w:rsidP="00731E14">
          <w:pPr>
            <w:rPr>
              <w:color w:val="A0A08D" w:themeColor="accent4"/>
            </w:rPr>
          </w:pPr>
          <w:bookmarkStart w:id="170" w:name="bmBULocation_logo_header_otherpage" w:colFirst="0" w:colLast="0"/>
        </w:p>
      </w:tc>
    </w:tr>
  </w:tbl>
  <w:bookmarkEnd w:id="170"/>
  <w:p w14:paraId="37E8D2AA" w14:textId="193CCBE5" w:rsidR="006C4CB3" w:rsidRPr="00731E14" w:rsidRDefault="00A81537" w:rsidP="00731E14">
    <w:r>
      <w:rPr>
        <w:noProof/>
      </w:rPr>
      <w:drawing>
        <wp:anchor distT="0" distB="0" distL="114300" distR="114300" simplePos="0" relativeHeight="251658242" behindDoc="0" locked="0" layoutInCell="1" allowOverlap="1" wp14:anchorId="4C66BCD9" wp14:editId="3E1C9978">
          <wp:simplePos x="0" y="0"/>
          <wp:positionH relativeFrom="column">
            <wp:posOffset>4374819</wp:posOffset>
          </wp:positionH>
          <wp:positionV relativeFrom="paragraph">
            <wp:posOffset>-143510</wp:posOffset>
          </wp:positionV>
          <wp:extent cx="1895475" cy="727075"/>
          <wp:effectExtent l="0" t="0" r="952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54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Caption w:val="dStyle_AutoTableName_43eabb4469374ac2b58eb80c6b1824b8"/>
    </w:tblPr>
    <w:tblGrid>
      <w:gridCol w:w="11907"/>
    </w:tblGrid>
    <w:tr w:rsidR="009B595A" w14:paraId="61D62725" w14:textId="77777777" w:rsidTr="00A81537">
      <w:tc>
        <w:tcPr>
          <w:tcW w:w="11907" w:type="dxa"/>
        </w:tcPr>
        <w:p w14:paraId="67B9E6BF" w14:textId="0D98FEDF" w:rsidR="009B595A" w:rsidRDefault="009B595A" w:rsidP="00A85038">
          <w:pPr>
            <w:rPr>
              <w:color w:val="A0A08D" w:themeColor="accent4"/>
            </w:rPr>
          </w:pPr>
        </w:p>
      </w:tc>
    </w:tr>
  </w:tbl>
  <w:p w14:paraId="7C95141E" w14:textId="21A7C61D" w:rsidR="003F58FF" w:rsidRPr="00DD6B70" w:rsidRDefault="00A81537" w:rsidP="00A81537">
    <w:pPr>
      <w:jc w:val="right"/>
      <w:rPr>
        <w:lang w:val="en-US"/>
      </w:rPr>
    </w:pPr>
    <w:r>
      <w:rPr>
        <w:noProof/>
      </w:rPr>
      <w:drawing>
        <wp:anchor distT="0" distB="0" distL="114300" distR="114300" simplePos="0" relativeHeight="251658243" behindDoc="0" locked="0" layoutInCell="1" allowOverlap="1" wp14:anchorId="3C680AF2" wp14:editId="4DBFB014">
          <wp:simplePos x="0" y="0"/>
          <wp:positionH relativeFrom="column">
            <wp:posOffset>4421174</wp:posOffset>
          </wp:positionH>
          <wp:positionV relativeFrom="paragraph">
            <wp:posOffset>-133985</wp:posOffset>
          </wp:positionV>
          <wp:extent cx="1895475" cy="727075"/>
          <wp:effectExtent l="0" t="0" r="9525" b="0"/>
          <wp:wrapTopAndBottom/>
          <wp:docPr id="1886181994" name="Picture 188618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54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F8A01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EF8FF9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7FACE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4"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5" w15:restartNumberingAfterBreak="0">
    <w:nsid w:val="06940D72"/>
    <w:multiLevelType w:val="hybridMultilevel"/>
    <w:tmpl w:val="EED4E7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96774A2"/>
    <w:multiLevelType w:val="hybridMultilevel"/>
    <w:tmpl w:val="5D2E336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12FE480D"/>
    <w:multiLevelType w:val="hybridMultilevel"/>
    <w:tmpl w:val="D07841E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152430C8"/>
    <w:multiLevelType w:val="hybridMultilevel"/>
    <w:tmpl w:val="5CBE7B68"/>
    <w:lvl w:ilvl="0" w:tplc="0406001B">
      <w:start w:val="1"/>
      <w:numFmt w:val="lowerRoman"/>
      <w:lvlText w:val="%1."/>
      <w:lvlJc w:val="righ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9" w15:restartNumberingAfterBreak="0">
    <w:nsid w:val="16283D32"/>
    <w:multiLevelType w:val="multilevel"/>
    <w:tmpl w:val="EA4E3D62"/>
    <w:lvl w:ilvl="0">
      <w:start w:val="1"/>
      <w:numFmt w:val="bullet"/>
      <w:lvlText w:val=""/>
      <w:lvlJc w:val="left"/>
      <w:pPr>
        <w:ind w:left="1191" w:hanging="340"/>
      </w:pPr>
      <w:rPr>
        <w:rFonts w:ascii="Symbol" w:hAnsi="Symbol" w:hint="default"/>
        <w:color w:val="auto"/>
      </w:rPr>
    </w:lvl>
    <w:lvl w:ilvl="1">
      <w:start w:val="1"/>
      <w:numFmt w:val="bullet"/>
      <w:pStyle w:val="ListBullet2"/>
      <w:lvlText w:val=""/>
      <w:lvlJc w:val="left"/>
      <w:pPr>
        <w:ind w:left="1531" w:hanging="340"/>
      </w:pPr>
      <w:rPr>
        <w:rFonts w:ascii="Symbol" w:hAnsi="Symbol" w:hint="default"/>
        <w:color w:val="auto"/>
      </w:rPr>
    </w:lvl>
    <w:lvl w:ilvl="2">
      <w:start w:val="1"/>
      <w:numFmt w:val="bullet"/>
      <w:pStyle w:val="ListBullet3"/>
      <w:lvlText w:val=""/>
      <w:lvlJc w:val="left"/>
      <w:pPr>
        <w:ind w:left="1871" w:hanging="340"/>
      </w:pPr>
      <w:rPr>
        <w:rFonts w:ascii="Symbol" w:hAnsi="Symbol" w:hint="default"/>
        <w:color w:val="auto"/>
      </w:rPr>
    </w:lvl>
    <w:lvl w:ilvl="3">
      <w:start w:val="1"/>
      <w:numFmt w:val="bullet"/>
      <w:pStyle w:val="ListBullet4"/>
      <w:lvlText w:val=""/>
      <w:lvlJc w:val="left"/>
      <w:pPr>
        <w:ind w:left="2211" w:hanging="340"/>
      </w:pPr>
      <w:rPr>
        <w:rFonts w:ascii="Symbol" w:hAnsi="Symbol" w:hint="default"/>
        <w:color w:val="auto"/>
      </w:rPr>
    </w:lvl>
    <w:lvl w:ilvl="4">
      <w:start w:val="1"/>
      <w:numFmt w:val="bullet"/>
      <w:pStyle w:val="ListBullet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10"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11" w15:restartNumberingAfterBreak="0">
    <w:nsid w:val="1A611E65"/>
    <w:multiLevelType w:val="hybridMultilevel"/>
    <w:tmpl w:val="AF3AB8D0"/>
    <w:lvl w:ilvl="0" w:tplc="BEBA9B06">
      <w:start w:val="1"/>
      <w:numFmt w:val="upperLetter"/>
      <w:lvlText w:val="(%1)"/>
      <w:lvlJc w:val="left"/>
      <w:pPr>
        <w:ind w:left="927" w:hanging="360"/>
      </w:pPr>
      <w:rPr>
        <w:rFonts w:hint="default"/>
      </w:rPr>
    </w:lvl>
    <w:lvl w:ilvl="1" w:tplc="D4B236B0">
      <w:start w:val="1"/>
      <w:numFmt w:val="lowerLetter"/>
      <w:lvlText w:val="%2."/>
      <w:lvlJc w:val="left"/>
      <w:pPr>
        <w:ind w:left="2149" w:hanging="360"/>
      </w:pPr>
    </w:lvl>
    <w:lvl w:ilvl="2" w:tplc="741A9EA4" w:tentative="1">
      <w:start w:val="1"/>
      <w:numFmt w:val="lowerRoman"/>
      <w:lvlText w:val="%3."/>
      <w:lvlJc w:val="right"/>
      <w:pPr>
        <w:ind w:left="2869" w:hanging="180"/>
      </w:pPr>
    </w:lvl>
    <w:lvl w:ilvl="3" w:tplc="77904CD2" w:tentative="1">
      <w:start w:val="1"/>
      <w:numFmt w:val="decimal"/>
      <w:lvlText w:val="%4."/>
      <w:lvlJc w:val="left"/>
      <w:pPr>
        <w:ind w:left="3589" w:hanging="360"/>
      </w:pPr>
    </w:lvl>
    <w:lvl w:ilvl="4" w:tplc="70A4ABF0" w:tentative="1">
      <w:start w:val="1"/>
      <w:numFmt w:val="lowerLetter"/>
      <w:lvlText w:val="%5."/>
      <w:lvlJc w:val="left"/>
      <w:pPr>
        <w:ind w:left="4309" w:hanging="360"/>
      </w:pPr>
    </w:lvl>
    <w:lvl w:ilvl="5" w:tplc="A34AFD06">
      <w:start w:val="1"/>
      <w:numFmt w:val="lowerRoman"/>
      <w:lvlText w:val="%6."/>
      <w:lvlJc w:val="right"/>
      <w:pPr>
        <w:ind w:left="5029" w:hanging="180"/>
      </w:pPr>
    </w:lvl>
    <w:lvl w:ilvl="6" w:tplc="5838D79C" w:tentative="1">
      <w:start w:val="1"/>
      <w:numFmt w:val="decimal"/>
      <w:lvlText w:val="%7."/>
      <w:lvlJc w:val="left"/>
      <w:pPr>
        <w:ind w:left="5749" w:hanging="360"/>
      </w:pPr>
    </w:lvl>
    <w:lvl w:ilvl="7" w:tplc="2618B0BC" w:tentative="1">
      <w:start w:val="1"/>
      <w:numFmt w:val="lowerLetter"/>
      <w:lvlText w:val="%8."/>
      <w:lvlJc w:val="left"/>
      <w:pPr>
        <w:ind w:left="6469" w:hanging="360"/>
      </w:pPr>
    </w:lvl>
    <w:lvl w:ilvl="8" w:tplc="9AFA0BB6" w:tentative="1">
      <w:start w:val="1"/>
      <w:numFmt w:val="lowerRoman"/>
      <w:lvlText w:val="%9."/>
      <w:lvlJc w:val="right"/>
      <w:pPr>
        <w:ind w:left="7189" w:hanging="180"/>
      </w:pPr>
    </w:lvl>
  </w:abstractNum>
  <w:abstractNum w:abstractNumId="12" w15:restartNumberingAfterBreak="0">
    <w:nsid w:val="1A723586"/>
    <w:multiLevelType w:val="multilevel"/>
    <w:tmpl w:val="2F1CB404"/>
    <w:styleLink w:val="ListLanguageList1"/>
    <w:lvl w:ilvl="0">
      <w:start w:val="1"/>
      <w:numFmt w:val="decimal"/>
      <w:pStyle w:val="DSLanguageList1"/>
      <w:suff w:val="space"/>
      <w:lvlText w:val="Schedule %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D9C1ED6"/>
    <w:multiLevelType w:val="multilevel"/>
    <w:tmpl w:val="9A180608"/>
    <w:styleLink w:val="ListLanguageList2"/>
    <w:lvl w:ilvl="0">
      <w:start w:val="1"/>
      <w:numFmt w:val="none"/>
      <w:pStyle w:val="DSLanguageList2"/>
      <w:suff w:val="space"/>
      <w:lvlText w:val="Production"/>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5"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6"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17" w15:restartNumberingAfterBreak="0">
    <w:nsid w:val="294E4103"/>
    <w:multiLevelType w:val="multilevel"/>
    <w:tmpl w:val="017409AE"/>
    <w:name w:val="List_Bullet_2_Indent"/>
    <w:styleLink w:val="ListBullet2Indent"/>
    <w:lvl w:ilvl="0">
      <w:start w:val="1"/>
      <w:numFmt w:val="bullet"/>
      <w:lvlText w:val=""/>
      <w:lvlJc w:val="left"/>
      <w:pPr>
        <w:tabs>
          <w:tab w:val="num" w:pos="1701"/>
        </w:tabs>
        <w:ind w:left="1701" w:hanging="850"/>
      </w:pPr>
      <w:rPr>
        <w:rFonts w:ascii="Symbol" w:hAnsi="Symbol" w:hint="default"/>
        <w:color w:val="003C46" w:themeColor="accent1"/>
      </w:rPr>
    </w:lvl>
    <w:lvl w:ilvl="1">
      <w:start w:val="1"/>
      <w:numFmt w:val="bullet"/>
      <w:lvlText w:val=""/>
      <w:lvlJc w:val="left"/>
      <w:pPr>
        <w:tabs>
          <w:tab w:val="num" w:pos="2552"/>
        </w:tabs>
        <w:ind w:left="2552" w:hanging="850"/>
      </w:pPr>
      <w:rPr>
        <w:rFonts w:ascii="Symbol" w:hAnsi="Symbol" w:hint="default"/>
        <w:color w:val="003C46" w:themeColor="accent1"/>
      </w:rPr>
    </w:lvl>
    <w:lvl w:ilvl="2">
      <w:start w:val="1"/>
      <w:numFmt w:val="bullet"/>
      <w:lvlText w:val=""/>
      <w:lvlJc w:val="left"/>
      <w:pPr>
        <w:tabs>
          <w:tab w:val="num" w:pos="3403"/>
        </w:tabs>
        <w:ind w:left="3403" w:hanging="850"/>
      </w:pPr>
      <w:rPr>
        <w:rFonts w:ascii="Wingdings" w:hAnsi="Wingdings" w:hint="default"/>
        <w:color w:val="003C46"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8"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9" w15:restartNumberingAfterBreak="0">
    <w:nsid w:val="2CCC56FE"/>
    <w:multiLevelType w:val="hybridMultilevel"/>
    <w:tmpl w:val="52C60C1E"/>
    <w:lvl w:ilvl="0" w:tplc="16BEE78A">
      <w:start w:val="1"/>
      <w:numFmt w:val="lowerRoman"/>
      <w:lvlText w:val="(%1)"/>
      <w:lvlJc w:val="left"/>
      <w:pPr>
        <w:ind w:left="1571" w:hanging="360"/>
      </w:pPr>
      <w:rPr>
        <w:rFonts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0" w15:restartNumberingAfterBreak="0">
    <w:nsid w:val="2CCE1C68"/>
    <w:multiLevelType w:val="hybridMultilevel"/>
    <w:tmpl w:val="E8F6CF3A"/>
    <w:lvl w:ilvl="0" w:tplc="04060015">
      <w:start w:val="1"/>
      <w:numFmt w:val="upperLetter"/>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1"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7356FE"/>
    <w:multiLevelType w:val="hybridMultilevel"/>
    <w:tmpl w:val="4E522574"/>
    <w:lvl w:ilvl="0" w:tplc="0406001B">
      <w:start w:val="1"/>
      <w:numFmt w:val="lowerRoman"/>
      <w:lvlText w:val="%1."/>
      <w:lvlJc w:val="right"/>
      <w:pPr>
        <w:ind w:left="1571" w:hanging="360"/>
      </w:pPr>
    </w:lvl>
    <w:lvl w:ilvl="1" w:tplc="04060019">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3" w15:restartNumberingAfterBreak="0">
    <w:nsid w:val="38B7103D"/>
    <w:multiLevelType w:val="hybridMultilevel"/>
    <w:tmpl w:val="5CE4FA92"/>
    <w:lvl w:ilvl="0" w:tplc="FFFFFFFF">
      <w:start w:val="1"/>
      <w:numFmt w:val="upperLetter"/>
      <w:lvlText w:val="(%1)"/>
      <w:lvlJc w:val="left"/>
      <w:pPr>
        <w:ind w:left="1182" w:hanging="360"/>
      </w:pPr>
      <w:rPr>
        <w:rFonts w:hint="default"/>
      </w:rPr>
    </w:lvl>
    <w:lvl w:ilvl="1" w:tplc="FFFFFFFF">
      <w:start w:val="1"/>
      <w:numFmt w:val="decimal"/>
      <w:lvlText w:val="%2."/>
      <w:lvlJc w:val="left"/>
      <w:pPr>
        <w:ind w:left="1902" w:hanging="360"/>
      </w:pPr>
    </w:lvl>
    <w:lvl w:ilvl="2" w:tplc="FFFFFFFF" w:tentative="1">
      <w:start w:val="1"/>
      <w:numFmt w:val="lowerRoman"/>
      <w:lvlText w:val="%3."/>
      <w:lvlJc w:val="right"/>
      <w:pPr>
        <w:ind w:left="2622" w:hanging="180"/>
      </w:pPr>
    </w:lvl>
    <w:lvl w:ilvl="3" w:tplc="FFFFFFFF" w:tentative="1">
      <w:start w:val="1"/>
      <w:numFmt w:val="decimal"/>
      <w:lvlText w:val="%4."/>
      <w:lvlJc w:val="left"/>
      <w:pPr>
        <w:ind w:left="3342" w:hanging="360"/>
      </w:pPr>
    </w:lvl>
    <w:lvl w:ilvl="4" w:tplc="FFFFFFFF" w:tentative="1">
      <w:start w:val="1"/>
      <w:numFmt w:val="lowerLetter"/>
      <w:lvlText w:val="%5."/>
      <w:lvlJc w:val="left"/>
      <w:pPr>
        <w:ind w:left="4062" w:hanging="360"/>
      </w:pPr>
    </w:lvl>
    <w:lvl w:ilvl="5" w:tplc="FFFFFFFF" w:tentative="1">
      <w:start w:val="1"/>
      <w:numFmt w:val="lowerRoman"/>
      <w:lvlText w:val="%6."/>
      <w:lvlJc w:val="right"/>
      <w:pPr>
        <w:ind w:left="4782" w:hanging="180"/>
      </w:pPr>
    </w:lvl>
    <w:lvl w:ilvl="6" w:tplc="FFFFFFFF" w:tentative="1">
      <w:start w:val="1"/>
      <w:numFmt w:val="decimal"/>
      <w:lvlText w:val="%7."/>
      <w:lvlJc w:val="left"/>
      <w:pPr>
        <w:ind w:left="5502" w:hanging="360"/>
      </w:pPr>
    </w:lvl>
    <w:lvl w:ilvl="7" w:tplc="FFFFFFFF" w:tentative="1">
      <w:start w:val="1"/>
      <w:numFmt w:val="lowerLetter"/>
      <w:lvlText w:val="%8."/>
      <w:lvlJc w:val="left"/>
      <w:pPr>
        <w:ind w:left="6222" w:hanging="360"/>
      </w:pPr>
    </w:lvl>
    <w:lvl w:ilvl="8" w:tplc="FFFFFFFF" w:tentative="1">
      <w:start w:val="1"/>
      <w:numFmt w:val="lowerRoman"/>
      <w:lvlText w:val="%9."/>
      <w:lvlJc w:val="right"/>
      <w:pPr>
        <w:ind w:left="6942" w:hanging="180"/>
      </w:pPr>
    </w:lvl>
  </w:abstractNum>
  <w:abstractNum w:abstractNumId="24"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27" w15:restartNumberingAfterBreak="0">
    <w:nsid w:val="49C54687"/>
    <w:multiLevelType w:val="multilevel"/>
    <w:tmpl w:val="17022B1E"/>
    <w:lvl w:ilvl="0">
      <w:start w:val="1"/>
      <w:numFmt w:val="decimal"/>
      <w:pStyle w:val="DSBodyTextNumbered1"/>
      <w:lvlText w:val="%1"/>
      <w:lvlJc w:val="left"/>
      <w:pPr>
        <w:tabs>
          <w:tab w:val="num" w:pos="709"/>
        </w:tabs>
        <w:ind w:left="709" w:hanging="709"/>
      </w:pPr>
      <w:rPr>
        <w:rFonts w:hint="default"/>
      </w:rPr>
    </w:lvl>
    <w:lvl w:ilvl="1">
      <w:start w:val="1"/>
      <w:numFmt w:val="decimal"/>
      <w:pStyle w:val="DSBodyTextNumbered2"/>
      <w:lvlText w:val="%2.%1"/>
      <w:lvlJc w:val="left"/>
      <w:pPr>
        <w:tabs>
          <w:tab w:val="num" w:pos="709"/>
        </w:tabs>
        <w:ind w:left="709" w:hanging="709"/>
      </w:pPr>
      <w:rPr>
        <w:rFonts w:hint="default"/>
      </w:rPr>
    </w:lvl>
    <w:lvl w:ilvl="2">
      <w:start w:val="1"/>
      <w:numFmt w:val="decimal"/>
      <w:pStyle w:val="DSBodyTextNumbered3"/>
      <w:lvlText w:val="%1.%2.%3"/>
      <w:lvlJc w:val="left"/>
      <w:pPr>
        <w:tabs>
          <w:tab w:val="num" w:pos="709"/>
        </w:tabs>
        <w:ind w:left="709" w:hanging="709"/>
      </w:pPr>
      <w:rPr>
        <w:rFonts w:hint="default"/>
      </w:rPr>
    </w:lvl>
    <w:lvl w:ilvl="3">
      <w:start w:val="1"/>
      <w:numFmt w:val="decimal"/>
      <w:pStyle w:val="DSBodyTextNumbered4"/>
      <w:lvlText w:val="%1.%2.%3.%4"/>
      <w:lvlJc w:val="left"/>
      <w:pPr>
        <w:tabs>
          <w:tab w:val="num" w:pos="709"/>
        </w:tabs>
        <w:ind w:left="709" w:hanging="709"/>
      </w:pPr>
      <w:rPr>
        <w:rFonts w:hint="default"/>
      </w:rPr>
    </w:lvl>
    <w:lvl w:ilvl="4">
      <w:start w:val="1"/>
      <w:numFmt w:val="decimal"/>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lvlText w:val="%1.%2.%3.%4.%5.%6.%7."/>
      <w:lvlJc w:val="left"/>
      <w:pPr>
        <w:tabs>
          <w:tab w:val="num" w:pos="567"/>
        </w:tabs>
        <w:ind w:left="709" w:hanging="709"/>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28" w15:restartNumberingAfterBreak="0">
    <w:nsid w:val="4DC721E6"/>
    <w:multiLevelType w:val="hybridMultilevel"/>
    <w:tmpl w:val="93A83FC6"/>
    <w:lvl w:ilvl="0" w:tplc="9134E550">
      <w:start w:val="1"/>
      <w:numFmt w:val="upperLetter"/>
      <w:lvlText w:val="(%1)"/>
      <w:lvlJc w:val="left"/>
      <w:pPr>
        <w:ind w:left="1182" w:hanging="360"/>
      </w:pPr>
    </w:lvl>
    <w:lvl w:ilvl="1" w:tplc="0406000F">
      <w:start w:val="1"/>
      <w:numFmt w:val="decimal"/>
      <w:lvlText w:val="%2."/>
      <w:lvlJc w:val="left"/>
      <w:pPr>
        <w:ind w:left="1902" w:hanging="360"/>
      </w:pPr>
    </w:lvl>
    <w:lvl w:ilvl="2" w:tplc="0406001B">
      <w:start w:val="1"/>
      <w:numFmt w:val="lowerRoman"/>
      <w:lvlText w:val="%3."/>
      <w:lvlJc w:val="right"/>
      <w:pPr>
        <w:ind w:left="2622" w:hanging="180"/>
      </w:pPr>
    </w:lvl>
    <w:lvl w:ilvl="3" w:tplc="0406000F">
      <w:start w:val="1"/>
      <w:numFmt w:val="decimal"/>
      <w:lvlText w:val="%4."/>
      <w:lvlJc w:val="left"/>
      <w:pPr>
        <w:ind w:left="3342" w:hanging="360"/>
      </w:pPr>
    </w:lvl>
    <w:lvl w:ilvl="4" w:tplc="04060019">
      <w:start w:val="1"/>
      <w:numFmt w:val="lowerLetter"/>
      <w:lvlText w:val="%5."/>
      <w:lvlJc w:val="left"/>
      <w:pPr>
        <w:ind w:left="4062" w:hanging="360"/>
      </w:pPr>
    </w:lvl>
    <w:lvl w:ilvl="5" w:tplc="0406001B">
      <w:start w:val="1"/>
      <w:numFmt w:val="lowerRoman"/>
      <w:lvlText w:val="%6."/>
      <w:lvlJc w:val="right"/>
      <w:pPr>
        <w:ind w:left="4782" w:hanging="180"/>
      </w:pPr>
    </w:lvl>
    <w:lvl w:ilvl="6" w:tplc="0406000F">
      <w:start w:val="1"/>
      <w:numFmt w:val="decimal"/>
      <w:lvlText w:val="%7."/>
      <w:lvlJc w:val="left"/>
      <w:pPr>
        <w:ind w:left="5502" w:hanging="360"/>
      </w:pPr>
    </w:lvl>
    <w:lvl w:ilvl="7" w:tplc="04060019">
      <w:start w:val="1"/>
      <w:numFmt w:val="lowerLetter"/>
      <w:lvlText w:val="%8."/>
      <w:lvlJc w:val="left"/>
      <w:pPr>
        <w:ind w:left="6222" w:hanging="360"/>
      </w:pPr>
    </w:lvl>
    <w:lvl w:ilvl="8" w:tplc="0406001B">
      <w:start w:val="1"/>
      <w:numFmt w:val="lowerRoman"/>
      <w:lvlText w:val="%9."/>
      <w:lvlJc w:val="right"/>
      <w:pPr>
        <w:ind w:left="6942" w:hanging="180"/>
      </w:pPr>
    </w:lvl>
  </w:abstractNum>
  <w:abstractNum w:abstractNumId="29" w15:restartNumberingAfterBreak="0">
    <w:nsid w:val="55AA15DE"/>
    <w:multiLevelType w:val="hybridMultilevel"/>
    <w:tmpl w:val="1E1C69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59224EAF"/>
    <w:multiLevelType w:val="hybridMultilevel"/>
    <w:tmpl w:val="FFFFFFFF"/>
    <w:lvl w:ilvl="0" w:tplc="65FE19E6">
      <w:start w:val="1"/>
      <w:numFmt w:val="bullet"/>
      <w:lvlText w:val="·"/>
      <w:lvlJc w:val="left"/>
      <w:pPr>
        <w:ind w:left="720" w:hanging="360"/>
      </w:pPr>
      <w:rPr>
        <w:rFonts w:ascii="Symbol" w:hAnsi="Symbol" w:hint="default"/>
      </w:rPr>
    </w:lvl>
    <w:lvl w:ilvl="1" w:tplc="E2E8A176">
      <w:start w:val="1"/>
      <w:numFmt w:val="bullet"/>
      <w:lvlText w:val="o"/>
      <w:lvlJc w:val="left"/>
      <w:pPr>
        <w:ind w:left="1440" w:hanging="360"/>
      </w:pPr>
      <w:rPr>
        <w:rFonts w:ascii="Symbol" w:hAnsi="Symbol" w:hint="default"/>
      </w:rPr>
    </w:lvl>
    <w:lvl w:ilvl="2" w:tplc="9DD8F34A">
      <w:start w:val="1"/>
      <w:numFmt w:val="bullet"/>
      <w:lvlText w:val=""/>
      <w:lvlJc w:val="left"/>
      <w:pPr>
        <w:ind w:left="2160" w:hanging="360"/>
      </w:pPr>
      <w:rPr>
        <w:rFonts w:ascii="Wingdings" w:hAnsi="Wingdings" w:hint="default"/>
      </w:rPr>
    </w:lvl>
    <w:lvl w:ilvl="3" w:tplc="130E7064">
      <w:start w:val="1"/>
      <w:numFmt w:val="bullet"/>
      <w:lvlText w:val=""/>
      <w:lvlJc w:val="left"/>
      <w:pPr>
        <w:ind w:left="2880" w:hanging="360"/>
      </w:pPr>
      <w:rPr>
        <w:rFonts w:ascii="Symbol" w:hAnsi="Symbol" w:hint="default"/>
      </w:rPr>
    </w:lvl>
    <w:lvl w:ilvl="4" w:tplc="1B32C9E6">
      <w:start w:val="1"/>
      <w:numFmt w:val="bullet"/>
      <w:lvlText w:val="o"/>
      <w:lvlJc w:val="left"/>
      <w:pPr>
        <w:ind w:left="3600" w:hanging="360"/>
      </w:pPr>
      <w:rPr>
        <w:rFonts w:ascii="Courier New" w:hAnsi="Courier New" w:hint="default"/>
      </w:rPr>
    </w:lvl>
    <w:lvl w:ilvl="5" w:tplc="F1527E62">
      <w:start w:val="1"/>
      <w:numFmt w:val="bullet"/>
      <w:lvlText w:val=""/>
      <w:lvlJc w:val="left"/>
      <w:pPr>
        <w:ind w:left="4320" w:hanging="360"/>
      </w:pPr>
      <w:rPr>
        <w:rFonts w:ascii="Wingdings" w:hAnsi="Wingdings" w:hint="default"/>
      </w:rPr>
    </w:lvl>
    <w:lvl w:ilvl="6" w:tplc="1CF6550E">
      <w:start w:val="1"/>
      <w:numFmt w:val="bullet"/>
      <w:lvlText w:val=""/>
      <w:lvlJc w:val="left"/>
      <w:pPr>
        <w:ind w:left="5040" w:hanging="360"/>
      </w:pPr>
      <w:rPr>
        <w:rFonts w:ascii="Symbol" w:hAnsi="Symbol" w:hint="default"/>
      </w:rPr>
    </w:lvl>
    <w:lvl w:ilvl="7" w:tplc="5FFEEEC2">
      <w:start w:val="1"/>
      <w:numFmt w:val="bullet"/>
      <w:lvlText w:val="o"/>
      <w:lvlJc w:val="left"/>
      <w:pPr>
        <w:ind w:left="5760" w:hanging="360"/>
      </w:pPr>
      <w:rPr>
        <w:rFonts w:ascii="Courier New" w:hAnsi="Courier New" w:hint="default"/>
      </w:rPr>
    </w:lvl>
    <w:lvl w:ilvl="8" w:tplc="2A7A073C">
      <w:start w:val="1"/>
      <w:numFmt w:val="bullet"/>
      <w:lvlText w:val=""/>
      <w:lvlJc w:val="left"/>
      <w:pPr>
        <w:ind w:left="6480" w:hanging="360"/>
      </w:pPr>
      <w:rPr>
        <w:rFonts w:ascii="Wingdings" w:hAnsi="Wingdings" w:hint="default"/>
      </w:rPr>
    </w:lvl>
  </w:abstractNum>
  <w:abstractNum w:abstractNumId="31"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33"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34" w15:restartNumberingAfterBreak="0">
    <w:nsid w:val="64764038"/>
    <w:multiLevelType w:val="multilevel"/>
    <w:tmpl w:val="A826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36" w15:restartNumberingAfterBreak="0">
    <w:nsid w:val="69064CB5"/>
    <w:multiLevelType w:val="hybridMultilevel"/>
    <w:tmpl w:val="36D04520"/>
    <w:lvl w:ilvl="0" w:tplc="04060015">
      <w:start w:val="1"/>
      <w:numFmt w:val="upperLetter"/>
      <w:lvlText w:val="%1."/>
      <w:lvlJc w:val="left"/>
      <w:pPr>
        <w:ind w:left="1571" w:hanging="360"/>
      </w:pPr>
    </w:lvl>
    <w:lvl w:ilvl="1" w:tplc="0406000F">
      <w:start w:val="1"/>
      <w:numFmt w:val="decimal"/>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37" w15:restartNumberingAfterBreak="0">
    <w:nsid w:val="70D272AE"/>
    <w:multiLevelType w:val="multilevel"/>
    <w:tmpl w:val="2A902E4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38"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abstractNum w:abstractNumId="39" w15:restartNumberingAfterBreak="0">
    <w:nsid w:val="74CB4E23"/>
    <w:multiLevelType w:val="multilevel"/>
    <w:tmpl w:val="8818AB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ind w:left="567" w:hanging="567"/>
      </w:pPr>
      <w:rPr>
        <w:rFonts w:hint="default"/>
      </w:rPr>
    </w:lvl>
    <w:lvl w:ilvl="5">
      <w:start w:val="1"/>
      <w:numFmt w:val="lowerLetter"/>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tabs>
          <w:tab w:val="num" w:pos="567"/>
        </w:tabs>
        <w:ind w:left="567" w:hanging="567"/>
      </w:pPr>
      <w:rPr>
        <w:rFonts w:hint="default"/>
      </w:rPr>
    </w:lvl>
    <w:lvl w:ilvl="8">
      <w:start w:val="1"/>
      <w:numFmt w:val="lowerRoman"/>
      <w:pStyle w:val="Opstillingmedi"/>
      <w:lvlText w:val="(%9)"/>
      <w:lvlJc w:val="left"/>
      <w:pPr>
        <w:tabs>
          <w:tab w:val="num" w:pos="1418"/>
        </w:tabs>
        <w:ind w:left="1418" w:hanging="567"/>
      </w:pPr>
      <w:rPr>
        <w:rFonts w:hint="default"/>
      </w:rPr>
    </w:lvl>
  </w:abstractNum>
  <w:num w:numId="1" w16cid:durableId="1002591108">
    <w:abstractNumId w:val="1"/>
  </w:num>
  <w:num w:numId="2" w16cid:durableId="1019284096">
    <w:abstractNumId w:val="18"/>
  </w:num>
  <w:num w:numId="3" w16cid:durableId="1206214147">
    <w:abstractNumId w:val="24"/>
  </w:num>
  <w:num w:numId="4" w16cid:durableId="1098870384">
    <w:abstractNumId w:val="37"/>
  </w:num>
  <w:num w:numId="5" w16cid:durableId="190806274">
    <w:abstractNumId w:val="4"/>
  </w:num>
  <w:num w:numId="6" w16cid:durableId="1523588904">
    <w:abstractNumId w:val="15"/>
  </w:num>
  <w:num w:numId="7" w16cid:durableId="1098872869">
    <w:abstractNumId w:val="33"/>
  </w:num>
  <w:num w:numId="8" w16cid:durableId="1159612653">
    <w:abstractNumId w:val="14"/>
  </w:num>
  <w:num w:numId="9" w16cid:durableId="1601645728">
    <w:abstractNumId w:val="21"/>
  </w:num>
  <w:num w:numId="10" w16cid:durableId="1892303749">
    <w:abstractNumId w:val="27"/>
  </w:num>
  <w:num w:numId="11" w16cid:durableId="2103793137">
    <w:abstractNumId w:val="35"/>
  </w:num>
  <w:num w:numId="12" w16cid:durableId="847716528">
    <w:abstractNumId w:val="32"/>
  </w:num>
  <w:num w:numId="13" w16cid:durableId="1879731289">
    <w:abstractNumId w:val="3"/>
  </w:num>
  <w:num w:numId="14" w16cid:durableId="1593662345">
    <w:abstractNumId w:val="10"/>
  </w:num>
  <w:num w:numId="15" w16cid:durableId="1170027169">
    <w:abstractNumId w:val="16"/>
  </w:num>
  <w:num w:numId="16" w16cid:durableId="420371953">
    <w:abstractNumId w:val="25"/>
  </w:num>
  <w:num w:numId="17" w16cid:durableId="1910730170">
    <w:abstractNumId w:val="9"/>
  </w:num>
  <w:num w:numId="18" w16cid:durableId="1758015420">
    <w:abstractNumId w:val="26"/>
  </w:num>
  <w:num w:numId="19" w16cid:durableId="499582308">
    <w:abstractNumId w:val="38"/>
  </w:num>
  <w:num w:numId="20" w16cid:durableId="88738821">
    <w:abstractNumId w:val="31"/>
  </w:num>
  <w:num w:numId="21" w16cid:durableId="158928502">
    <w:abstractNumId w:val="26"/>
  </w:num>
  <w:num w:numId="22" w16cid:durableId="248974593">
    <w:abstractNumId w:val="12"/>
  </w:num>
  <w:num w:numId="23" w16cid:durableId="236523947">
    <w:abstractNumId w:val="13"/>
  </w:num>
  <w:num w:numId="24" w16cid:durableId="1996838338">
    <w:abstractNumId w:val="17"/>
  </w:num>
  <w:num w:numId="25" w16cid:durableId="1785004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6008059">
    <w:abstractNumId w:val="22"/>
  </w:num>
  <w:num w:numId="27" w16cid:durableId="1010570910">
    <w:abstractNumId w:val="6"/>
  </w:num>
  <w:num w:numId="28" w16cid:durableId="774792473">
    <w:abstractNumId w:val="20"/>
  </w:num>
  <w:num w:numId="29" w16cid:durableId="608004685">
    <w:abstractNumId w:val="19"/>
  </w:num>
  <w:num w:numId="30" w16cid:durableId="353457991">
    <w:abstractNumId w:val="39"/>
  </w:num>
  <w:num w:numId="31" w16cid:durableId="6707191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980962">
    <w:abstractNumId w:val="30"/>
  </w:num>
  <w:num w:numId="33" w16cid:durableId="895359670">
    <w:abstractNumId w:val="37"/>
  </w:num>
  <w:num w:numId="34" w16cid:durableId="1750498288">
    <w:abstractNumId w:val="9"/>
  </w:num>
  <w:num w:numId="35" w16cid:durableId="1737781077">
    <w:abstractNumId w:val="9"/>
  </w:num>
  <w:num w:numId="36" w16cid:durableId="2003266749">
    <w:abstractNumId w:val="9"/>
  </w:num>
  <w:num w:numId="37" w16cid:durableId="2017339461">
    <w:abstractNumId w:val="2"/>
  </w:num>
  <w:num w:numId="38" w16cid:durableId="563680610">
    <w:abstractNumId w:val="8"/>
  </w:num>
  <w:num w:numId="39" w16cid:durableId="347022672">
    <w:abstractNumId w:val="23"/>
  </w:num>
  <w:num w:numId="40" w16cid:durableId="872813357">
    <w:abstractNumId w:val="36"/>
  </w:num>
  <w:num w:numId="41" w16cid:durableId="1039473423">
    <w:abstractNumId w:val="9"/>
  </w:num>
  <w:num w:numId="42" w16cid:durableId="157578725">
    <w:abstractNumId w:val="0"/>
  </w:num>
  <w:num w:numId="43" w16cid:durableId="2034455809">
    <w:abstractNumId w:val="37"/>
  </w:num>
  <w:num w:numId="44" w16cid:durableId="1343439391">
    <w:abstractNumId w:val="34"/>
  </w:num>
  <w:num w:numId="45" w16cid:durableId="371197761">
    <w:abstractNumId w:val="37"/>
  </w:num>
  <w:num w:numId="46" w16cid:durableId="1294143170">
    <w:abstractNumId w:val="29"/>
  </w:num>
  <w:num w:numId="47" w16cid:durableId="957029904">
    <w:abstractNumId w:val="5"/>
  </w:num>
  <w:num w:numId="48" w16cid:durableId="1376394104">
    <w:abstractNumId w:val="7"/>
  </w:num>
  <w:num w:numId="49" w16cid:durableId="1801654860">
    <w:abstractNumId w:val="11"/>
  </w:num>
  <w:num w:numId="50" w16cid:durableId="369577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D1"/>
    <w:rsid w:val="00000132"/>
    <w:rsid w:val="00000706"/>
    <w:rsid w:val="00000A34"/>
    <w:rsid w:val="00000E0A"/>
    <w:rsid w:val="00001082"/>
    <w:rsid w:val="00001909"/>
    <w:rsid w:val="00001DD6"/>
    <w:rsid w:val="0000256F"/>
    <w:rsid w:val="00004865"/>
    <w:rsid w:val="00005CE1"/>
    <w:rsid w:val="00006572"/>
    <w:rsid w:val="000069A2"/>
    <w:rsid w:val="00006C19"/>
    <w:rsid w:val="0000788E"/>
    <w:rsid w:val="00010B30"/>
    <w:rsid w:val="0001148C"/>
    <w:rsid w:val="00012833"/>
    <w:rsid w:val="0001303A"/>
    <w:rsid w:val="00013914"/>
    <w:rsid w:val="000139A9"/>
    <w:rsid w:val="0001470C"/>
    <w:rsid w:val="00014A79"/>
    <w:rsid w:val="00015157"/>
    <w:rsid w:val="00017E4B"/>
    <w:rsid w:val="00017E76"/>
    <w:rsid w:val="000205D2"/>
    <w:rsid w:val="00020969"/>
    <w:rsid w:val="00021401"/>
    <w:rsid w:val="00022459"/>
    <w:rsid w:val="00022DB1"/>
    <w:rsid w:val="00023A47"/>
    <w:rsid w:val="000259B9"/>
    <w:rsid w:val="0002604C"/>
    <w:rsid w:val="000262DD"/>
    <w:rsid w:val="000268A4"/>
    <w:rsid w:val="00027049"/>
    <w:rsid w:val="00027275"/>
    <w:rsid w:val="00027774"/>
    <w:rsid w:val="000301A8"/>
    <w:rsid w:val="000310A4"/>
    <w:rsid w:val="00031ABB"/>
    <w:rsid w:val="000359D5"/>
    <w:rsid w:val="000360F1"/>
    <w:rsid w:val="000361D2"/>
    <w:rsid w:val="00036472"/>
    <w:rsid w:val="00036DEF"/>
    <w:rsid w:val="000375C5"/>
    <w:rsid w:val="000376D1"/>
    <w:rsid w:val="00037EF8"/>
    <w:rsid w:val="00042FCB"/>
    <w:rsid w:val="00043026"/>
    <w:rsid w:val="00043C1D"/>
    <w:rsid w:val="0004537D"/>
    <w:rsid w:val="00045F39"/>
    <w:rsid w:val="0004633F"/>
    <w:rsid w:val="00046A57"/>
    <w:rsid w:val="00046FA8"/>
    <w:rsid w:val="00050293"/>
    <w:rsid w:val="00050791"/>
    <w:rsid w:val="00050D31"/>
    <w:rsid w:val="0005132C"/>
    <w:rsid w:val="00051C0F"/>
    <w:rsid w:val="0005219F"/>
    <w:rsid w:val="00052509"/>
    <w:rsid w:val="00052648"/>
    <w:rsid w:val="00052AB3"/>
    <w:rsid w:val="00053A35"/>
    <w:rsid w:val="000544E5"/>
    <w:rsid w:val="00056513"/>
    <w:rsid w:val="00056980"/>
    <w:rsid w:val="00057A6A"/>
    <w:rsid w:val="00060331"/>
    <w:rsid w:val="00060FC3"/>
    <w:rsid w:val="00061081"/>
    <w:rsid w:val="000611E8"/>
    <w:rsid w:val="00061AD2"/>
    <w:rsid w:val="00061F73"/>
    <w:rsid w:val="000629D4"/>
    <w:rsid w:val="00062E8D"/>
    <w:rsid w:val="00063568"/>
    <w:rsid w:val="00063B8E"/>
    <w:rsid w:val="00063E66"/>
    <w:rsid w:val="00064A13"/>
    <w:rsid w:val="00066925"/>
    <w:rsid w:val="00066AD5"/>
    <w:rsid w:val="0006728C"/>
    <w:rsid w:val="0007088F"/>
    <w:rsid w:val="000708BB"/>
    <w:rsid w:val="00070BB8"/>
    <w:rsid w:val="00071BA0"/>
    <w:rsid w:val="000720BA"/>
    <w:rsid w:val="000722BD"/>
    <w:rsid w:val="00074712"/>
    <w:rsid w:val="00074BFA"/>
    <w:rsid w:val="00075827"/>
    <w:rsid w:val="00075A80"/>
    <w:rsid w:val="000772D4"/>
    <w:rsid w:val="00080764"/>
    <w:rsid w:val="0008172D"/>
    <w:rsid w:val="00081AA4"/>
    <w:rsid w:val="00082130"/>
    <w:rsid w:val="0008275A"/>
    <w:rsid w:val="00082D36"/>
    <w:rsid w:val="000832DA"/>
    <w:rsid w:val="00083719"/>
    <w:rsid w:val="000838D1"/>
    <w:rsid w:val="00083A05"/>
    <w:rsid w:val="00084778"/>
    <w:rsid w:val="0008629A"/>
    <w:rsid w:val="00086559"/>
    <w:rsid w:val="000868E0"/>
    <w:rsid w:val="00086EF0"/>
    <w:rsid w:val="000908EC"/>
    <w:rsid w:val="000917FE"/>
    <w:rsid w:val="00091D6B"/>
    <w:rsid w:val="00092308"/>
    <w:rsid w:val="00093EF8"/>
    <w:rsid w:val="00094167"/>
    <w:rsid w:val="000946F3"/>
    <w:rsid w:val="00094984"/>
    <w:rsid w:val="00094ABD"/>
    <w:rsid w:val="000952CE"/>
    <w:rsid w:val="00095A1A"/>
    <w:rsid w:val="000960B7"/>
    <w:rsid w:val="00097319"/>
    <w:rsid w:val="000A029C"/>
    <w:rsid w:val="000A0604"/>
    <w:rsid w:val="000A0B9F"/>
    <w:rsid w:val="000A0BFC"/>
    <w:rsid w:val="000A11DF"/>
    <w:rsid w:val="000A1432"/>
    <w:rsid w:val="000A148F"/>
    <w:rsid w:val="000A1C63"/>
    <w:rsid w:val="000A1CB2"/>
    <w:rsid w:val="000A2BF7"/>
    <w:rsid w:val="000A308C"/>
    <w:rsid w:val="000A35F4"/>
    <w:rsid w:val="000A380A"/>
    <w:rsid w:val="000A3A3A"/>
    <w:rsid w:val="000A3AC9"/>
    <w:rsid w:val="000A4360"/>
    <w:rsid w:val="000A45FC"/>
    <w:rsid w:val="000A4D55"/>
    <w:rsid w:val="000A5D8C"/>
    <w:rsid w:val="000A600D"/>
    <w:rsid w:val="000A6F34"/>
    <w:rsid w:val="000A6F41"/>
    <w:rsid w:val="000A70D0"/>
    <w:rsid w:val="000A73FC"/>
    <w:rsid w:val="000A7A94"/>
    <w:rsid w:val="000A7AAF"/>
    <w:rsid w:val="000A7C54"/>
    <w:rsid w:val="000A7CBA"/>
    <w:rsid w:val="000B068A"/>
    <w:rsid w:val="000B0865"/>
    <w:rsid w:val="000B0AFC"/>
    <w:rsid w:val="000B18B2"/>
    <w:rsid w:val="000B2747"/>
    <w:rsid w:val="000B3195"/>
    <w:rsid w:val="000B3DC1"/>
    <w:rsid w:val="000B468C"/>
    <w:rsid w:val="000B4BA3"/>
    <w:rsid w:val="000B51B6"/>
    <w:rsid w:val="000B5BBE"/>
    <w:rsid w:val="000B6DA8"/>
    <w:rsid w:val="000B70D0"/>
    <w:rsid w:val="000B71B9"/>
    <w:rsid w:val="000C1635"/>
    <w:rsid w:val="000C2951"/>
    <w:rsid w:val="000C2DEA"/>
    <w:rsid w:val="000C3A64"/>
    <w:rsid w:val="000C405C"/>
    <w:rsid w:val="000C4D69"/>
    <w:rsid w:val="000C5297"/>
    <w:rsid w:val="000C61A0"/>
    <w:rsid w:val="000C61B1"/>
    <w:rsid w:val="000C6F65"/>
    <w:rsid w:val="000C6F72"/>
    <w:rsid w:val="000C7437"/>
    <w:rsid w:val="000C7555"/>
    <w:rsid w:val="000C7863"/>
    <w:rsid w:val="000C7AA7"/>
    <w:rsid w:val="000D0D6C"/>
    <w:rsid w:val="000D1ADF"/>
    <w:rsid w:val="000D2A3F"/>
    <w:rsid w:val="000D38A4"/>
    <w:rsid w:val="000D4881"/>
    <w:rsid w:val="000D4D8D"/>
    <w:rsid w:val="000D536F"/>
    <w:rsid w:val="000D6CE2"/>
    <w:rsid w:val="000D6F50"/>
    <w:rsid w:val="000D753B"/>
    <w:rsid w:val="000D7787"/>
    <w:rsid w:val="000D78C6"/>
    <w:rsid w:val="000D7C6D"/>
    <w:rsid w:val="000D7FBE"/>
    <w:rsid w:val="000E074D"/>
    <w:rsid w:val="000E1D24"/>
    <w:rsid w:val="000E2A0A"/>
    <w:rsid w:val="000E2F11"/>
    <w:rsid w:val="000E40B6"/>
    <w:rsid w:val="000E5876"/>
    <w:rsid w:val="000E5C4A"/>
    <w:rsid w:val="000E5F81"/>
    <w:rsid w:val="000E6850"/>
    <w:rsid w:val="000E71A3"/>
    <w:rsid w:val="000E7B7D"/>
    <w:rsid w:val="000F06BB"/>
    <w:rsid w:val="000F0804"/>
    <w:rsid w:val="000F12ED"/>
    <w:rsid w:val="000F1980"/>
    <w:rsid w:val="000F23E6"/>
    <w:rsid w:val="000F27E4"/>
    <w:rsid w:val="000F30B2"/>
    <w:rsid w:val="000F3CF5"/>
    <w:rsid w:val="000F3F9F"/>
    <w:rsid w:val="000F4193"/>
    <w:rsid w:val="000F467E"/>
    <w:rsid w:val="000F47FC"/>
    <w:rsid w:val="000F582E"/>
    <w:rsid w:val="000F5BD7"/>
    <w:rsid w:val="000F620F"/>
    <w:rsid w:val="000F65A2"/>
    <w:rsid w:val="000F6CF3"/>
    <w:rsid w:val="000F770A"/>
    <w:rsid w:val="00100824"/>
    <w:rsid w:val="00100844"/>
    <w:rsid w:val="00100AA9"/>
    <w:rsid w:val="00102298"/>
    <w:rsid w:val="00102453"/>
    <w:rsid w:val="00102D87"/>
    <w:rsid w:val="001044D3"/>
    <w:rsid w:val="001045C0"/>
    <w:rsid w:val="00104742"/>
    <w:rsid w:val="00104CE1"/>
    <w:rsid w:val="00104E42"/>
    <w:rsid w:val="001056D0"/>
    <w:rsid w:val="00106321"/>
    <w:rsid w:val="001063F0"/>
    <w:rsid w:val="0010683F"/>
    <w:rsid w:val="001075D1"/>
    <w:rsid w:val="00107613"/>
    <w:rsid w:val="0010794E"/>
    <w:rsid w:val="00110397"/>
    <w:rsid w:val="0011070B"/>
    <w:rsid w:val="001116AF"/>
    <w:rsid w:val="00111B28"/>
    <w:rsid w:val="00111EF3"/>
    <w:rsid w:val="00112083"/>
    <w:rsid w:val="00112820"/>
    <w:rsid w:val="0011291D"/>
    <w:rsid w:val="001129E8"/>
    <w:rsid w:val="001129E9"/>
    <w:rsid w:val="0011349F"/>
    <w:rsid w:val="001135CA"/>
    <w:rsid w:val="001137D0"/>
    <w:rsid w:val="00114480"/>
    <w:rsid w:val="00115E62"/>
    <w:rsid w:val="001160E9"/>
    <w:rsid w:val="00116A2B"/>
    <w:rsid w:val="00117121"/>
    <w:rsid w:val="00117765"/>
    <w:rsid w:val="00117A66"/>
    <w:rsid w:val="00117EBD"/>
    <w:rsid w:val="00120C26"/>
    <w:rsid w:val="00120C31"/>
    <w:rsid w:val="0012148F"/>
    <w:rsid w:val="00122C5C"/>
    <w:rsid w:val="0012325A"/>
    <w:rsid w:val="00123274"/>
    <w:rsid w:val="001239DE"/>
    <w:rsid w:val="00123BC6"/>
    <w:rsid w:val="00123BFF"/>
    <w:rsid w:val="00123D5D"/>
    <w:rsid w:val="001249A4"/>
    <w:rsid w:val="00125077"/>
    <w:rsid w:val="00127AAC"/>
    <w:rsid w:val="001301C3"/>
    <w:rsid w:val="00130965"/>
    <w:rsid w:val="00130BD8"/>
    <w:rsid w:val="00130E3F"/>
    <w:rsid w:val="00131057"/>
    <w:rsid w:val="001319EE"/>
    <w:rsid w:val="0013244F"/>
    <w:rsid w:val="001325B1"/>
    <w:rsid w:val="001335C4"/>
    <w:rsid w:val="001346A7"/>
    <w:rsid w:val="00134779"/>
    <w:rsid w:val="00134CA9"/>
    <w:rsid w:val="00135E5E"/>
    <w:rsid w:val="001365B6"/>
    <w:rsid w:val="00136E38"/>
    <w:rsid w:val="001370D7"/>
    <w:rsid w:val="00137749"/>
    <w:rsid w:val="001423D8"/>
    <w:rsid w:val="00142AAB"/>
    <w:rsid w:val="001433EA"/>
    <w:rsid w:val="00143675"/>
    <w:rsid w:val="00143A5C"/>
    <w:rsid w:val="00143AD8"/>
    <w:rsid w:val="00143F1A"/>
    <w:rsid w:val="001444E9"/>
    <w:rsid w:val="00144677"/>
    <w:rsid w:val="00144B41"/>
    <w:rsid w:val="00145867"/>
    <w:rsid w:val="0014799A"/>
    <w:rsid w:val="00147BFC"/>
    <w:rsid w:val="001504D8"/>
    <w:rsid w:val="00150559"/>
    <w:rsid w:val="00151665"/>
    <w:rsid w:val="00152126"/>
    <w:rsid w:val="00154946"/>
    <w:rsid w:val="00155643"/>
    <w:rsid w:val="001557B6"/>
    <w:rsid w:val="00156A2E"/>
    <w:rsid w:val="00156D34"/>
    <w:rsid w:val="00156D59"/>
    <w:rsid w:val="0015719D"/>
    <w:rsid w:val="00157745"/>
    <w:rsid w:val="00157CB1"/>
    <w:rsid w:val="00160683"/>
    <w:rsid w:val="001606F2"/>
    <w:rsid w:val="00160F43"/>
    <w:rsid w:val="00160FC7"/>
    <w:rsid w:val="00161D02"/>
    <w:rsid w:val="00162601"/>
    <w:rsid w:val="001629B2"/>
    <w:rsid w:val="00164434"/>
    <w:rsid w:val="00164444"/>
    <w:rsid w:val="00164A27"/>
    <w:rsid w:val="00165009"/>
    <w:rsid w:val="00165535"/>
    <w:rsid w:val="001675FA"/>
    <w:rsid w:val="00167B5F"/>
    <w:rsid w:val="00167F3F"/>
    <w:rsid w:val="0017107B"/>
    <w:rsid w:val="00171151"/>
    <w:rsid w:val="0017179E"/>
    <w:rsid w:val="00171E62"/>
    <w:rsid w:val="00171FF6"/>
    <w:rsid w:val="001725CC"/>
    <w:rsid w:val="001730C6"/>
    <w:rsid w:val="00173D7B"/>
    <w:rsid w:val="001744F1"/>
    <w:rsid w:val="00175D72"/>
    <w:rsid w:val="001763D7"/>
    <w:rsid w:val="00177A2B"/>
    <w:rsid w:val="0018013E"/>
    <w:rsid w:val="0018110A"/>
    <w:rsid w:val="0018131F"/>
    <w:rsid w:val="00181F50"/>
    <w:rsid w:val="00182651"/>
    <w:rsid w:val="00182B49"/>
    <w:rsid w:val="00184024"/>
    <w:rsid w:val="00184306"/>
    <w:rsid w:val="00184810"/>
    <w:rsid w:val="00184CA3"/>
    <w:rsid w:val="001851CB"/>
    <w:rsid w:val="001857A3"/>
    <w:rsid w:val="00185B3C"/>
    <w:rsid w:val="001863BF"/>
    <w:rsid w:val="001869AA"/>
    <w:rsid w:val="00186BA3"/>
    <w:rsid w:val="00186DD1"/>
    <w:rsid w:val="00187242"/>
    <w:rsid w:val="001904F8"/>
    <w:rsid w:val="00190891"/>
    <w:rsid w:val="00190C17"/>
    <w:rsid w:val="00190E4C"/>
    <w:rsid w:val="0019109F"/>
    <w:rsid w:val="0019180C"/>
    <w:rsid w:val="001919CE"/>
    <w:rsid w:val="001920DF"/>
    <w:rsid w:val="00192459"/>
    <w:rsid w:val="0019276C"/>
    <w:rsid w:val="0019291E"/>
    <w:rsid w:val="00192950"/>
    <w:rsid w:val="00193D79"/>
    <w:rsid w:val="00195927"/>
    <w:rsid w:val="00195C84"/>
    <w:rsid w:val="0019616B"/>
    <w:rsid w:val="0019627D"/>
    <w:rsid w:val="00196857"/>
    <w:rsid w:val="00196C6A"/>
    <w:rsid w:val="00196C88"/>
    <w:rsid w:val="001978A4"/>
    <w:rsid w:val="00197962"/>
    <w:rsid w:val="001A0380"/>
    <w:rsid w:val="001A08A6"/>
    <w:rsid w:val="001A095A"/>
    <w:rsid w:val="001A0E1E"/>
    <w:rsid w:val="001A0ED5"/>
    <w:rsid w:val="001A13BC"/>
    <w:rsid w:val="001A1554"/>
    <w:rsid w:val="001A166B"/>
    <w:rsid w:val="001A20AF"/>
    <w:rsid w:val="001A213F"/>
    <w:rsid w:val="001A2430"/>
    <w:rsid w:val="001A3CDC"/>
    <w:rsid w:val="001A3EE1"/>
    <w:rsid w:val="001A47AB"/>
    <w:rsid w:val="001A4ED5"/>
    <w:rsid w:val="001A6E49"/>
    <w:rsid w:val="001A726A"/>
    <w:rsid w:val="001A7B72"/>
    <w:rsid w:val="001B07BC"/>
    <w:rsid w:val="001B080F"/>
    <w:rsid w:val="001B143E"/>
    <w:rsid w:val="001B1567"/>
    <w:rsid w:val="001B194B"/>
    <w:rsid w:val="001B2356"/>
    <w:rsid w:val="001B23C8"/>
    <w:rsid w:val="001B3801"/>
    <w:rsid w:val="001B457E"/>
    <w:rsid w:val="001B557B"/>
    <w:rsid w:val="001B57EB"/>
    <w:rsid w:val="001B6523"/>
    <w:rsid w:val="001B6E16"/>
    <w:rsid w:val="001B72B3"/>
    <w:rsid w:val="001B7B78"/>
    <w:rsid w:val="001B7F5C"/>
    <w:rsid w:val="001C0B0F"/>
    <w:rsid w:val="001C16D8"/>
    <w:rsid w:val="001C1748"/>
    <w:rsid w:val="001C1ECE"/>
    <w:rsid w:val="001C295C"/>
    <w:rsid w:val="001C2AD1"/>
    <w:rsid w:val="001C3184"/>
    <w:rsid w:val="001C370B"/>
    <w:rsid w:val="001C46EC"/>
    <w:rsid w:val="001C52D9"/>
    <w:rsid w:val="001C5619"/>
    <w:rsid w:val="001C6819"/>
    <w:rsid w:val="001C7B04"/>
    <w:rsid w:val="001D03EE"/>
    <w:rsid w:val="001D15B1"/>
    <w:rsid w:val="001D2FF4"/>
    <w:rsid w:val="001D3012"/>
    <w:rsid w:val="001D452F"/>
    <w:rsid w:val="001D57F4"/>
    <w:rsid w:val="001D59ED"/>
    <w:rsid w:val="001D6A2A"/>
    <w:rsid w:val="001D6C21"/>
    <w:rsid w:val="001D6CBA"/>
    <w:rsid w:val="001D6E2A"/>
    <w:rsid w:val="001D7F33"/>
    <w:rsid w:val="001E0732"/>
    <w:rsid w:val="001E0E65"/>
    <w:rsid w:val="001E1851"/>
    <w:rsid w:val="001E1FC9"/>
    <w:rsid w:val="001E28BC"/>
    <w:rsid w:val="001E373C"/>
    <w:rsid w:val="001E4267"/>
    <w:rsid w:val="001E4CDB"/>
    <w:rsid w:val="001E5F93"/>
    <w:rsid w:val="001E6319"/>
    <w:rsid w:val="001E7A3C"/>
    <w:rsid w:val="001E7DEC"/>
    <w:rsid w:val="001F013A"/>
    <w:rsid w:val="001F1087"/>
    <w:rsid w:val="001F1812"/>
    <w:rsid w:val="001F1D60"/>
    <w:rsid w:val="001F3AC3"/>
    <w:rsid w:val="001F487D"/>
    <w:rsid w:val="001F5AC1"/>
    <w:rsid w:val="001F5FEE"/>
    <w:rsid w:val="001F7315"/>
    <w:rsid w:val="001F75C3"/>
    <w:rsid w:val="001F7978"/>
    <w:rsid w:val="002015EC"/>
    <w:rsid w:val="002017A2"/>
    <w:rsid w:val="002018F7"/>
    <w:rsid w:val="00202521"/>
    <w:rsid w:val="00202769"/>
    <w:rsid w:val="00202DA0"/>
    <w:rsid w:val="002041B4"/>
    <w:rsid w:val="002046C1"/>
    <w:rsid w:val="00205114"/>
    <w:rsid w:val="0020527A"/>
    <w:rsid w:val="0020633F"/>
    <w:rsid w:val="0020794A"/>
    <w:rsid w:val="002107C8"/>
    <w:rsid w:val="00212396"/>
    <w:rsid w:val="002125F2"/>
    <w:rsid w:val="002126AB"/>
    <w:rsid w:val="002127E5"/>
    <w:rsid w:val="00212AD5"/>
    <w:rsid w:val="002152C3"/>
    <w:rsid w:val="00217FBC"/>
    <w:rsid w:val="0022162E"/>
    <w:rsid w:val="00221BBA"/>
    <w:rsid w:val="002227B4"/>
    <w:rsid w:val="00222931"/>
    <w:rsid w:val="00222AA4"/>
    <w:rsid w:val="00222D97"/>
    <w:rsid w:val="00223132"/>
    <w:rsid w:val="00223715"/>
    <w:rsid w:val="00223FE3"/>
    <w:rsid w:val="002252B2"/>
    <w:rsid w:val="002255FD"/>
    <w:rsid w:val="002257D2"/>
    <w:rsid w:val="00225933"/>
    <w:rsid w:val="0022783E"/>
    <w:rsid w:val="00230CF5"/>
    <w:rsid w:val="00231121"/>
    <w:rsid w:val="0023135A"/>
    <w:rsid w:val="00231DD8"/>
    <w:rsid w:val="00232192"/>
    <w:rsid w:val="00232747"/>
    <w:rsid w:val="00232F77"/>
    <w:rsid w:val="002333D5"/>
    <w:rsid w:val="00233529"/>
    <w:rsid w:val="00233CE6"/>
    <w:rsid w:val="00236474"/>
    <w:rsid w:val="00236521"/>
    <w:rsid w:val="00236D7B"/>
    <w:rsid w:val="00237283"/>
    <w:rsid w:val="002400A0"/>
    <w:rsid w:val="00240358"/>
    <w:rsid w:val="00240A67"/>
    <w:rsid w:val="00240E87"/>
    <w:rsid w:val="00241410"/>
    <w:rsid w:val="00241CDE"/>
    <w:rsid w:val="00242B3B"/>
    <w:rsid w:val="002433E6"/>
    <w:rsid w:val="00243D25"/>
    <w:rsid w:val="00243FC5"/>
    <w:rsid w:val="00244D70"/>
    <w:rsid w:val="002457AD"/>
    <w:rsid w:val="002462C6"/>
    <w:rsid w:val="00247401"/>
    <w:rsid w:val="00247870"/>
    <w:rsid w:val="002479C7"/>
    <w:rsid w:val="00251097"/>
    <w:rsid w:val="00251601"/>
    <w:rsid w:val="00251858"/>
    <w:rsid w:val="00252D50"/>
    <w:rsid w:val="00252F3E"/>
    <w:rsid w:val="00253DA4"/>
    <w:rsid w:val="00254C0F"/>
    <w:rsid w:val="00255F7C"/>
    <w:rsid w:val="00256293"/>
    <w:rsid w:val="0025653E"/>
    <w:rsid w:val="002568D2"/>
    <w:rsid w:val="00256DBF"/>
    <w:rsid w:val="00256E51"/>
    <w:rsid w:val="002575F0"/>
    <w:rsid w:val="00257743"/>
    <w:rsid w:val="00257BBD"/>
    <w:rsid w:val="00260433"/>
    <w:rsid w:val="002604DB"/>
    <w:rsid w:val="00260C00"/>
    <w:rsid w:val="00261B19"/>
    <w:rsid w:val="00261C45"/>
    <w:rsid w:val="0026368D"/>
    <w:rsid w:val="00263A35"/>
    <w:rsid w:val="002650E3"/>
    <w:rsid w:val="0026546E"/>
    <w:rsid w:val="00265F2A"/>
    <w:rsid w:val="002668AC"/>
    <w:rsid w:val="0026767F"/>
    <w:rsid w:val="0026785A"/>
    <w:rsid w:val="0026788B"/>
    <w:rsid w:val="002701EB"/>
    <w:rsid w:val="002708CE"/>
    <w:rsid w:val="00270D31"/>
    <w:rsid w:val="00270D68"/>
    <w:rsid w:val="00271C0E"/>
    <w:rsid w:val="0027219F"/>
    <w:rsid w:val="00272233"/>
    <w:rsid w:val="00273CB6"/>
    <w:rsid w:val="00273F05"/>
    <w:rsid w:val="00274C47"/>
    <w:rsid w:val="00276DA2"/>
    <w:rsid w:val="00277240"/>
    <w:rsid w:val="00277AAA"/>
    <w:rsid w:val="00280CCA"/>
    <w:rsid w:val="002835AC"/>
    <w:rsid w:val="00283D64"/>
    <w:rsid w:val="00284074"/>
    <w:rsid w:val="002841B2"/>
    <w:rsid w:val="00284DD3"/>
    <w:rsid w:val="00284E3C"/>
    <w:rsid w:val="00285200"/>
    <w:rsid w:val="00285E8D"/>
    <w:rsid w:val="002869E8"/>
    <w:rsid w:val="00287975"/>
    <w:rsid w:val="00292C28"/>
    <w:rsid w:val="002935B0"/>
    <w:rsid w:val="002935ED"/>
    <w:rsid w:val="002939EB"/>
    <w:rsid w:val="00294830"/>
    <w:rsid w:val="00294E3E"/>
    <w:rsid w:val="00294E43"/>
    <w:rsid w:val="00295ECF"/>
    <w:rsid w:val="00296202"/>
    <w:rsid w:val="00296A15"/>
    <w:rsid w:val="00297016"/>
    <w:rsid w:val="0029799F"/>
    <w:rsid w:val="00297DA4"/>
    <w:rsid w:val="002A022B"/>
    <w:rsid w:val="002A124F"/>
    <w:rsid w:val="002A2874"/>
    <w:rsid w:val="002A441E"/>
    <w:rsid w:val="002A4EA1"/>
    <w:rsid w:val="002A59E6"/>
    <w:rsid w:val="002A70D5"/>
    <w:rsid w:val="002B0121"/>
    <w:rsid w:val="002B0CF3"/>
    <w:rsid w:val="002B248D"/>
    <w:rsid w:val="002B2D1D"/>
    <w:rsid w:val="002B3F85"/>
    <w:rsid w:val="002B5A2A"/>
    <w:rsid w:val="002B5A8C"/>
    <w:rsid w:val="002B681F"/>
    <w:rsid w:val="002B74ED"/>
    <w:rsid w:val="002B7D7F"/>
    <w:rsid w:val="002C0434"/>
    <w:rsid w:val="002C04E1"/>
    <w:rsid w:val="002C06F5"/>
    <w:rsid w:val="002C0CC4"/>
    <w:rsid w:val="002C2404"/>
    <w:rsid w:val="002C26B4"/>
    <w:rsid w:val="002C2EA7"/>
    <w:rsid w:val="002C5A85"/>
    <w:rsid w:val="002C5F76"/>
    <w:rsid w:val="002C6357"/>
    <w:rsid w:val="002C6768"/>
    <w:rsid w:val="002D028A"/>
    <w:rsid w:val="002D0431"/>
    <w:rsid w:val="002D3A3A"/>
    <w:rsid w:val="002D4591"/>
    <w:rsid w:val="002D4711"/>
    <w:rsid w:val="002D5A55"/>
    <w:rsid w:val="002D5AE9"/>
    <w:rsid w:val="002D7C46"/>
    <w:rsid w:val="002E066C"/>
    <w:rsid w:val="002E0A9F"/>
    <w:rsid w:val="002E13CE"/>
    <w:rsid w:val="002E194D"/>
    <w:rsid w:val="002E1DD0"/>
    <w:rsid w:val="002E1F33"/>
    <w:rsid w:val="002E21DF"/>
    <w:rsid w:val="002E27C4"/>
    <w:rsid w:val="002E3542"/>
    <w:rsid w:val="002E38C0"/>
    <w:rsid w:val="002E3958"/>
    <w:rsid w:val="002E490A"/>
    <w:rsid w:val="002E55B7"/>
    <w:rsid w:val="002E60C5"/>
    <w:rsid w:val="002E6290"/>
    <w:rsid w:val="002E72E3"/>
    <w:rsid w:val="002E74A4"/>
    <w:rsid w:val="002F021D"/>
    <w:rsid w:val="002F073E"/>
    <w:rsid w:val="002F10C6"/>
    <w:rsid w:val="002F12D7"/>
    <w:rsid w:val="002F1545"/>
    <w:rsid w:val="002F4EBD"/>
    <w:rsid w:val="002F5985"/>
    <w:rsid w:val="002F59D1"/>
    <w:rsid w:val="002F643F"/>
    <w:rsid w:val="002F6CA9"/>
    <w:rsid w:val="002F6E6D"/>
    <w:rsid w:val="002F7ABA"/>
    <w:rsid w:val="003008E7"/>
    <w:rsid w:val="00300B3E"/>
    <w:rsid w:val="00300B8F"/>
    <w:rsid w:val="00301430"/>
    <w:rsid w:val="00302180"/>
    <w:rsid w:val="003026D2"/>
    <w:rsid w:val="00302BF9"/>
    <w:rsid w:val="00302D94"/>
    <w:rsid w:val="00303E8A"/>
    <w:rsid w:val="003049F1"/>
    <w:rsid w:val="00305063"/>
    <w:rsid w:val="00305839"/>
    <w:rsid w:val="00305AA1"/>
    <w:rsid w:val="003061C3"/>
    <w:rsid w:val="00306DEE"/>
    <w:rsid w:val="00306FD2"/>
    <w:rsid w:val="00311289"/>
    <w:rsid w:val="0031210D"/>
    <w:rsid w:val="00312669"/>
    <w:rsid w:val="00313050"/>
    <w:rsid w:val="00315242"/>
    <w:rsid w:val="00315584"/>
    <w:rsid w:val="00316A27"/>
    <w:rsid w:val="0031785B"/>
    <w:rsid w:val="00317AE4"/>
    <w:rsid w:val="00317F3C"/>
    <w:rsid w:val="0032046E"/>
    <w:rsid w:val="00320BB5"/>
    <w:rsid w:val="0032129C"/>
    <w:rsid w:val="0032148C"/>
    <w:rsid w:val="00321660"/>
    <w:rsid w:val="00321CBB"/>
    <w:rsid w:val="003227CC"/>
    <w:rsid w:val="003233B0"/>
    <w:rsid w:val="00323565"/>
    <w:rsid w:val="003235A0"/>
    <w:rsid w:val="003241E8"/>
    <w:rsid w:val="003248D1"/>
    <w:rsid w:val="0032611B"/>
    <w:rsid w:val="00326496"/>
    <w:rsid w:val="00327FDB"/>
    <w:rsid w:val="003302BA"/>
    <w:rsid w:val="00330574"/>
    <w:rsid w:val="003307EB"/>
    <w:rsid w:val="0033116C"/>
    <w:rsid w:val="003317B8"/>
    <w:rsid w:val="00331B1E"/>
    <w:rsid w:val="00332089"/>
    <w:rsid w:val="003320E2"/>
    <w:rsid w:val="00332858"/>
    <w:rsid w:val="00333138"/>
    <w:rsid w:val="00333338"/>
    <w:rsid w:val="00333EED"/>
    <w:rsid w:val="0033436E"/>
    <w:rsid w:val="003352A8"/>
    <w:rsid w:val="00335826"/>
    <w:rsid w:val="00335C8E"/>
    <w:rsid w:val="00335FD9"/>
    <w:rsid w:val="003361A7"/>
    <w:rsid w:val="00336860"/>
    <w:rsid w:val="0033687B"/>
    <w:rsid w:val="00336F74"/>
    <w:rsid w:val="0034131C"/>
    <w:rsid w:val="003417EE"/>
    <w:rsid w:val="00342DFF"/>
    <w:rsid w:val="003437FA"/>
    <w:rsid w:val="00344162"/>
    <w:rsid w:val="00344614"/>
    <w:rsid w:val="003454D5"/>
    <w:rsid w:val="00345703"/>
    <w:rsid w:val="003458E7"/>
    <w:rsid w:val="00346803"/>
    <w:rsid w:val="00346968"/>
    <w:rsid w:val="00346DBE"/>
    <w:rsid w:val="00347260"/>
    <w:rsid w:val="003474A6"/>
    <w:rsid w:val="00350AC9"/>
    <w:rsid w:val="00350CF0"/>
    <w:rsid w:val="00350D09"/>
    <w:rsid w:val="00352A7B"/>
    <w:rsid w:val="00352DC2"/>
    <w:rsid w:val="00352DEC"/>
    <w:rsid w:val="00352F8D"/>
    <w:rsid w:val="00353C95"/>
    <w:rsid w:val="00354130"/>
    <w:rsid w:val="0035498A"/>
    <w:rsid w:val="003549F7"/>
    <w:rsid w:val="00354ABD"/>
    <w:rsid w:val="00354C53"/>
    <w:rsid w:val="003560F5"/>
    <w:rsid w:val="00356A6C"/>
    <w:rsid w:val="00356C42"/>
    <w:rsid w:val="00356FFA"/>
    <w:rsid w:val="00357ADC"/>
    <w:rsid w:val="00360296"/>
    <w:rsid w:val="0036113B"/>
    <w:rsid w:val="00361392"/>
    <w:rsid w:val="00362081"/>
    <w:rsid w:val="003622E7"/>
    <w:rsid w:val="00362C40"/>
    <w:rsid w:val="00362CF8"/>
    <w:rsid w:val="003636D1"/>
    <w:rsid w:val="00363C76"/>
    <w:rsid w:val="0036437F"/>
    <w:rsid w:val="00364B27"/>
    <w:rsid w:val="003656FA"/>
    <w:rsid w:val="00365A56"/>
    <w:rsid w:val="003661CC"/>
    <w:rsid w:val="00367FEE"/>
    <w:rsid w:val="00370F3B"/>
    <w:rsid w:val="003714B9"/>
    <w:rsid w:val="003722DD"/>
    <w:rsid w:val="00372C39"/>
    <w:rsid w:val="00373499"/>
    <w:rsid w:val="00373568"/>
    <w:rsid w:val="00373944"/>
    <w:rsid w:val="003746A6"/>
    <w:rsid w:val="003746E8"/>
    <w:rsid w:val="003752E5"/>
    <w:rsid w:val="00375570"/>
    <w:rsid w:val="0037561C"/>
    <w:rsid w:val="00375699"/>
    <w:rsid w:val="00375A08"/>
    <w:rsid w:val="00377055"/>
    <w:rsid w:val="00377C84"/>
    <w:rsid w:val="00380647"/>
    <w:rsid w:val="00380CD7"/>
    <w:rsid w:val="00380E71"/>
    <w:rsid w:val="003811A6"/>
    <w:rsid w:val="003825CC"/>
    <w:rsid w:val="003829FA"/>
    <w:rsid w:val="00384425"/>
    <w:rsid w:val="0038444C"/>
    <w:rsid w:val="00384BCA"/>
    <w:rsid w:val="00384C0F"/>
    <w:rsid w:val="00385D34"/>
    <w:rsid w:val="003866BF"/>
    <w:rsid w:val="00386720"/>
    <w:rsid w:val="003875E2"/>
    <w:rsid w:val="0038786E"/>
    <w:rsid w:val="00394535"/>
    <w:rsid w:val="00394F83"/>
    <w:rsid w:val="00395721"/>
    <w:rsid w:val="00395BEE"/>
    <w:rsid w:val="00395BEF"/>
    <w:rsid w:val="00395E6C"/>
    <w:rsid w:val="00396249"/>
    <w:rsid w:val="003964D8"/>
    <w:rsid w:val="00396502"/>
    <w:rsid w:val="003966BB"/>
    <w:rsid w:val="00397DF5"/>
    <w:rsid w:val="003A18FC"/>
    <w:rsid w:val="003A1C58"/>
    <w:rsid w:val="003A1E91"/>
    <w:rsid w:val="003A2789"/>
    <w:rsid w:val="003A2A23"/>
    <w:rsid w:val="003A393C"/>
    <w:rsid w:val="003A44DD"/>
    <w:rsid w:val="003A4536"/>
    <w:rsid w:val="003A4643"/>
    <w:rsid w:val="003A4F55"/>
    <w:rsid w:val="003A515D"/>
    <w:rsid w:val="003A766A"/>
    <w:rsid w:val="003A7C39"/>
    <w:rsid w:val="003A7CD6"/>
    <w:rsid w:val="003A7F0F"/>
    <w:rsid w:val="003B09CC"/>
    <w:rsid w:val="003B0E0E"/>
    <w:rsid w:val="003B12AF"/>
    <w:rsid w:val="003B18E7"/>
    <w:rsid w:val="003B19BF"/>
    <w:rsid w:val="003B1D19"/>
    <w:rsid w:val="003B26D3"/>
    <w:rsid w:val="003B28B4"/>
    <w:rsid w:val="003B35B0"/>
    <w:rsid w:val="003B3BE4"/>
    <w:rsid w:val="003B45CC"/>
    <w:rsid w:val="003B46C5"/>
    <w:rsid w:val="003B47B9"/>
    <w:rsid w:val="003B5345"/>
    <w:rsid w:val="003B5675"/>
    <w:rsid w:val="003B5FB8"/>
    <w:rsid w:val="003B6FAA"/>
    <w:rsid w:val="003B74E0"/>
    <w:rsid w:val="003C2434"/>
    <w:rsid w:val="003C30A4"/>
    <w:rsid w:val="003C30C1"/>
    <w:rsid w:val="003C3A34"/>
    <w:rsid w:val="003C3EC3"/>
    <w:rsid w:val="003C4182"/>
    <w:rsid w:val="003C4F9F"/>
    <w:rsid w:val="003C572D"/>
    <w:rsid w:val="003C60F1"/>
    <w:rsid w:val="003C6228"/>
    <w:rsid w:val="003C6BF2"/>
    <w:rsid w:val="003C6CF9"/>
    <w:rsid w:val="003C720F"/>
    <w:rsid w:val="003C7A55"/>
    <w:rsid w:val="003D131A"/>
    <w:rsid w:val="003D1434"/>
    <w:rsid w:val="003D1594"/>
    <w:rsid w:val="003D19CD"/>
    <w:rsid w:val="003D1B5C"/>
    <w:rsid w:val="003D3415"/>
    <w:rsid w:val="003D379A"/>
    <w:rsid w:val="003D511F"/>
    <w:rsid w:val="003D5834"/>
    <w:rsid w:val="003D6114"/>
    <w:rsid w:val="003D6617"/>
    <w:rsid w:val="003D786A"/>
    <w:rsid w:val="003D795F"/>
    <w:rsid w:val="003D7CB8"/>
    <w:rsid w:val="003D7EA6"/>
    <w:rsid w:val="003E029F"/>
    <w:rsid w:val="003E0632"/>
    <w:rsid w:val="003E0DD3"/>
    <w:rsid w:val="003E3C63"/>
    <w:rsid w:val="003E53A4"/>
    <w:rsid w:val="003E5B36"/>
    <w:rsid w:val="003E5DB8"/>
    <w:rsid w:val="003E601B"/>
    <w:rsid w:val="003E68D2"/>
    <w:rsid w:val="003E6B5A"/>
    <w:rsid w:val="003E7159"/>
    <w:rsid w:val="003E7798"/>
    <w:rsid w:val="003F0973"/>
    <w:rsid w:val="003F0A6F"/>
    <w:rsid w:val="003F0ADC"/>
    <w:rsid w:val="003F0CB2"/>
    <w:rsid w:val="003F0FAF"/>
    <w:rsid w:val="003F150E"/>
    <w:rsid w:val="003F1C74"/>
    <w:rsid w:val="003F22B3"/>
    <w:rsid w:val="003F27BD"/>
    <w:rsid w:val="003F2F04"/>
    <w:rsid w:val="003F3836"/>
    <w:rsid w:val="003F3E26"/>
    <w:rsid w:val="003F58FF"/>
    <w:rsid w:val="003F631B"/>
    <w:rsid w:val="003F73A2"/>
    <w:rsid w:val="003F7823"/>
    <w:rsid w:val="003F7875"/>
    <w:rsid w:val="003F7DC0"/>
    <w:rsid w:val="0040107F"/>
    <w:rsid w:val="00401586"/>
    <w:rsid w:val="0040162D"/>
    <w:rsid w:val="00401687"/>
    <w:rsid w:val="00401962"/>
    <w:rsid w:val="00401F41"/>
    <w:rsid w:val="00402DB2"/>
    <w:rsid w:val="00403FD8"/>
    <w:rsid w:val="00404047"/>
    <w:rsid w:val="00404230"/>
    <w:rsid w:val="00404B65"/>
    <w:rsid w:val="00406802"/>
    <w:rsid w:val="0040739A"/>
    <w:rsid w:val="00410022"/>
    <w:rsid w:val="00410519"/>
    <w:rsid w:val="00411015"/>
    <w:rsid w:val="00411532"/>
    <w:rsid w:val="00411DDB"/>
    <w:rsid w:val="0041259C"/>
    <w:rsid w:val="00413D69"/>
    <w:rsid w:val="00415806"/>
    <w:rsid w:val="00416BB4"/>
    <w:rsid w:val="00417381"/>
    <w:rsid w:val="004173A9"/>
    <w:rsid w:val="00420A00"/>
    <w:rsid w:val="00422358"/>
    <w:rsid w:val="00422DB9"/>
    <w:rsid w:val="00423546"/>
    <w:rsid w:val="0042407A"/>
    <w:rsid w:val="0042419F"/>
    <w:rsid w:val="004241C3"/>
    <w:rsid w:val="00424709"/>
    <w:rsid w:val="00424AD9"/>
    <w:rsid w:val="0042575F"/>
    <w:rsid w:val="00425C48"/>
    <w:rsid w:val="00426307"/>
    <w:rsid w:val="00426423"/>
    <w:rsid w:val="00426584"/>
    <w:rsid w:val="00426DC7"/>
    <w:rsid w:val="00430208"/>
    <w:rsid w:val="004306E4"/>
    <w:rsid w:val="00430708"/>
    <w:rsid w:val="00432989"/>
    <w:rsid w:val="004329A2"/>
    <w:rsid w:val="00432A8A"/>
    <w:rsid w:val="00432DF8"/>
    <w:rsid w:val="00433016"/>
    <w:rsid w:val="0043317E"/>
    <w:rsid w:val="00433DA1"/>
    <w:rsid w:val="00434638"/>
    <w:rsid w:val="00435C54"/>
    <w:rsid w:val="00436213"/>
    <w:rsid w:val="00436423"/>
    <w:rsid w:val="00436CB9"/>
    <w:rsid w:val="004402B6"/>
    <w:rsid w:val="004408CD"/>
    <w:rsid w:val="004418B5"/>
    <w:rsid w:val="00441995"/>
    <w:rsid w:val="00441AF8"/>
    <w:rsid w:val="00443986"/>
    <w:rsid w:val="004439B5"/>
    <w:rsid w:val="00443A2D"/>
    <w:rsid w:val="00443BA2"/>
    <w:rsid w:val="00444410"/>
    <w:rsid w:val="00444CEF"/>
    <w:rsid w:val="00445F6A"/>
    <w:rsid w:val="004464F6"/>
    <w:rsid w:val="00446DFE"/>
    <w:rsid w:val="00447D12"/>
    <w:rsid w:val="00447EDE"/>
    <w:rsid w:val="004512A3"/>
    <w:rsid w:val="00451968"/>
    <w:rsid w:val="0045215E"/>
    <w:rsid w:val="00452CB6"/>
    <w:rsid w:val="00452E43"/>
    <w:rsid w:val="0045421A"/>
    <w:rsid w:val="004561A3"/>
    <w:rsid w:val="004563EC"/>
    <w:rsid w:val="00456458"/>
    <w:rsid w:val="00456512"/>
    <w:rsid w:val="00457423"/>
    <w:rsid w:val="004575FB"/>
    <w:rsid w:val="0045798D"/>
    <w:rsid w:val="004605E1"/>
    <w:rsid w:val="004606DD"/>
    <w:rsid w:val="004608FC"/>
    <w:rsid w:val="004612E1"/>
    <w:rsid w:val="00461FDA"/>
    <w:rsid w:val="004628CB"/>
    <w:rsid w:val="00462F1D"/>
    <w:rsid w:val="004637A0"/>
    <w:rsid w:val="00463A83"/>
    <w:rsid w:val="00464214"/>
    <w:rsid w:val="0046560E"/>
    <w:rsid w:val="004659BB"/>
    <w:rsid w:val="004670D7"/>
    <w:rsid w:val="004703EC"/>
    <w:rsid w:val="00471025"/>
    <w:rsid w:val="00471848"/>
    <w:rsid w:val="0047360D"/>
    <w:rsid w:val="004738F5"/>
    <w:rsid w:val="0047406A"/>
    <w:rsid w:val="0047421A"/>
    <w:rsid w:val="00474492"/>
    <w:rsid w:val="00474530"/>
    <w:rsid w:val="00474B4C"/>
    <w:rsid w:val="00474DE4"/>
    <w:rsid w:val="004753D4"/>
    <w:rsid w:val="00475A8A"/>
    <w:rsid w:val="0047619C"/>
    <w:rsid w:val="00476C2F"/>
    <w:rsid w:val="00476F38"/>
    <w:rsid w:val="00476F55"/>
    <w:rsid w:val="004771CC"/>
    <w:rsid w:val="00477467"/>
    <w:rsid w:val="004806CB"/>
    <w:rsid w:val="00481001"/>
    <w:rsid w:val="004816D3"/>
    <w:rsid w:val="00483259"/>
    <w:rsid w:val="00483FFA"/>
    <w:rsid w:val="004843C1"/>
    <w:rsid w:val="0048587E"/>
    <w:rsid w:val="00486AD0"/>
    <w:rsid w:val="00486DE8"/>
    <w:rsid w:val="00486F31"/>
    <w:rsid w:val="00491EF0"/>
    <w:rsid w:val="00492431"/>
    <w:rsid w:val="004928D5"/>
    <w:rsid w:val="00492AF8"/>
    <w:rsid w:val="0049399B"/>
    <w:rsid w:val="00494B07"/>
    <w:rsid w:val="00494C1F"/>
    <w:rsid w:val="00495A38"/>
    <w:rsid w:val="00495A55"/>
    <w:rsid w:val="00495B15"/>
    <w:rsid w:val="00495B2E"/>
    <w:rsid w:val="00496539"/>
    <w:rsid w:val="004966F2"/>
    <w:rsid w:val="00496722"/>
    <w:rsid w:val="00497278"/>
    <w:rsid w:val="00497AEE"/>
    <w:rsid w:val="004A0028"/>
    <w:rsid w:val="004A006F"/>
    <w:rsid w:val="004A1CB3"/>
    <w:rsid w:val="004A1F41"/>
    <w:rsid w:val="004A2763"/>
    <w:rsid w:val="004A3252"/>
    <w:rsid w:val="004A39C2"/>
    <w:rsid w:val="004A4901"/>
    <w:rsid w:val="004A625C"/>
    <w:rsid w:val="004A63A7"/>
    <w:rsid w:val="004A6F6A"/>
    <w:rsid w:val="004A7653"/>
    <w:rsid w:val="004B0688"/>
    <w:rsid w:val="004B0793"/>
    <w:rsid w:val="004B0C46"/>
    <w:rsid w:val="004B170B"/>
    <w:rsid w:val="004B1D6A"/>
    <w:rsid w:val="004B20F0"/>
    <w:rsid w:val="004B236F"/>
    <w:rsid w:val="004B444E"/>
    <w:rsid w:val="004B4D44"/>
    <w:rsid w:val="004B5615"/>
    <w:rsid w:val="004B61EA"/>
    <w:rsid w:val="004B70BF"/>
    <w:rsid w:val="004B7DA7"/>
    <w:rsid w:val="004B7DFE"/>
    <w:rsid w:val="004C01B2"/>
    <w:rsid w:val="004C0FBB"/>
    <w:rsid w:val="004C237F"/>
    <w:rsid w:val="004C4593"/>
    <w:rsid w:val="004C4F9B"/>
    <w:rsid w:val="004C5090"/>
    <w:rsid w:val="004C5ABC"/>
    <w:rsid w:val="004C60A1"/>
    <w:rsid w:val="004C6406"/>
    <w:rsid w:val="004C6B0C"/>
    <w:rsid w:val="004C74EC"/>
    <w:rsid w:val="004C7ABC"/>
    <w:rsid w:val="004C7EF0"/>
    <w:rsid w:val="004D1C22"/>
    <w:rsid w:val="004D210A"/>
    <w:rsid w:val="004D43F4"/>
    <w:rsid w:val="004D4CE3"/>
    <w:rsid w:val="004D4D53"/>
    <w:rsid w:val="004D6C36"/>
    <w:rsid w:val="004E02CE"/>
    <w:rsid w:val="004E14D7"/>
    <w:rsid w:val="004E16D0"/>
    <w:rsid w:val="004E26E1"/>
    <w:rsid w:val="004E2A9B"/>
    <w:rsid w:val="004E2CEB"/>
    <w:rsid w:val="004E3630"/>
    <w:rsid w:val="004E4A22"/>
    <w:rsid w:val="004E6D3A"/>
    <w:rsid w:val="004E6EB7"/>
    <w:rsid w:val="004F01C9"/>
    <w:rsid w:val="004F057B"/>
    <w:rsid w:val="004F0B2E"/>
    <w:rsid w:val="004F10FE"/>
    <w:rsid w:val="004F2A42"/>
    <w:rsid w:val="004F382C"/>
    <w:rsid w:val="004F3B68"/>
    <w:rsid w:val="004F3B82"/>
    <w:rsid w:val="004F3F28"/>
    <w:rsid w:val="004F5CE6"/>
    <w:rsid w:val="004F63A3"/>
    <w:rsid w:val="004F675B"/>
    <w:rsid w:val="004F6967"/>
    <w:rsid w:val="004F755F"/>
    <w:rsid w:val="004F75BD"/>
    <w:rsid w:val="005000BC"/>
    <w:rsid w:val="00500C12"/>
    <w:rsid w:val="00500F88"/>
    <w:rsid w:val="005018A6"/>
    <w:rsid w:val="005024E5"/>
    <w:rsid w:val="0050314F"/>
    <w:rsid w:val="00503826"/>
    <w:rsid w:val="00503D34"/>
    <w:rsid w:val="0050440E"/>
    <w:rsid w:val="0050485B"/>
    <w:rsid w:val="0050498C"/>
    <w:rsid w:val="00504D95"/>
    <w:rsid w:val="005051FB"/>
    <w:rsid w:val="0050620A"/>
    <w:rsid w:val="005062B4"/>
    <w:rsid w:val="00506447"/>
    <w:rsid w:val="00506DEA"/>
    <w:rsid w:val="00507A56"/>
    <w:rsid w:val="00507E14"/>
    <w:rsid w:val="00507E91"/>
    <w:rsid w:val="0051011A"/>
    <w:rsid w:val="00510650"/>
    <w:rsid w:val="00510A7A"/>
    <w:rsid w:val="00511191"/>
    <w:rsid w:val="00512977"/>
    <w:rsid w:val="00513310"/>
    <w:rsid w:val="005135FD"/>
    <w:rsid w:val="00513C07"/>
    <w:rsid w:val="00513CD3"/>
    <w:rsid w:val="00513D09"/>
    <w:rsid w:val="00514FFB"/>
    <w:rsid w:val="0051510E"/>
    <w:rsid w:val="005155DD"/>
    <w:rsid w:val="00515874"/>
    <w:rsid w:val="00515CB3"/>
    <w:rsid w:val="005163B5"/>
    <w:rsid w:val="00516DB7"/>
    <w:rsid w:val="00516EDF"/>
    <w:rsid w:val="00516FAF"/>
    <w:rsid w:val="005173FD"/>
    <w:rsid w:val="0051763B"/>
    <w:rsid w:val="00517991"/>
    <w:rsid w:val="005202F5"/>
    <w:rsid w:val="005203FC"/>
    <w:rsid w:val="00520409"/>
    <w:rsid w:val="00521A42"/>
    <w:rsid w:val="00521E31"/>
    <w:rsid w:val="00523973"/>
    <w:rsid w:val="00524188"/>
    <w:rsid w:val="00524853"/>
    <w:rsid w:val="00525BF0"/>
    <w:rsid w:val="00531054"/>
    <w:rsid w:val="0053117F"/>
    <w:rsid w:val="005311C3"/>
    <w:rsid w:val="005312EB"/>
    <w:rsid w:val="00531374"/>
    <w:rsid w:val="00531498"/>
    <w:rsid w:val="00531FC2"/>
    <w:rsid w:val="00533F0F"/>
    <w:rsid w:val="0053572F"/>
    <w:rsid w:val="005359E5"/>
    <w:rsid w:val="00535BEE"/>
    <w:rsid w:val="00535C56"/>
    <w:rsid w:val="005363EC"/>
    <w:rsid w:val="0053691E"/>
    <w:rsid w:val="00536A58"/>
    <w:rsid w:val="00536FAB"/>
    <w:rsid w:val="005377E7"/>
    <w:rsid w:val="00540376"/>
    <w:rsid w:val="00541030"/>
    <w:rsid w:val="0054125C"/>
    <w:rsid w:val="00541880"/>
    <w:rsid w:val="00541D91"/>
    <w:rsid w:val="00542414"/>
    <w:rsid w:val="00542BE1"/>
    <w:rsid w:val="0054475B"/>
    <w:rsid w:val="00544DCB"/>
    <w:rsid w:val="0054662E"/>
    <w:rsid w:val="005502BE"/>
    <w:rsid w:val="00551643"/>
    <w:rsid w:val="00551657"/>
    <w:rsid w:val="005519EB"/>
    <w:rsid w:val="00552E5F"/>
    <w:rsid w:val="00552FEB"/>
    <w:rsid w:val="00553BD9"/>
    <w:rsid w:val="005547C3"/>
    <w:rsid w:val="0055482A"/>
    <w:rsid w:val="00555318"/>
    <w:rsid w:val="0055541E"/>
    <w:rsid w:val="00556179"/>
    <w:rsid w:val="00556E0E"/>
    <w:rsid w:val="00556F7E"/>
    <w:rsid w:val="0055713A"/>
    <w:rsid w:val="00557D32"/>
    <w:rsid w:val="00560546"/>
    <w:rsid w:val="00560754"/>
    <w:rsid w:val="00561022"/>
    <w:rsid w:val="00561B42"/>
    <w:rsid w:val="0056255B"/>
    <w:rsid w:val="00562FA5"/>
    <w:rsid w:val="00563C18"/>
    <w:rsid w:val="00563D59"/>
    <w:rsid w:val="00564AEB"/>
    <w:rsid w:val="00565720"/>
    <w:rsid w:val="005659D4"/>
    <w:rsid w:val="0056608C"/>
    <w:rsid w:val="005665A8"/>
    <w:rsid w:val="005709BF"/>
    <w:rsid w:val="00571925"/>
    <w:rsid w:val="0057248C"/>
    <w:rsid w:val="00572FDF"/>
    <w:rsid w:val="005733E8"/>
    <w:rsid w:val="00573C41"/>
    <w:rsid w:val="0057413D"/>
    <w:rsid w:val="005748AA"/>
    <w:rsid w:val="00574956"/>
    <w:rsid w:val="0057531E"/>
    <w:rsid w:val="005761DC"/>
    <w:rsid w:val="0057727E"/>
    <w:rsid w:val="0057737D"/>
    <w:rsid w:val="0057740D"/>
    <w:rsid w:val="005775A4"/>
    <w:rsid w:val="005777E8"/>
    <w:rsid w:val="00580B84"/>
    <w:rsid w:val="00582FB2"/>
    <w:rsid w:val="00583CA5"/>
    <w:rsid w:val="00583CA6"/>
    <w:rsid w:val="0058450F"/>
    <w:rsid w:val="00584601"/>
    <w:rsid w:val="0058482D"/>
    <w:rsid w:val="00584965"/>
    <w:rsid w:val="00584DF5"/>
    <w:rsid w:val="00585323"/>
    <w:rsid w:val="00585646"/>
    <w:rsid w:val="00586D28"/>
    <w:rsid w:val="00586F55"/>
    <w:rsid w:val="00586F62"/>
    <w:rsid w:val="00587C87"/>
    <w:rsid w:val="00587E0C"/>
    <w:rsid w:val="005901DF"/>
    <w:rsid w:val="00590BCE"/>
    <w:rsid w:val="00591501"/>
    <w:rsid w:val="0059172E"/>
    <w:rsid w:val="00591A57"/>
    <w:rsid w:val="005920B3"/>
    <w:rsid w:val="00592B35"/>
    <w:rsid w:val="00595753"/>
    <w:rsid w:val="00595E29"/>
    <w:rsid w:val="0059627A"/>
    <w:rsid w:val="00596A0B"/>
    <w:rsid w:val="00596B3C"/>
    <w:rsid w:val="00596F81"/>
    <w:rsid w:val="005A05A7"/>
    <w:rsid w:val="005A095C"/>
    <w:rsid w:val="005A1454"/>
    <w:rsid w:val="005A1A59"/>
    <w:rsid w:val="005A1C2A"/>
    <w:rsid w:val="005A1C56"/>
    <w:rsid w:val="005A24D1"/>
    <w:rsid w:val="005A2605"/>
    <w:rsid w:val="005A26E2"/>
    <w:rsid w:val="005A28D4"/>
    <w:rsid w:val="005A3420"/>
    <w:rsid w:val="005A3AE9"/>
    <w:rsid w:val="005A4AF8"/>
    <w:rsid w:val="005A63CC"/>
    <w:rsid w:val="005A64F0"/>
    <w:rsid w:val="005A66AA"/>
    <w:rsid w:val="005A71BC"/>
    <w:rsid w:val="005A772D"/>
    <w:rsid w:val="005A77EC"/>
    <w:rsid w:val="005A7EF2"/>
    <w:rsid w:val="005B096D"/>
    <w:rsid w:val="005B26D3"/>
    <w:rsid w:val="005B4201"/>
    <w:rsid w:val="005B47EF"/>
    <w:rsid w:val="005B4DF0"/>
    <w:rsid w:val="005B4FD1"/>
    <w:rsid w:val="005B52C9"/>
    <w:rsid w:val="005B58CA"/>
    <w:rsid w:val="005B6A95"/>
    <w:rsid w:val="005B6D68"/>
    <w:rsid w:val="005B78D1"/>
    <w:rsid w:val="005B79F4"/>
    <w:rsid w:val="005B7B6A"/>
    <w:rsid w:val="005C0001"/>
    <w:rsid w:val="005C1194"/>
    <w:rsid w:val="005C1648"/>
    <w:rsid w:val="005C27AA"/>
    <w:rsid w:val="005C33DA"/>
    <w:rsid w:val="005C425E"/>
    <w:rsid w:val="005C4573"/>
    <w:rsid w:val="005C4BD7"/>
    <w:rsid w:val="005C4F26"/>
    <w:rsid w:val="005C502F"/>
    <w:rsid w:val="005C570A"/>
    <w:rsid w:val="005C5F97"/>
    <w:rsid w:val="005C6BAA"/>
    <w:rsid w:val="005C710F"/>
    <w:rsid w:val="005C76E2"/>
    <w:rsid w:val="005C7CC7"/>
    <w:rsid w:val="005D0162"/>
    <w:rsid w:val="005D02BD"/>
    <w:rsid w:val="005D0ACE"/>
    <w:rsid w:val="005D1514"/>
    <w:rsid w:val="005D1B2F"/>
    <w:rsid w:val="005D24C1"/>
    <w:rsid w:val="005D4020"/>
    <w:rsid w:val="005D58E7"/>
    <w:rsid w:val="005D6870"/>
    <w:rsid w:val="005D6F3D"/>
    <w:rsid w:val="005E07A1"/>
    <w:rsid w:val="005E0A17"/>
    <w:rsid w:val="005E132B"/>
    <w:rsid w:val="005E2A6E"/>
    <w:rsid w:val="005E361A"/>
    <w:rsid w:val="005E3AF9"/>
    <w:rsid w:val="005E3B42"/>
    <w:rsid w:val="005E4049"/>
    <w:rsid w:val="005E4315"/>
    <w:rsid w:val="005E43CC"/>
    <w:rsid w:val="005E4495"/>
    <w:rsid w:val="005E5B1B"/>
    <w:rsid w:val="005E5E68"/>
    <w:rsid w:val="005E6253"/>
    <w:rsid w:val="005E6710"/>
    <w:rsid w:val="005E6842"/>
    <w:rsid w:val="005E6BBE"/>
    <w:rsid w:val="005E7397"/>
    <w:rsid w:val="005E7917"/>
    <w:rsid w:val="005E7FE9"/>
    <w:rsid w:val="005F11DE"/>
    <w:rsid w:val="005F1580"/>
    <w:rsid w:val="005F182A"/>
    <w:rsid w:val="005F1F4B"/>
    <w:rsid w:val="005F3D74"/>
    <w:rsid w:val="005F3ED8"/>
    <w:rsid w:val="005F4238"/>
    <w:rsid w:val="005F53AB"/>
    <w:rsid w:val="005F5EBA"/>
    <w:rsid w:val="005F733B"/>
    <w:rsid w:val="005F7456"/>
    <w:rsid w:val="005F7E18"/>
    <w:rsid w:val="006001DE"/>
    <w:rsid w:val="006001E7"/>
    <w:rsid w:val="006002B8"/>
    <w:rsid w:val="006003DC"/>
    <w:rsid w:val="0060042E"/>
    <w:rsid w:val="00601A9A"/>
    <w:rsid w:val="00602BA6"/>
    <w:rsid w:val="00603008"/>
    <w:rsid w:val="006033D2"/>
    <w:rsid w:val="00603481"/>
    <w:rsid w:val="00603C34"/>
    <w:rsid w:val="006043EF"/>
    <w:rsid w:val="0060462C"/>
    <w:rsid w:val="00604731"/>
    <w:rsid w:val="00604BB3"/>
    <w:rsid w:val="00605426"/>
    <w:rsid w:val="00606B49"/>
    <w:rsid w:val="006071C4"/>
    <w:rsid w:val="00607573"/>
    <w:rsid w:val="006077F5"/>
    <w:rsid w:val="00607B95"/>
    <w:rsid w:val="0061149B"/>
    <w:rsid w:val="006119E2"/>
    <w:rsid w:val="00612057"/>
    <w:rsid w:val="00612942"/>
    <w:rsid w:val="00613EE3"/>
    <w:rsid w:val="00613F70"/>
    <w:rsid w:val="006140EF"/>
    <w:rsid w:val="006141E0"/>
    <w:rsid w:val="00614342"/>
    <w:rsid w:val="006148D9"/>
    <w:rsid w:val="00615395"/>
    <w:rsid w:val="00616399"/>
    <w:rsid w:val="00616481"/>
    <w:rsid w:val="00617655"/>
    <w:rsid w:val="006176A6"/>
    <w:rsid w:val="006178D8"/>
    <w:rsid w:val="00617E8E"/>
    <w:rsid w:val="00620C53"/>
    <w:rsid w:val="006211B5"/>
    <w:rsid w:val="00622513"/>
    <w:rsid w:val="006227EA"/>
    <w:rsid w:val="006235C4"/>
    <w:rsid w:val="006235E2"/>
    <w:rsid w:val="00624173"/>
    <w:rsid w:val="0062520A"/>
    <w:rsid w:val="00625463"/>
    <w:rsid w:val="00625791"/>
    <w:rsid w:val="0062748D"/>
    <w:rsid w:val="00627ACB"/>
    <w:rsid w:val="00630788"/>
    <w:rsid w:val="006316E2"/>
    <w:rsid w:val="00632EED"/>
    <w:rsid w:val="00633732"/>
    <w:rsid w:val="00633792"/>
    <w:rsid w:val="00633856"/>
    <w:rsid w:val="00633891"/>
    <w:rsid w:val="00634020"/>
    <w:rsid w:val="00637AC7"/>
    <w:rsid w:val="00640353"/>
    <w:rsid w:val="00640858"/>
    <w:rsid w:val="00640C97"/>
    <w:rsid w:val="00640EFA"/>
    <w:rsid w:val="006413A1"/>
    <w:rsid w:val="00641AD9"/>
    <w:rsid w:val="006424FB"/>
    <w:rsid w:val="00642516"/>
    <w:rsid w:val="00642B35"/>
    <w:rsid w:val="006441D2"/>
    <w:rsid w:val="00644673"/>
    <w:rsid w:val="00645052"/>
    <w:rsid w:val="006466A9"/>
    <w:rsid w:val="0065110D"/>
    <w:rsid w:val="00652B13"/>
    <w:rsid w:val="00653A8F"/>
    <w:rsid w:val="00655422"/>
    <w:rsid w:val="00655B49"/>
    <w:rsid w:val="00656595"/>
    <w:rsid w:val="00656B1A"/>
    <w:rsid w:val="00660671"/>
    <w:rsid w:val="00661089"/>
    <w:rsid w:val="00661289"/>
    <w:rsid w:val="0066274F"/>
    <w:rsid w:val="00662967"/>
    <w:rsid w:val="00662B14"/>
    <w:rsid w:val="00662E55"/>
    <w:rsid w:val="006639AD"/>
    <w:rsid w:val="00663CCD"/>
    <w:rsid w:val="00664093"/>
    <w:rsid w:val="006648F1"/>
    <w:rsid w:val="006649C7"/>
    <w:rsid w:val="0066581E"/>
    <w:rsid w:val="0066703D"/>
    <w:rsid w:val="00667C40"/>
    <w:rsid w:val="00667D81"/>
    <w:rsid w:val="00670232"/>
    <w:rsid w:val="00671046"/>
    <w:rsid w:val="0067233E"/>
    <w:rsid w:val="00672DA4"/>
    <w:rsid w:val="006736BF"/>
    <w:rsid w:val="0067456B"/>
    <w:rsid w:val="00674FF4"/>
    <w:rsid w:val="00675753"/>
    <w:rsid w:val="00675B58"/>
    <w:rsid w:val="00675FE2"/>
    <w:rsid w:val="00676F72"/>
    <w:rsid w:val="0067738F"/>
    <w:rsid w:val="006773E0"/>
    <w:rsid w:val="00677FE9"/>
    <w:rsid w:val="00680B98"/>
    <w:rsid w:val="006813C8"/>
    <w:rsid w:val="006817D6"/>
    <w:rsid w:val="00681D5C"/>
    <w:rsid w:val="00681D83"/>
    <w:rsid w:val="00681E3B"/>
    <w:rsid w:val="00682265"/>
    <w:rsid w:val="00682816"/>
    <w:rsid w:val="00682D83"/>
    <w:rsid w:val="00682DD1"/>
    <w:rsid w:val="00682FC6"/>
    <w:rsid w:val="00683F6D"/>
    <w:rsid w:val="00683FB7"/>
    <w:rsid w:val="00684BBE"/>
    <w:rsid w:val="006854C8"/>
    <w:rsid w:val="00685AF3"/>
    <w:rsid w:val="0068600E"/>
    <w:rsid w:val="006860D4"/>
    <w:rsid w:val="00687E53"/>
    <w:rsid w:val="006900C2"/>
    <w:rsid w:val="00690272"/>
    <w:rsid w:val="006906A1"/>
    <w:rsid w:val="006906C3"/>
    <w:rsid w:val="0069099D"/>
    <w:rsid w:val="00690AAD"/>
    <w:rsid w:val="006916BD"/>
    <w:rsid w:val="00691D43"/>
    <w:rsid w:val="006928EA"/>
    <w:rsid w:val="00693196"/>
    <w:rsid w:val="00694D88"/>
    <w:rsid w:val="00694E02"/>
    <w:rsid w:val="006959E5"/>
    <w:rsid w:val="00696A50"/>
    <w:rsid w:val="006A0C38"/>
    <w:rsid w:val="006A0F80"/>
    <w:rsid w:val="006A1830"/>
    <w:rsid w:val="006A2115"/>
    <w:rsid w:val="006A2206"/>
    <w:rsid w:val="006A27E1"/>
    <w:rsid w:val="006A3389"/>
    <w:rsid w:val="006A3721"/>
    <w:rsid w:val="006A3934"/>
    <w:rsid w:val="006A4CDA"/>
    <w:rsid w:val="006A55F1"/>
    <w:rsid w:val="006A5CAD"/>
    <w:rsid w:val="006A5EE1"/>
    <w:rsid w:val="006A623C"/>
    <w:rsid w:val="006A62D3"/>
    <w:rsid w:val="006A687C"/>
    <w:rsid w:val="006A7F1F"/>
    <w:rsid w:val="006B025C"/>
    <w:rsid w:val="006B13A8"/>
    <w:rsid w:val="006B26F8"/>
    <w:rsid w:val="006B2F39"/>
    <w:rsid w:val="006B30A9"/>
    <w:rsid w:val="006B3328"/>
    <w:rsid w:val="006B36E4"/>
    <w:rsid w:val="006B3DC3"/>
    <w:rsid w:val="006B3E91"/>
    <w:rsid w:val="006B4372"/>
    <w:rsid w:val="006B45A0"/>
    <w:rsid w:val="006B49AA"/>
    <w:rsid w:val="006B4D39"/>
    <w:rsid w:val="006B4FD7"/>
    <w:rsid w:val="006B5004"/>
    <w:rsid w:val="006B5CC9"/>
    <w:rsid w:val="006B7884"/>
    <w:rsid w:val="006B7D77"/>
    <w:rsid w:val="006B7F20"/>
    <w:rsid w:val="006B7F9E"/>
    <w:rsid w:val="006C0B88"/>
    <w:rsid w:val="006C1774"/>
    <w:rsid w:val="006C1B80"/>
    <w:rsid w:val="006C30A2"/>
    <w:rsid w:val="006C3990"/>
    <w:rsid w:val="006C3A1F"/>
    <w:rsid w:val="006C422A"/>
    <w:rsid w:val="006C49DF"/>
    <w:rsid w:val="006C4CB3"/>
    <w:rsid w:val="006C5504"/>
    <w:rsid w:val="006C6805"/>
    <w:rsid w:val="006C6E72"/>
    <w:rsid w:val="006C710A"/>
    <w:rsid w:val="006D01A8"/>
    <w:rsid w:val="006D04E9"/>
    <w:rsid w:val="006D05F9"/>
    <w:rsid w:val="006D0D9F"/>
    <w:rsid w:val="006D11E9"/>
    <w:rsid w:val="006D1322"/>
    <w:rsid w:val="006D15EF"/>
    <w:rsid w:val="006D2173"/>
    <w:rsid w:val="006D2AEA"/>
    <w:rsid w:val="006D304D"/>
    <w:rsid w:val="006D363B"/>
    <w:rsid w:val="006D3DC3"/>
    <w:rsid w:val="006D4E42"/>
    <w:rsid w:val="006D5106"/>
    <w:rsid w:val="006D5E4B"/>
    <w:rsid w:val="006D6FE8"/>
    <w:rsid w:val="006D70D7"/>
    <w:rsid w:val="006D7798"/>
    <w:rsid w:val="006E0C12"/>
    <w:rsid w:val="006E1482"/>
    <w:rsid w:val="006E1487"/>
    <w:rsid w:val="006E19B1"/>
    <w:rsid w:val="006E1ABE"/>
    <w:rsid w:val="006E1CB6"/>
    <w:rsid w:val="006E2634"/>
    <w:rsid w:val="006E27E5"/>
    <w:rsid w:val="006E3A43"/>
    <w:rsid w:val="006E3EE7"/>
    <w:rsid w:val="006E5176"/>
    <w:rsid w:val="006E52A3"/>
    <w:rsid w:val="006E66B3"/>
    <w:rsid w:val="006E6805"/>
    <w:rsid w:val="006E6CF2"/>
    <w:rsid w:val="006E7348"/>
    <w:rsid w:val="006E756D"/>
    <w:rsid w:val="006E7775"/>
    <w:rsid w:val="006F0BEA"/>
    <w:rsid w:val="006F15DD"/>
    <w:rsid w:val="006F1B28"/>
    <w:rsid w:val="006F1C72"/>
    <w:rsid w:val="006F292B"/>
    <w:rsid w:val="006F32B9"/>
    <w:rsid w:val="006F3F69"/>
    <w:rsid w:val="006F69F1"/>
    <w:rsid w:val="006F73E7"/>
    <w:rsid w:val="006F7E20"/>
    <w:rsid w:val="0070015D"/>
    <w:rsid w:val="00700360"/>
    <w:rsid w:val="0070156E"/>
    <w:rsid w:val="00701EF0"/>
    <w:rsid w:val="00702163"/>
    <w:rsid w:val="0070267E"/>
    <w:rsid w:val="007030FE"/>
    <w:rsid w:val="00703120"/>
    <w:rsid w:val="007039B1"/>
    <w:rsid w:val="00703B80"/>
    <w:rsid w:val="00704265"/>
    <w:rsid w:val="00705C6F"/>
    <w:rsid w:val="00706AFB"/>
    <w:rsid w:val="00706E32"/>
    <w:rsid w:val="00707150"/>
    <w:rsid w:val="00707541"/>
    <w:rsid w:val="00707717"/>
    <w:rsid w:val="0071099A"/>
    <w:rsid w:val="00710A06"/>
    <w:rsid w:val="00710C38"/>
    <w:rsid w:val="00711709"/>
    <w:rsid w:val="00711E72"/>
    <w:rsid w:val="007125F2"/>
    <w:rsid w:val="00712FE8"/>
    <w:rsid w:val="00713273"/>
    <w:rsid w:val="00713B51"/>
    <w:rsid w:val="0071478E"/>
    <w:rsid w:val="00714A81"/>
    <w:rsid w:val="00714B56"/>
    <w:rsid w:val="00714C88"/>
    <w:rsid w:val="00716207"/>
    <w:rsid w:val="00717463"/>
    <w:rsid w:val="00717879"/>
    <w:rsid w:val="00717B1B"/>
    <w:rsid w:val="0072060E"/>
    <w:rsid w:val="0072180A"/>
    <w:rsid w:val="0072237E"/>
    <w:rsid w:val="0072278F"/>
    <w:rsid w:val="00724DD3"/>
    <w:rsid w:val="00725D1E"/>
    <w:rsid w:val="007261C2"/>
    <w:rsid w:val="00726BCF"/>
    <w:rsid w:val="00726C12"/>
    <w:rsid w:val="00726D51"/>
    <w:rsid w:val="00730105"/>
    <w:rsid w:val="00730230"/>
    <w:rsid w:val="00731D8E"/>
    <w:rsid w:val="00731E14"/>
    <w:rsid w:val="00731EA7"/>
    <w:rsid w:val="007324C3"/>
    <w:rsid w:val="007328B6"/>
    <w:rsid w:val="00733628"/>
    <w:rsid w:val="00733F26"/>
    <w:rsid w:val="00734157"/>
    <w:rsid w:val="007353E5"/>
    <w:rsid w:val="00737328"/>
    <w:rsid w:val="0073776B"/>
    <w:rsid w:val="00741B28"/>
    <w:rsid w:val="00743168"/>
    <w:rsid w:val="00743404"/>
    <w:rsid w:val="0074378D"/>
    <w:rsid w:val="00744F5C"/>
    <w:rsid w:val="00744F5D"/>
    <w:rsid w:val="00745546"/>
    <w:rsid w:val="00745CA9"/>
    <w:rsid w:val="00745E59"/>
    <w:rsid w:val="007468E5"/>
    <w:rsid w:val="00747279"/>
    <w:rsid w:val="007510F3"/>
    <w:rsid w:val="007512D4"/>
    <w:rsid w:val="00751358"/>
    <w:rsid w:val="00751439"/>
    <w:rsid w:val="00751E29"/>
    <w:rsid w:val="0075236C"/>
    <w:rsid w:val="007529B8"/>
    <w:rsid w:val="00753E91"/>
    <w:rsid w:val="007546AF"/>
    <w:rsid w:val="0075473B"/>
    <w:rsid w:val="00755021"/>
    <w:rsid w:val="00755884"/>
    <w:rsid w:val="00756391"/>
    <w:rsid w:val="00756E96"/>
    <w:rsid w:val="00756ECC"/>
    <w:rsid w:val="00761BBA"/>
    <w:rsid w:val="007623DF"/>
    <w:rsid w:val="00762870"/>
    <w:rsid w:val="007631B7"/>
    <w:rsid w:val="0076325B"/>
    <w:rsid w:val="007638BA"/>
    <w:rsid w:val="00765934"/>
    <w:rsid w:val="00765F00"/>
    <w:rsid w:val="007673B1"/>
    <w:rsid w:val="007676A1"/>
    <w:rsid w:val="00767798"/>
    <w:rsid w:val="007701D3"/>
    <w:rsid w:val="007720CC"/>
    <w:rsid w:val="00772579"/>
    <w:rsid w:val="00772717"/>
    <w:rsid w:val="00772AD4"/>
    <w:rsid w:val="00772EF9"/>
    <w:rsid w:val="0077317B"/>
    <w:rsid w:val="007732C3"/>
    <w:rsid w:val="0077472B"/>
    <w:rsid w:val="00774BA4"/>
    <w:rsid w:val="00775327"/>
    <w:rsid w:val="00775D8C"/>
    <w:rsid w:val="00775F10"/>
    <w:rsid w:val="00777153"/>
    <w:rsid w:val="007811D2"/>
    <w:rsid w:val="00781ACD"/>
    <w:rsid w:val="00781CFA"/>
    <w:rsid w:val="00782407"/>
    <w:rsid w:val="00782527"/>
    <w:rsid w:val="0078254F"/>
    <w:rsid w:val="00782AEB"/>
    <w:rsid w:val="00783031"/>
    <w:rsid w:val="007833AF"/>
    <w:rsid w:val="007833DE"/>
    <w:rsid w:val="007833EC"/>
    <w:rsid w:val="00783402"/>
    <w:rsid w:val="0078416A"/>
    <w:rsid w:val="007846FF"/>
    <w:rsid w:val="00784BB2"/>
    <w:rsid w:val="0078516D"/>
    <w:rsid w:val="00786471"/>
    <w:rsid w:val="007867A1"/>
    <w:rsid w:val="007905A0"/>
    <w:rsid w:val="007908B3"/>
    <w:rsid w:val="00791682"/>
    <w:rsid w:val="0079205E"/>
    <w:rsid w:val="0079278B"/>
    <w:rsid w:val="0079341E"/>
    <w:rsid w:val="007941DC"/>
    <w:rsid w:val="0079490B"/>
    <w:rsid w:val="0079648F"/>
    <w:rsid w:val="00796DAA"/>
    <w:rsid w:val="0079755E"/>
    <w:rsid w:val="0079765B"/>
    <w:rsid w:val="00797EDB"/>
    <w:rsid w:val="007A0DD7"/>
    <w:rsid w:val="007A1213"/>
    <w:rsid w:val="007A14CF"/>
    <w:rsid w:val="007A1862"/>
    <w:rsid w:val="007A1AF5"/>
    <w:rsid w:val="007A1E64"/>
    <w:rsid w:val="007A2978"/>
    <w:rsid w:val="007A3FD4"/>
    <w:rsid w:val="007A4B4B"/>
    <w:rsid w:val="007A4D7E"/>
    <w:rsid w:val="007A537B"/>
    <w:rsid w:val="007A5C28"/>
    <w:rsid w:val="007A6741"/>
    <w:rsid w:val="007A6B28"/>
    <w:rsid w:val="007A708F"/>
    <w:rsid w:val="007B005B"/>
    <w:rsid w:val="007B043C"/>
    <w:rsid w:val="007B0B8F"/>
    <w:rsid w:val="007B2D48"/>
    <w:rsid w:val="007B315E"/>
    <w:rsid w:val="007B37B2"/>
    <w:rsid w:val="007B3CC1"/>
    <w:rsid w:val="007B4610"/>
    <w:rsid w:val="007B4C12"/>
    <w:rsid w:val="007B4C2A"/>
    <w:rsid w:val="007B57CB"/>
    <w:rsid w:val="007B6062"/>
    <w:rsid w:val="007B620C"/>
    <w:rsid w:val="007B6AD8"/>
    <w:rsid w:val="007B7A1E"/>
    <w:rsid w:val="007B7D14"/>
    <w:rsid w:val="007B7FF9"/>
    <w:rsid w:val="007C0120"/>
    <w:rsid w:val="007C051A"/>
    <w:rsid w:val="007C1835"/>
    <w:rsid w:val="007C1F6B"/>
    <w:rsid w:val="007C256D"/>
    <w:rsid w:val="007C3C0C"/>
    <w:rsid w:val="007C3E19"/>
    <w:rsid w:val="007C4AEB"/>
    <w:rsid w:val="007C53BF"/>
    <w:rsid w:val="007C553D"/>
    <w:rsid w:val="007C7273"/>
    <w:rsid w:val="007D0452"/>
    <w:rsid w:val="007D0DE0"/>
    <w:rsid w:val="007D289F"/>
    <w:rsid w:val="007D2D33"/>
    <w:rsid w:val="007D3D6C"/>
    <w:rsid w:val="007D3ECF"/>
    <w:rsid w:val="007D42BD"/>
    <w:rsid w:val="007D43AE"/>
    <w:rsid w:val="007D5B13"/>
    <w:rsid w:val="007D67A1"/>
    <w:rsid w:val="007D7523"/>
    <w:rsid w:val="007D7906"/>
    <w:rsid w:val="007D7AFC"/>
    <w:rsid w:val="007D7C44"/>
    <w:rsid w:val="007D7EDA"/>
    <w:rsid w:val="007E0A92"/>
    <w:rsid w:val="007E12C3"/>
    <w:rsid w:val="007E1868"/>
    <w:rsid w:val="007E202B"/>
    <w:rsid w:val="007E2147"/>
    <w:rsid w:val="007E25AF"/>
    <w:rsid w:val="007E2A64"/>
    <w:rsid w:val="007E2D02"/>
    <w:rsid w:val="007E2F48"/>
    <w:rsid w:val="007E336C"/>
    <w:rsid w:val="007E3564"/>
    <w:rsid w:val="007E373C"/>
    <w:rsid w:val="007E376C"/>
    <w:rsid w:val="007E3C8D"/>
    <w:rsid w:val="007E3E9F"/>
    <w:rsid w:val="007E4162"/>
    <w:rsid w:val="007E5C68"/>
    <w:rsid w:val="007E7290"/>
    <w:rsid w:val="007E7F1F"/>
    <w:rsid w:val="007F0F58"/>
    <w:rsid w:val="007F0F9D"/>
    <w:rsid w:val="007F18C9"/>
    <w:rsid w:val="007F28BC"/>
    <w:rsid w:val="007F36F9"/>
    <w:rsid w:val="007F3EC0"/>
    <w:rsid w:val="007F417F"/>
    <w:rsid w:val="007F606A"/>
    <w:rsid w:val="007F6A15"/>
    <w:rsid w:val="007F76CB"/>
    <w:rsid w:val="007F7798"/>
    <w:rsid w:val="007F7BD3"/>
    <w:rsid w:val="0080067F"/>
    <w:rsid w:val="0080071F"/>
    <w:rsid w:val="00800742"/>
    <w:rsid w:val="00800B69"/>
    <w:rsid w:val="00801E55"/>
    <w:rsid w:val="00801F22"/>
    <w:rsid w:val="008028D6"/>
    <w:rsid w:val="00802B2B"/>
    <w:rsid w:val="00802FBC"/>
    <w:rsid w:val="00802FFE"/>
    <w:rsid w:val="00803023"/>
    <w:rsid w:val="00803186"/>
    <w:rsid w:val="0080388A"/>
    <w:rsid w:val="00804204"/>
    <w:rsid w:val="00804E91"/>
    <w:rsid w:val="008051B6"/>
    <w:rsid w:val="008062E5"/>
    <w:rsid w:val="008064B7"/>
    <w:rsid w:val="00806DFD"/>
    <w:rsid w:val="0080754E"/>
    <w:rsid w:val="008109FB"/>
    <w:rsid w:val="00810C72"/>
    <w:rsid w:val="00811E46"/>
    <w:rsid w:val="0081248F"/>
    <w:rsid w:val="00813AE4"/>
    <w:rsid w:val="00813D05"/>
    <w:rsid w:val="008147D7"/>
    <w:rsid w:val="008167B2"/>
    <w:rsid w:val="00816CF2"/>
    <w:rsid w:val="00817B2B"/>
    <w:rsid w:val="00820085"/>
    <w:rsid w:val="0082257D"/>
    <w:rsid w:val="00822DE5"/>
    <w:rsid w:val="00823474"/>
    <w:rsid w:val="00824606"/>
    <w:rsid w:val="00824C27"/>
    <w:rsid w:val="00824FB1"/>
    <w:rsid w:val="00825F5E"/>
    <w:rsid w:val="00826B80"/>
    <w:rsid w:val="00827461"/>
    <w:rsid w:val="008276DB"/>
    <w:rsid w:val="00827986"/>
    <w:rsid w:val="008314E4"/>
    <w:rsid w:val="008318E5"/>
    <w:rsid w:val="00831C1D"/>
    <w:rsid w:val="00831D1C"/>
    <w:rsid w:val="00831F4C"/>
    <w:rsid w:val="00833346"/>
    <w:rsid w:val="00833E74"/>
    <w:rsid w:val="00834446"/>
    <w:rsid w:val="008348C2"/>
    <w:rsid w:val="00834BC2"/>
    <w:rsid w:val="00834EAD"/>
    <w:rsid w:val="008355B5"/>
    <w:rsid w:val="00835688"/>
    <w:rsid w:val="00835917"/>
    <w:rsid w:val="00835D4E"/>
    <w:rsid w:val="0083603D"/>
    <w:rsid w:val="008370E4"/>
    <w:rsid w:val="00837E1B"/>
    <w:rsid w:val="00837E7B"/>
    <w:rsid w:val="008406E0"/>
    <w:rsid w:val="008412FE"/>
    <w:rsid w:val="00841E76"/>
    <w:rsid w:val="00841F53"/>
    <w:rsid w:val="00842CE7"/>
    <w:rsid w:val="00843559"/>
    <w:rsid w:val="0084425D"/>
    <w:rsid w:val="0084458F"/>
    <w:rsid w:val="0084609A"/>
    <w:rsid w:val="008469A4"/>
    <w:rsid w:val="00846A09"/>
    <w:rsid w:val="00847218"/>
    <w:rsid w:val="00847766"/>
    <w:rsid w:val="008509C3"/>
    <w:rsid w:val="00850A8F"/>
    <w:rsid w:val="00850C2A"/>
    <w:rsid w:val="00850F0B"/>
    <w:rsid w:val="00851E26"/>
    <w:rsid w:val="00852925"/>
    <w:rsid w:val="00852F1B"/>
    <w:rsid w:val="008536CD"/>
    <w:rsid w:val="00853CFF"/>
    <w:rsid w:val="00854FC6"/>
    <w:rsid w:val="00855984"/>
    <w:rsid w:val="0085678D"/>
    <w:rsid w:val="008578D1"/>
    <w:rsid w:val="00860034"/>
    <w:rsid w:val="00860945"/>
    <w:rsid w:val="00860B41"/>
    <w:rsid w:val="00860EA5"/>
    <w:rsid w:val="00860EB4"/>
    <w:rsid w:val="00861026"/>
    <w:rsid w:val="00861992"/>
    <w:rsid w:val="00861CC0"/>
    <w:rsid w:val="008628CB"/>
    <w:rsid w:val="00862D70"/>
    <w:rsid w:val="00862DBC"/>
    <w:rsid w:val="0086302E"/>
    <w:rsid w:val="00865263"/>
    <w:rsid w:val="0086690E"/>
    <w:rsid w:val="00866D83"/>
    <w:rsid w:val="00866F58"/>
    <w:rsid w:val="00867C36"/>
    <w:rsid w:val="00870695"/>
    <w:rsid w:val="0087081A"/>
    <w:rsid w:val="0087111F"/>
    <w:rsid w:val="00871168"/>
    <w:rsid w:val="008717BD"/>
    <w:rsid w:val="00871C84"/>
    <w:rsid w:val="00872A77"/>
    <w:rsid w:val="00872EE7"/>
    <w:rsid w:val="00874E38"/>
    <w:rsid w:val="00874FC6"/>
    <w:rsid w:val="00875704"/>
    <w:rsid w:val="0087665A"/>
    <w:rsid w:val="0087783C"/>
    <w:rsid w:val="00877E97"/>
    <w:rsid w:val="008803B5"/>
    <w:rsid w:val="008806BE"/>
    <w:rsid w:val="00880AC9"/>
    <w:rsid w:val="00880E9E"/>
    <w:rsid w:val="0088104D"/>
    <w:rsid w:val="00881272"/>
    <w:rsid w:val="00881362"/>
    <w:rsid w:val="008813C3"/>
    <w:rsid w:val="00881F24"/>
    <w:rsid w:val="00882106"/>
    <w:rsid w:val="0088224D"/>
    <w:rsid w:val="008825C5"/>
    <w:rsid w:val="00882A0B"/>
    <w:rsid w:val="0088314D"/>
    <w:rsid w:val="00883210"/>
    <w:rsid w:val="00883371"/>
    <w:rsid w:val="00883AC6"/>
    <w:rsid w:val="00884682"/>
    <w:rsid w:val="00884731"/>
    <w:rsid w:val="00884F58"/>
    <w:rsid w:val="008850CA"/>
    <w:rsid w:val="008856C6"/>
    <w:rsid w:val="00885904"/>
    <w:rsid w:val="00885A7E"/>
    <w:rsid w:val="00885ABB"/>
    <w:rsid w:val="00885CF4"/>
    <w:rsid w:val="00885E34"/>
    <w:rsid w:val="00886213"/>
    <w:rsid w:val="0088622A"/>
    <w:rsid w:val="00886F1A"/>
    <w:rsid w:val="00887309"/>
    <w:rsid w:val="0089058C"/>
    <w:rsid w:val="00890C49"/>
    <w:rsid w:val="00892106"/>
    <w:rsid w:val="00892441"/>
    <w:rsid w:val="008929F9"/>
    <w:rsid w:val="00892B5D"/>
    <w:rsid w:val="00892D08"/>
    <w:rsid w:val="00893791"/>
    <w:rsid w:val="00893E1C"/>
    <w:rsid w:val="00894619"/>
    <w:rsid w:val="00895313"/>
    <w:rsid w:val="008956A6"/>
    <w:rsid w:val="008959E0"/>
    <w:rsid w:val="00895C64"/>
    <w:rsid w:val="00896327"/>
    <w:rsid w:val="008965D7"/>
    <w:rsid w:val="0089791A"/>
    <w:rsid w:val="00897981"/>
    <w:rsid w:val="00897C15"/>
    <w:rsid w:val="008A0665"/>
    <w:rsid w:val="008A19B3"/>
    <w:rsid w:val="008A1A24"/>
    <w:rsid w:val="008A1FC2"/>
    <w:rsid w:val="008A2416"/>
    <w:rsid w:val="008A2784"/>
    <w:rsid w:val="008A2F20"/>
    <w:rsid w:val="008A4842"/>
    <w:rsid w:val="008A562E"/>
    <w:rsid w:val="008A57AF"/>
    <w:rsid w:val="008A57E9"/>
    <w:rsid w:val="008A61A1"/>
    <w:rsid w:val="008A6299"/>
    <w:rsid w:val="008A682B"/>
    <w:rsid w:val="008A6DE4"/>
    <w:rsid w:val="008A71FE"/>
    <w:rsid w:val="008A73C5"/>
    <w:rsid w:val="008A7D55"/>
    <w:rsid w:val="008B089F"/>
    <w:rsid w:val="008B152B"/>
    <w:rsid w:val="008B185A"/>
    <w:rsid w:val="008B2814"/>
    <w:rsid w:val="008B3947"/>
    <w:rsid w:val="008B39E5"/>
    <w:rsid w:val="008B3A92"/>
    <w:rsid w:val="008B4102"/>
    <w:rsid w:val="008B4CD9"/>
    <w:rsid w:val="008B4D50"/>
    <w:rsid w:val="008B4F49"/>
    <w:rsid w:val="008B50D3"/>
    <w:rsid w:val="008B5276"/>
    <w:rsid w:val="008B6303"/>
    <w:rsid w:val="008B6724"/>
    <w:rsid w:val="008C0666"/>
    <w:rsid w:val="008C38FC"/>
    <w:rsid w:val="008C3EBD"/>
    <w:rsid w:val="008C50FF"/>
    <w:rsid w:val="008C564A"/>
    <w:rsid w:val="008C6A5A"/>
    <w:rsid w:val="008C6A98"/>
    <w:rsid w:val="008C7681"/>
    <w:rsid w:val="008C77F0"/>
    <w:rsid w:val="008C7B4A"/>
    <w:rsid w:val="008D1BA9"/>
    <w:rsid w:val="008D2897"/>
    <w:rsid w:val="008D2954"/>
    <w:rsid w:val="008D307E"/>
    <w:rsid w:val="008D366F"/>
    <w:rsid w:val="008D3E6B"/>
    <w:rsid w:val="008D43AD"/>
    <w:rsid w:val="008D4F3B"/>
    <w:rsid w:val="008D583A"/>
    <w:rsid w:val="008D6082"/>
    <w:rsid w:val="008D7332"/>
    <w:rsid w:val="008D7A09"/>
    <w:rsid w:val="008D7DDE"/>
    <w:rsid w:val="008E0160"/>
    <w:rsid w:val="008E0247"/>
    <w:rsid w:val="008E03F0"/>
    <w:rsid w:val="008E0973"/>
    <w:rsid w:val="008E09DD"/>
    <w:rsid w:val="008E1426"/>
    <w:rsid w:val="008E189B"/>
    <w:rsid w:val="008E1F99"/>
    <w:rsid w:val="008E228A"/>
    <w:rsid w:val="008E3324"/>
    <w:rsid w:val="008E569E"/>
    <w:rsid w:val="008E59F5"/>
    <w:rsid w:val="008E5A6D"/>
    <w:rsid w:val="008E6078"/>
    <w:rsid w:val="008E69D1"/>
    <w:rsid w:val="008E770D"/>
    <w:rsid w:val="008F1835"/>
    <w:rsid w:val="008F1C5A"/>
    <w:rsid w:val="008F2186"/>
    <w:rsid w:val="008F222C"/>
    <w:rsid w:val="008F32DF"/>
    <w:rsid w:val="008F419B"/>
    <w:rsid w:val="008F4C95"/>
    <w:rsid w:val="008F4D20"/>
    <w:rsid w:val="008F5696"/>
    <w:rsid w:val="008F59F2"/>
    <w:rsid w:val="008F64A8"/>
    <w:rsid w:val="008F660A"/>
    <w:rsid w:val="008F7374"/>
    <w:rsid w:val="009006B7"/>
    <w:rsid w:val="00900BD9"/>
    <w:rsid w:val="00900C09"/>
    <w:rsid w:val="00900F61"/>
    <w:rsid w:val="00900FCE"/>
    <w:rsid w:val="00902FFA"/>
    <w:rsid w:val="00903088"/>
    <w:rsid w:val="00903444"/>
    <w:rsid w:val="00903D6A"/>
    <w:rsid w:val="00904226"/>
    <w:rsid w:val="00905119"/>
    <w:rsid w:val="00905346"/>
    <w:rsid w:val="00905449"/>
    <w:rsid w:val="009056D4"/>
    <w:rsid w:val="00905E17"/>
    <w:rsid w:val="009063D5"/>
    <w:rsid w:val="00907E96"/>
    <w:rsid w:val="00910F2F"/>
    <w:rsid w:val="0091126C"/>
    <w:rsid w:val="009119FF"/>
    <w:rsid w:val="00911C1E"/>
    <w:rsid w:val="009125FE"/>
    <w:rsid w:val="00914AEB"/>
    <w:rsid w:val="00914E9B"/>
    <w:rsid w:val="00915782"/>
    <w:rsid w:val="00915A30"/>
    <w:rsid w:val="009167E5"/>
    <w:rsid w:val="00916D14"/>
    <w:rsid w:val="00917470"/>
    <w:rsid w:val="00917699"/>
    <w:rsid w:val="00917B20"/>
    <w:rsid w:val="00917D3F"/>
    <w:rsid w:val="009213C2"/>
    <w:rsid w:val="009214F0"/>
    <w:rsid w:val="0092166A"/>
    <w:rsid w:val="009219F2"/>
    <w:rsid w:val="00921D3C"/>
    <w:rsid w:val="009220FC"/>
    <w:rsid w:val="0092223F"/>
    <w:rsid w:val="00922991"/>
    <w:rsid w:val="009229BF"/>
    <w:rsid w:val="009229D1"/>
    <w:rsid w:val="00922C56"/>
    <w:rsid w:val="009234B3"/>
    <w:rsid w:val="00923A84"/>
    <w:rsid w:val="009242BF"/>
    <w:rsid w:val="009247BB"/>
    <w:rsid w:val="009255FD"/>
    <w:rsid w:val="00925877"/>
    <w:rsid w:val="00925D8A"/>
    <w:rsid w:val="00925E7D"/>
    <w:rsid w:val="00925F08"/>
    <w:rsid w:val="009264EF"/>
    <w:rsid w:val="0092678B"/>
    <w:rsid w:val="00926830"/>
    <w:rsid w:val="00927578"/>
    <w:rsid w:val="0093155B"/>
    <w:rsid w:val="009320C1"/>
    <w:rsid w:val="00932D68"/>
    <w:rsid w:val="00933736"/>
    <w:rsid w:val="00933C9E"/>
    <w:rsid w:val="0093412C"/>
    <w:rsid w:val="00935B99"/>
    <w:rsid w:val="0093605F"/>
    <w:rsid w:val="00936BAD"/>
    <w:rsid w:val="00936BF6"/>
    <w:rsid w:val="009373DC"/>
    <w:rsid w:val="00937764"/>
    <w:rsid w:val="00937D47"/>
    <w:rsid w:val="00940A03"/>
    <w:rsid w:val="00941B6E"/>
    <w:rsid w:val="00942135"/>
    <w:rsid w:val="00942288"/>
    <w:rsid w:val="00942474"/>
    <w:rsid w:val="00942CBA"/>
    <w:rsid w:val="00942F39"/>
    <w:rsid w:val="00943195"/>
    <w:rsid w:val="00943C74"/>
    <w:rsid w:val="00944A39"/>
    <w:rsid w:val="00944DD9"/>
    <w:rsid w:val="00944E4A"/>
    <w:rsid w:val="00945068"/>
    <w:rsid w:val="009457D1"/>
    <w:rsid w:val="009460AB"/>
    <w:rsid w:val="00946AD1"/>
    <w:rsid w:val="009479FF"/>
    <w:rsid w:val="009510B7"/>
    <w:rsid w:val="0095118A"/>
    <w:rsid w:val="00951590"/>
    <w:rsid w:val="00951634"/>
    <w:rsid w:val="00951B25"/>
    <w:rsid w:val="00951CA8"/>
    <w:rsid w:val="0095260F"/>
    <w:rsid w:val="00952C62"/>
    <w:rsid w:val="009536D8"/>
    <w:rsid w:val="00953971"/>
    <w:rsid w:val="0095397C"/>
    <w:rsid w:val="009545AA"/>
    <w:rsid w:val="00954DB1"/>
    <w:rsid w:val="00955009"/>
    <w:rsid w:val="009553BC"/>
    <w:rsid w:val="009562CC"/>
    <w:rsid w:val="00960018"/>
    <w:rsid w:val="00960413"/>
    <w:rsid w:val="00960608"/>
    <w:rsid w:val="00962614"/>
    <w:rsid w:val="009645E0"/>
    <w:rsid w:val="00964C90"/>
    <w:rsid w:val="00965005"/>
    <w:rsid w:val="00967E5F"/>
    <w:rsid w:val="009713AF"/>
    <w:rsid w:val="00971819"/>
    <w:rsid w:val="0097268E"/>
    <w:rsid w:val="00972AC6"/>
    <w:rsid w:val="009737E4"/>
    <w:rsid w:val="009738F5"/>
    <w:rsid w:val="0097390C"/>
    <w:rsid w:val="00974060"/>
    <w:rsid w:val="00974613"/>
    <w:rsid w:val="009755F4"/>
    <w:rsid w:val="009770C8"/>
    <w:rsid w:val="00980256"/>
    <w:rsid w:val="00981419"/>
    <w:rsid w:val="00981A20"/>
    <w:rsid w:val="0098211A"/>
    <w:rsid w:val="0098255E"/>
    <w:rsid w:val="0098272E"/>
    <w:rsid w:val="00982E82"/>
    <w:rsid w:val="009833F0"/>
    <w:rsid w:val="009839B6"/>
    <w:rsid w:val="00983B74"/>
    <w:rsid w:val="00983FA5"/>
    <w:rsid w:val="0098652A"/>
    <w:rsid w:val="009869A0"/>
    <w:rsid w:val="00986ACA"/>
    <w:rsid w:val="0098733E"/>
    <w:rsid w:val="00990145"/>
    <w:rsid w:val="00990263"/>
    <w:rsid w:val="0099058D"/>
    <w:rsid w:val="0099093C"/>
    <w:rsid w:val="00991599"/>
    <w:rsid w:val="00991CA6"/>
    <w:rsid w:val="009922E5"/>
    <w:rsid w:val="00993598"/>
    <w:rsid w:val="00993680"/>
    <w:rsid w:val="00994C65"/>
    <w:rsid w:val="00994EC4"/>
    <w:rsid w:val="0099556A"/>
    <w:rsid w:val="00995F9A"/>
    <w:rsid w:val="00997307"/>
    <w:rsid w:val="00997A17"/>
    <w:rsid w:val="00997CA0"/>
    <w:rsid w:val="009A0034"/>
    <w:rsid w:val="009A0E56"/>
    <w:rsid w:val="009A1168"/>
    <w:rsid w:val="009A14B6"/>
    <w:rsid w:val="009A1830"/>
    <w:rsid w:val="009A26DE"/>
    <w:rsid w:val="009A36E7"/>
    <w:rsid w:val="009A4CCC"/>
    <w:rsid w:val="009A54C1"/>
    <w:rsid w:val="009A5798"/>
    <w:rsid w:val="009A6F51"/>
    <w:rsid w:val="009A75ED"/>
    <w:rsid w:val="009B0485"/>
    <w:rsid w:val="009B0914"/>
    <w:rsid w:val="009B0B38"/>
    <w:rsid w:val="009B0BAF"/>
    <w:rsid w:val="009B11AB"/>
    <w:rsid w:val="009B13D4"/>
    <w:rsid w:val="009B13F5"/>
    <w:rsid w:val="009B1980"/>
    <w:rsid w:val="009B2E99"/>
    <w:rsid w:val="009B30A1"/>
    <w:rsid w:val="009B30D3"/>
    <w:rsid w:val="009B32DF"/>
    <w:rsid w:val="009B47C8"/>
    <w:rsid w:val="009B595A"/>
    <w:rsid w:val="009B7F81"/>
    <w:rsid w:val="009C0692"/>
    <w:rsid w:val="009C0703"/>
    <w:rsid w:val="009C10AD"/>
    <w:rsid w:val="009C18B3"/>
    <w:rsid w:val="009C37CF"/>
    <w:rsid w:val="009C45AA"/>
    <w:rsid w:val="009C5336"/>
    <w:rsid w:val="009C5B7A"/>
    <w:rsid w:val="009C6229"/>
    <w:rsid w:val="009C6829"/>
    <w:rsid w:val="009C6C43"/>
    <w:rsid w:val="009C71EB"/>
    <w:rsid w:val="009D00F1"/>
    <w:rsid w:val="009D0A30"/>
    <w:rsid w:val="009D1290"/>
    <w:rsid w:val="009D1599"/>
    <w:rsid w:val="009D322B"/>
    <w:rsid w:val="009D4823"/>
    <w:rsid w:val="009D4AF8"/>
    <w:rsid w:val="009D64F6"/>
    <w:rsid w:val="009D6511"/>
    <w:rsid w:val="009D6BCE"/>
    <w:rsid w:val="009D6F86"/>
    <w:rsid w:val="009D7743"/>
    <w:rsid w:val="009E0427"/>
    <w:rsid w:val="009E0F60"/>
    <w:rsid w:val="009E1C3D"/>
    <w:rsid w:val="009E1F61"/>
    <w:rsid w:val="009E23DD"/>
    <w:rsid w:val="009E3DF6"/>
    <w:rsid w:val="009E4827"/>
    <w:rsid w:val="009E4B94"/>
    <w:rsid w:val="009E5305"/>
    <w:rsid w:val="009E5668"/>
    <w:rsid w:val="009E5B16"/>
    <w:rsid w:val="009E7A6B"/>
    <w:rsid w:val="009E7CB7"/>
    <w:rsid w:val="009F0A68"/>
    <w:rsid w:val="009F0E65"/>
    <w:rsid w:val="009F1B1C"/>
    <w:rsid w:val="009F2498"/>
    <w:rsid w:val="009F31D6"/>
    <w:rsid w:val="009F367A"/>
    <w:rsid w:val="009F3C89"/>
    <w:rsid w:val="009F51F9"/>
    <w:rsid w:val="009F5A24"/>
    <w:rsid w:val="009F6465"/>
    <w:rsid w:val="009F68C7"/>
    <w:rsid w:val="009F6B13"/>
    <w:rsid w:val="009F7669"/>
    <w:rsid w:val="009F7B37"/>
    <w:rsid w:val="009F7D28"/>
    <w:rsid w:val="009F7EC5"/>
    <w:rsid w:val="00A00253"/>
    <w:rsid w:val="00A006B0"/>
    <w:rsid w:val="00A00AAC"/>
    <w:rsid w:val="00A00B7C"/>
    <w:rsid w:val="00A00C9F"/>
    <w:rsid w:val="00A01090"/>
    <w:rsid w:val="00A01DBC"/>
    <w:rsid w:val="00A0320D"/>
    <w:rsid w:val="00A03D32"/>
    <w:rsid w:val="00A04966"/>
    <w:rsid w:val="00A05058"/>
    <w:rsid w:val="00A05205"/>
    <w:rsid w:val="00A05EDA"/>
    <w:rsid w:val="00A064AB"/>
    <w:rsid w:val="00A06682"/>
    <w:rsid w:val="00A06C6F"/>
    <w:rsid w:val="00A07350"/>
    <w:rsid w:val="00A10400"/>
    <w:rsid w:val="00A10DF1"/>
    <w:rsid w:val="00A1121C"/>
    <w:rsid w:val="00A11705"/>
    <w:rsid w:val="00A142A0"/>
    <w:rsid w:val="00A14947"/>
    <w:rsid w:val="00A149F3"/>
    <w:rsid w:val="00A15BF7"/>
    <w:rsid w:val="00A16D08"/>
    <w:rsid w:val="00A1772A"/>
    <w:rsid w:val="00A17E87"/>
    <w:rsid w:val="00A200EE"/>
    <w:rsid w:val="00A20378"/>
    <w:rsid w:val="00A21290"/>
    <w:rsid w:val="00A2212F"/>
    <w:rsid w:val="00A23D9F"/>
    <w:rsid w:val="00A2433D"/>
    <w:rsid w:val="00A25A5A"/>
    <w:rsid w:val="00A25D7E"/>
    <w:rsid w:val="00A25EB6"/>
    <w:rsid w:val="00A25F62"/>
    <w:rsid w:val="00A26344"/>
    <w:rsid w:val="00A2682B"/>
    <w:rsid w:val="00A27F99"/>
    <w:rsid w:val="00A30346"/>
    <w:rsid w:val="00A3111D"/>
    <w:rsid w:val="00A3215F"/>
    <w:rsid w:val="00A324A1"/>
    <w:rsid w:val="00A353C9"/>
    <w:rsid w:val="00A353DD"/>
    <w:rsid w:val="00A35ADF"/>
    <w:rsid w:val="00A364DA"/>
    <w:rsid w:val="00A365C2"/>
    <w:rsid w:val="00A365D8"/>
    <w:rsid w:val="00A36F6F"/>
    <w:rsid w:val="00A37085"/>
    <w:rsid w:val="00A37554"/>
    <w:rsid w:val="00A375A9"/>
    <w:rsid w:val="00A37B3E"/>
    <w:rsid w:val="00A400EF"/>
    <w:rsid w:val="00A40389"/>
    <w:rsid w:val="00A42803"/>
    <w:rsid w:val="00A44784"/>
    <w:rsid w:val="00A44F36"/>
    <w:rsid w:val="00A45177"/>
    <w:rsid w:val="00A4585B"/>
    <w:rsid w:val="00A46A47"/>
    <w:rsid w:val="00A470E8"/>
    <w:rsid w:val="00A47D8F"/>
    <w:rsid w:val="00A47FBC"/>
    <w:rsid w:val="00A50C6D"/>
    <w:rsid w:val="00A522FB"/>
    <w:rsid w:val="00A5320D"/>
    <w:rsid w:val="00A54A1F"/>
    <w:rsid w:val="00A54AAF"/>
    <w:rsid w:val="00A54FE2"/>
    <w:rsid w:val="00A550F1"/>
    <w:rsid w:val="00A55C16"/>
    <w:rsid w:val="00A56030"/>
    <w:rsid w:val="00A56306"/>
    <w:rsid w:val="00A56C58"/>
    <w:rsid w:val="00A57C2E"/>
    <w:rsid w:val="00A57F9B"/>
    <w:rsid w:val="00A60A7D"/>
    <w:rsid w:val="00A61248"/>
    <w:rsid w:val="00A63851"/>
    <w:rsid w:val="00A64B1D"/>
    <w:rsid w:val="00A659D3"/>
    <w:rsid w:val="00A66420"/>
    <w:rsid w:val="00A66C30"/>
    <w:rsid w:val="00A66EED"/>
    <w:rsid w:val="00A6736E"/>
    <w:rsid w:val="00A67BB6"/>
    <w:rsid w:val="00A70D16"/>
    <w:rsid w:val="00A70F73"/>
    <w:rsid w:val="00A7134F"/>
    <w:rsid w:val="00A71644"/>
    <w:rsid w:val="00A71FED"/>
    <w:rsid w:val="00A725DD"/>
    <w:rsid w:val="00A7323A"/>
    <w:rsid w:val="00A73350"/>
    <w:rsid w:val="00A73D5E"/>
    <w:rsid w:val="00A7439F"/>
    <w:rsid w:val="00A75018"/>
    <w:rsid w:val="00A75B52"/>
    <w:rsid w:val="00A75F52"/>
    <w:rsid w:val="00A7600B"/>
    <w:rsid w:val="00A7605B"/>
    <w:rsid w:val="00A762F0"/>
    <w:rsid w:val="00A76ABD"/>
    <w:rsid w:val="00A806BA"/>
    <w:rsid w:val="00A81537"/>
    <w:rsid w:val="00A81A65"/>
    <w:rsid w:val="00A81AE6"/>
    <w:rsid w:val="00A82767"/>
    <w:rsid w:val="00A831DB"/>
    <w:rsid w:val="00A837B8"/>
    <w:rsid w:val="00A83DD9"/>
    <w:rsid w:val="00A842FB"/>
    <w:rsid w:val="00A85038"/>
    <w:rsid w:val="00A85858"/>
    <w:rsid w:val="00A8605A"/>
    <w:rsid w:val="00A875F4"/>
    <w:rsid w:val="00A90025"/>
    <w:rsid w:val="00A90F69"/>
    <w:rsid w:val="00A91515"/>
    <w:rsid w:val="00A91A7D"/>
    <w:rsid w:val="00A92186"/>
    <w:rsid w:val="00A92BA1"/>
    <w:rsid w:val="00A92C77"/>
    <w:rsid w:val="00A930CA"/>
    <w:rsid w:val="00A93347"/>
    <w:rsid w:val="00A94748"/>
    <w:rsid w:val="00A95309"/>
    <w:rsid w:val="00A954AF"/>
    <w:rsid w:val="00A96168"/>
    <w:rsid w:val="00A97FA4"/>
    <w:rsid w:val="00A97FD6"/>
    <w:rsid w:val="00AA0AAC"/>
    <w:rsid w:val="00AA138D"/>
    <w:rsid w:val="00AA1F08"/>
    <w:rsid w:val="00AA204C"/>
    <w:rsid w:val="00AA2705"/>
    <w:rsid w:val="00AA3746"/>
    <w:rsid w:val="00AA3DD4"/>
    <w:rsid w:val="00AA4135"/>
    <w:rsid w:val="00AA420B"/>
    <w:rsid w:val="00AA47D1"/>
    <w:rsid w:val="00AA5055"/>
    <w:rsid w:val="00AA5084"/>
    <w:rsid w:val="00AA530C"/>
    <w:rsid w:val="00AA617B"/>
    <w:rsid w:val="00AA734A"/>
    <w:rsid w:val="00AA7803"/>
    <w:rsid w:val="00AB010A"/>
    <w:rsid w:val="00AB2C89"/>
    <w:rsid w:val="00AB30AF"/>
    <w:rsid w:val="00AB32CB"/>
    <w:rsid w:val="00AB4582"/>
    <w:rsid w:val="00AB4859"/>
    <w:rsid w:val="00AB53F2"/>
    <w:rsid w:val="00AB544E"/>
    <w:rsid w:val="00AB5749"/>
    <w:rsid w:val="00AB6346"/>
    <w:rsid w:val="00AB639F"/>
    <w:rsid w:val="00AB6785"/>
    <w:rsid w:val="00AB6BA6"/>
    <w:rsid w:val="00AB6D0D"/>
    <w:rsid w:val="00AC0194"/>
    <w:rsid w:val="00AC0526"/>
    <w:rsid w:val="00AC1393"/>
    <w:rsid w:val="00AC22F4"/>
    <w:rsid w:val="00AC2C2E"/>
    <w:rsid w:val="00AC4EA2"/>
    <w:rsid w:val="00AC6AA4"/>
    <w:rsid w:val="00AC6E83"/>
    <w:rsid w:val="00AC7A23"/>
    <w:rsid w:val="00AC7C34"/>
    <w:rsid w:val="00AC7D8B"/>
    <w:rsid w:val="00AD085F"/>
    <w:rsid w:val="00AD14B4"/>
    <w:rsid w:val="00AD2404"/>
    <w:rsid w:val="00AD2674"/>
    <w:rsid w:val="00AD340E"/>
    <w:rsid w:val="00AD3A5A"/>
    <w:rsid w:val="00AD3CB1"/>
    <w:rsid w:val="00AD407E"/>
    <w:rsid w:val="00AD4148"/>
    <w:rsid w:val="00AD431E"/>
    <w:rsid w:val="00AD4476"/>
    <w:rsid w:val="00AD6234"/>
    <w:rsid w:val="00AD6972"/>
    <w:rsid w:val="00AD6C65"/>
    <w:rsid w:val="00AD7148"/>
    <w:rsid w:val="00AE000B"/>
    <w:rsid w:val="00AE002B"/>
    <w:rsid w:val="00AE07AD"/>
    <w:rsid w:val="00AE11D9"/>
    <w:rsid w:val="00AE1237"/>
    <w:rsid w:val="00AE157B"/>
    <w:rsid w:val="00AE1764"/>
    <w:rsid w:val="00AE194C"/>
    <w:rsid w:val="00AE1D2E"/>
    <w:rsid w:val="00AE3028"/>
    <w:rsid w:val="00AE3444"/>
    <w:rsid w:val="00AE37AB"/>
    <w:rsid w:val="00AE3A52"/>
    <w:rsid w:val="00AE4107"/>
    <w:rsid w:val="00AE5077"/>
    <w:rsid w:val="00AE512D"/>
    <w:rsid w:val="00AE5433"/>
    <w:rsid w:val="00AE66A8"/>
    <w:rsid w:val="00AE6991"/>
    <w:rsid w:val="00AE6EC3"/>
    <w:rsid w:val="00AE7771"/>
    <w:rsid w:val="00AF08E7"/>
    <w:rsid w:val="00AF0A5D"/>
    <w:rsid w:val="00AF18A0"/>
    <w:rsid w:val="00AF1D02"/>
    <w:rsid w:val="00AF23E4"/>
    <w:rsid w:val="00AF3009"/>
    <w:rsid w:val="00AF347A"/>
    <w:rsid w:val="00AF4EDA"/>
    <w:rsid w:val="00AF749E"/>
    <w:rsid w:val="00AF7519"/>
    <w:rsid w:val="00AF7608"/>
    <w:rsid w:val="00AF7663"/>
    <w:rsid w:val="00AF7BFA"/>
    <w:rsid w:val="00B00D92"/>
    <w:rsid w:val="00B01FE3"/>
    <w:rsid w:val="00B02361"/>
    <w:rsid w:val="00B023C9"/>
    <w:rsid w:val="00B026D3"/>
    <w:rsid w:val="00B030D6"/>
    <w:rsid w:val="00B031FA"/>
    <w:rsid w:val="00B04987"/>
    <w:rsid w:val="00B04CBC"/>
    <w:rsid w:val="00B0657B"/>
    <w:rsid w:val="00B074E7"/>
    <w:rsid w:val="00B1212C"/>
    <w:rsid w:val="00B12224"/>
    <w:rsid w:val="00B124AE"/>
    <w:rsid w:val="00B12EE8"/>
    <w:rsid w:val="00B135A0"/>
    <w:rsid w:val="00B143F1"/>
    <w:rsid w:val="00B144B7"/>
    <w:rsid w:val="00B1466B"/>
    <w:rsid w:val="00B14848"/>
    <w:rsid w:val="00B15171"/>
    <w:rsid w:val="00B15645"/>
    <w:rsid w:val="00B15D21"/>
    <w:rsid w:val="00B15D3A"/>
    <w:rsid w:val="00B16271"/>
    <w:rsid w:val="00B16AAE"/>
    <w:rsid w:val="00B16D86"/>
    <w:rsid w:val="00B207FD"/>
    <w:rsid w:val="00B21252"/>
    <w:rsid w:val="00B212CE"/>
    <w:rsid w:val="00B21378"/>
    <w:rsid w:val="00B228C0"/>
    <w:rsid w:val="00B230F8"/>
    <w:rsid w:val="00B23143"/>
    <w:rsid w:val="00B23203"/>
    <w:rsid w:val="00B23307"/>
    <w:rsid w:val="00B24F48"/>
    <w:rsid w:val="00B2530D"/>
    <w:rsid w:val="00B25CBB"/>
    <w:rsid w:val="00B25FC0"/>
    <w:rsid w:val="00B267E3"/>
    <w:rsid w:val="00B27CF9"/>
    <w:rsid w:val="00B305EC"/>
    <w:rsid w:val="00B30FE2"/>
    <w:rsid w:val="00B310F1"/>
    <w:rsid w:val="00B313B8"/>
    <w:rsid w:val="00B31CBB"/>
    <w:rsid w:val="00B31E7E"/>
    <w:rsid w:val="00B326A1"/>
    <w:rsid w:val="00B33650"/>
    <w:rsid w:val="00B344A3"/>
    <w:rsid w:val="00B351D5"/>
    <w:rsid w:val="00B3585D"/>
    <w:rsid w:val="00B35A4B"/>
    <w:rsid w:val="00B35F19"/>
    <w:rsid w:val="00B36048"/>
    <w:rsid w:val="00B36784"/>
    <w:rsid w:val="00B3748E"/>
    <w:rsid w:val="00B37C27"/>
    <w:rsid w:val="00B40660"/>
    <w:rsid w:val="00B40B05"/>
    <w:rsid w:val="00B42500"/>
    <w:rsid w:val="00B434DF"/>
    <w:rsid w:val="00B43719"/>
    <w:rsid w:val="00B4587A"/>
    <w:rsid w:val="00B45E3E"/>
    <w:rsid w:val="00B4620B"/>
    <w:rsid w:val="00B46466"/>
    <w:rsid w:val="00B46AD1"/>
    <w:rsid w:val="00B46FD2"/>
    <w:rsid w:val="00B51034"/>
    <w:rsid w:val="00B52F14"/>
    <w:rsid w:val="00B55AAC"/>
    <w:rsid w:val="00B560C5"/>
    <w:rsid w:val="00B56E23"/>
    <w:rsid w:val="00B5722B"/>
    <w:rsid w:val="00B61B16"/>
    <w:rsid w:val="00B62BB9"/>
    <w:rsid w:val="00B6301D"/>
    <w:rsid w:val="00B63FEA"/>
    <w:rsid w:val="00B643F0"/>
    <w:rsid w:val="00B646DF"/>
    <w:rsid w:val="00B650E8"/>
    <w:rsid w:val="00B6613C"/>
    <w:rsid w:val="00B662BE"/>
    <w:rsid w:val="00B6759F"/>
    <w:rsid w:val="00B700CE"/>
    <w:rsid w:val="00B70650"/>
    <w:rsid w:val="00B707B4"/>
    <w:rsid w:val="00B70E44"/>
    <w:rsid w:val="00B73994"/>
    <w:rsid w:val="00B74609"/>
    <w:rsid w:val="00B74CA9"/>
    <w:rsid w:val="00B74D8D"/>
    <w:rsid w:val="00B75474"/>
    <w:rsid w:val="00B75A04"/>
    <w:rsid w:val="00B7660A"/>
    <w:rsid w:val="00B777B0"/>
    <w:rsid w:val="00B80DD1"/>
    <w:rsid w:val="00B81467"/>
    <w:rsid w:val="00B8185C"/>
    <w:rsid w:val="00B81EB7"/>
    <w:rsid w:val="00B822BB"/>
    <w:rsid w:val="00B82AA3"/>
    <w:rsid w:val="00B83E5D"/>
    <w:rsid w:val="00B83F9A"/>
    <w:rsid w:val="00B85151"/>
    <w:rsid w:val="00B86488"/>
    <w:rsid w:val="00B9001C"/>
    <w:rsid w:val="00B908C1"/>
    <w:rsid w:val="00B91B0C"/>
    <w:rsid w:val="00B92C26"/>
    <w:rsid w:val="00B9387B"/>
    <w:rsid w:val="00B93FD0"/>
    <w:rsid w:val="00B943A6"/>
    <w:rsid w:val="00B94C4C"/>
    <w:rsid w:val="00B95329"/>
    <w:rsid w:val="00B955D3"/>
    <w:rsid w:val="00B9580F"/>
    <w:rsid w:val="00B958E4"/>
    <w:rsid w:val="00B96345"/>
    <w:rsid w:val="00B96B87"/>
    <w:rsid w:val="00B970E5"/>
    <w:rsid w:val="00B972AD"/>
    <w:rsid w:val="00BA0383"/>
    <w:rsid w:val="00BA11CB"/>
    <w:rsid w:val="00BA2FD6"/>
    <w:rsid w:val="00BA337D"/>
    <w:rsid w:val="00BA4872"/>
    <w:rsid w:val="00BA4C51"/>
    <w:rsid w:val="00BA5744"/>
    <w:rsid w:val="00BA5806"/>
    <w:rsid w:val="00BA6F35"/>
    <w:rsid w:val="00BA74AC"/>
    <w:rsid w:val="00BB029E"/>
    <w:rsid w:val="00BB08D3"/>
    <w:rsid w:val="00BB0F54"/>
    <w:rsid w:val="00BB15F7"/>
    <w:rsid w:val="00BB1F8E"/>
    <w:rsid w:val="00BB2072"/>
    <w:rsid w:val="00BB2F5C"/>
    <w:rsid w:val="00BB4255"/>
    <w:rsid w:val="00BB426A"/>
    <w:rsid w:val="00BB5BBE"/>
    <w:rsid w:val="00BB6998"/>
    <w:rsid w:val="00BB6AA3"/>
    <w:rsid w:val="00BB7DFD"/>
    <w:rsid w:val="00BB7E06"/>
    <w:rsid w:val="00BC0051"/>
    <w:rsid w:val="00BC057B"/>
    <w:rsid w:val="00BC0AA7"/>
    <w:rsid w:val="00BC12F9"/>
    <w:rsid w:val="00BC1C37"/>
    <w:rsid w:val="00BC1DA7"/>
    <w:rsid w:val="00BC2909"/>
    <w:rsid w:val="00BC3973"/>
    <w:rsid w:val="00BC3C03"/>
    <w:rsid w:val="00BC4256"/>
    <w:rsid w:val="00BC5025"/>
    <w:rsid w:val="00BC5CB3"/>
    <w:rsid w:val="00BC5E9C"/>
    <w:rsid w:val="00BC6560"/>
    <w:rsid w:val="00BC774F"/>
    <w:rsid w:val="00BC7754"/>
    <w:rsid w:val="00BD0AEA"/>
    <w:rsid w:val="00BD0FFE"/>
    <w:rsid w:val="00BD1639"/>
    <w:rsid w:val="00BD2399"/>
    <w:rsid w:val="00BD2471"/>
    <w:rsid w:val="00BD247A"/>
    <w:rsid w:val="00BD2E4A"/>
    <w:rsid w:val="00BD4ED7"/>
    <w:rsid w:val="00BD620B"/>
    <w:rsid w:val="00BD71DA"/>
    <w:rsid w:val="00BD7D95"/>
    <w:rsid w:val="00BE10A3"/>
    <w:rsid w:val="00BE28C5"/>
    <w:rsid w:val="00BE3D47"/>
    <w:rsid w:val="00BE4B4F"/>
    <w:rsid w:val="00BE5023"/>
    <w:rsid w:val="00BE52D9"/>
    <w:rsid w:val="00BE5403"/>
    <w:rsid w:val="00BE6B0C"/>
    <w:rsid w:val="00BE6B92"/>
    <w:rsid w:val="00BE7D99"/>
    <w:rsid w:val="00BF0392"/>
    <w:rsid w:val="00BF0EAC"/>
    <w:rsid w:val="00BF1164"/>
    <w:rsid w:val="00BF17C7"/>
    <w:rsid w:val="00BF1C68"/>
    <w:rsid w:val="00BF1D94"/>
    <w:rsid w:val="00BF1DEB"/>
    <w:rsid w:val="00BF2034"/>
    <w:rsid w:val="00BF2535"/>
    <w:rsid w:val="00BF25B2"/>
    <w:rsid w:val="00BF2961"/>
    <w:rsid w:val="00BF2985"/>
    <w:rsid w:val="00BF2E52"/>
    <w:rsid w:val="00BF333F"/>
    <w:rsid w:val="00BF3B2B"/>
    <w:rsid w:val="00BF3B6E"/>
    <w:rsid w:val="00BF3DEB"/>
    <w:rsid w:val="00BF46E0"/>
    <w:rsid w:val="00BF486C"/>
    <w:rsid w:val="00BF4DF8"/>
    <w:rsid w:val="00BF4F17"/>
    <w:rsid w:val="00BF572D"/>
    <w:rsid w:val="00BF57D7"/>
    <w:rsid w:val="00BF71DB"/>
    <w:rsid w:val="00BF771F"/>
    <w:rsid w:val="00C00B93"/>
    <w:rsid w:val="00C01579"/>
    <w:rsid w:val="00C01C2C"/>
    <w:rsid w:val="00C020EF"/>
    <w:rsid w:val="00C022D7"/>
    <w:rsid w:val="00C02368"/>
    <w:rsid w:val="00C03C53"/>
    <w:rsid w:val="00C03DA0"/>
    <w:rsid w:val="00C042FB"/>
    <w:rsid w:val="00C04871"/>
    <w:rsid w:val="00C04893"/>
    <w:rsid w:val="00C056A9"/>
    <w:rsid w:val="00C05758"/>
    <w:rsid w:val="00C07EDD"/>
    <w:rsid w:val="00C102AE"/>
    <w:rsid w:val="00C10787"/>
    <w:rsid w:val="00C107A0"/>
    <w:rsid w:val="00C107B8"/>
    <w:rsid w:val="00C108B5"/>
    <w:rsid w:val="00C108F8"/>
    <w:rsid w:val="00C111CF"/>
    <w:rsid w:val="00C11381"/>
    <w:rsid w:val="00C1198D"/>
    <w:rsid w:val="00C11C55"/>
    <w:rsid w:val="00C12036"/>
    <w:rsid w:val="00C120E1"/>
    <w:rsid w:val="00C12B98"/>
    <w:rsid w:val="00C13163"/>
    <w:rsid w:val="00C13203"/>
    <w:rsid w:val="00C13751"/>
    <w:rsid w:val="00C13B0B"/>
    <w:rsid w:val="00C13B7A"/>
    <w:rsid w:val="00C142FB"/>
    <w:rsid w:val="00C146B7"/>
    <w:rsid w:val="00C14D9E"/>
    <w:rsid w:val="00C15483"/>
    <w:rsid w:val="00C1594D"/>
    <w:rsid w:val="00C16910"/>
    <w:rsid w:val="00C2136A"/>
    <w:rsid w:val="00C221B5"/>
    <w:rsid w:val="00C22D35"/>
    <w:rsid w:val="00C23D0B"/>
    <w:rsid w:val="00C23D76"/>
    <w:rsid w:val="00C23DF2"/>
    <w:rsid w:val="00C248B8"/>
    <w:rsid w:val="00C24C5F"/>
    <w:rsid w:val="00C2519C"/>
    <w:rsid w:val="00C25591"/>
    <w:rsid w:val="00C25AA7"/>
    <w:rsid w:val="00C25AE3"/>
    <w:rsid w:val="00C26145"/>
    <w:rsid w:val="00C26577"/>
    <w:rsid w:val="00C2696D"/>
    <w:rsid w:val="00C30E07"/>
    <w:rsid w:val="00C30E2E"/>
    <w:rsid w:val="00C313F0"/>
    <w:rsid w:val="00C31726"/>
    <w:rsid w:val="00C31A64"/>
    <w:rsid w:val="00C31B4B"/>
    <w:rsid w:val="00C320D7"/>
    <w:rsid w:val="00C32D68"/>
    <w:rsid w:val="00C32E4F"/>
    <w:rsid w:val="00C33644"/>
    <w:rsid w:val="00C338DB"/>
    <w:rsid w:val="00C356FF"/>
    <w:rsid w:val="00C357EF"/>
    <w:rsid w:val="00C360AC"/>
    <w:rsid w:val="00C36645"/>
    <w:rsid w:val="00C367F8"/>
    <w:rsid w:val="00C36EDA"/>
    <w:rsid w:val="00C37013"/>
    <w:rsid w:val="00C37EA9"/>
    <w:rsid w:val="00C409C4"/>
    <w:rsid w:val="00C409D1"/>
    <w:rsid w:val="00C410CD"/>
    <w:rsid w:val="00C42299"/>
    <w:rsid w:val="00C43E62"/>
    <w:rsid w:val="00C47528"/>
    <w:rsid w:val="00C47AA7"/>
    <w:rsid w:val="00C50661"/>
    <w:rsid w:val="00C50897"/>
    <w:rsid w:val="00C50F32"/>
    <w:rsid w:val="00C5135F"/>
    <w:rsid w:val="00C53B1B"/>
    <w:rsid w:val="00C54282"/>
    <w:rsid w:val="00C5468A"/>
    <w:rsid w:val="00C54A96"/>
    <w:rsid w:val="00C559FC"/>
    <w:rsid w:val="00C57394"/>
    <w:rsid w:val="00C604C1"/>
    <w:rsid w:val="00C605F8"/>
    <w:rsid w:val="00C60EB7"/>
    <w:rsid w:val="00C61881"/>
    <w:rsid w:val="00C61CDF"/>
    <w:rsid w:val="00C61ECC"/>
    <w:rsid w:val="00C620D7"/>
    <w:rsid w:val="00C621AA"/>
    <w:rsid w:val="00C62749"/>
    <w:rsid w:val="00C631E0"/>
    <w:rsid w:val="00C6343A"/>
    <w:rsid w:val="00C6525F"/>
    <w:rsid w:val="00C65857"/>
    <w:rsid w:val="00C665B3"/>
    <w:rsid w:val="00C66B8E"/>
    <w:rsid w:val="00C675FE"/>
    <w:rsid w:val="00C67D2C"/>
    <w:rsid w:val="00C70046"/>
    <w:rsid w:val="00C7071C"/>
    <w:rsid w:val="00C7108D"/>
    <w:rsid w:val="00C71910"/>
    <w:rsid w:val="00C7241B"/>
    <w:rsid w:val="00C73195"/>
    <w:rsid w:val="00C73D7B"/>
    <w:rsid w:val="00C75B16"/>
    <w:rsid w:val="00C75BF6"/>
    <w:rsid w:val="00C80034"/>
    <w:rsid w:val="00C80ED0"/>
    <w:rsid w:val="00C81506"/>
    <w:rsid w:val="00C816BA"/>
    <w:rsid w:val="00C821BC"/>
    <w:rsid w:val="00C828B2"/>
    <w:rsid w:val="00C830B1"/>
    <w:rsid w:val="00C838A0"/>
    <w:rsid w:val="00C83F22"/>
    <w:rsid w:val="00C84588"/>
    <w:rsid w:val="00C856E0"/>
    <w:rsid w:val="00C85B3C"/>
    <w:rsid w:val="00C86133"/>
    <w:rsid w:val="00C86D18"/>
    <w:rsid w:val="00C86F00"/>
    <w:rsid w:val="00C87080"/>
    <w:rsid w:val="00C872CA"/>
    <w:rsid w:val="00C876DD"/>
    <w:rsid w:val="00C8792D"/>
    <w:rsid w:val="00C90443"/>
    <w:rsid w:val="00C9079D"/>
    <w:rsid w:val="00C924E1"/>
    <w:rsid w:val="00C92C2D"/>
    <w:rsid w:val="00C95B07"/>
    <w:rsid w:val="00C96024"/>
    <w:rsid w:val="00C96448"/>
    <w:rsid w:val="00C96BCB"/>
    <w:rsid w:val="00C9742F"/>
    <w:rsid w:val="00C97430"/>
    <w:rsid w:val="00CA119E"/>
    <w:rsid w:val="00CA1484"/>
    <w:rsid w:val="00CA2DEB"/>
    <w:rsid w:val="00CA331E"/>
    <w:rsid w:val="00CA341A"/>
    <w:rsid w:val="00CA345A"/>
    <w:rsid w:val="00CA3DA4"/>
    <w:rsid w:val="00CA47CC"/>
    <w:rsid w:val="00CA4DCB"/>
    <w:rsid w:val="00CA506A"/>
    <w:rsid w:val="00CA54B0"/>
    <w:rsid w:val="00CA5C7E"/>
    <w:rsid w:val="00CA65E9"/>
    <w:rsid w:val="00CA6B62"/>
    <w:rsid w:val="00CA7618"/>
    <w:rsid w:val="00CA7DC5"/>
    <w:rsid w:val="00CB0923"/>
    <w:rsid w:val="00CB0A0B"/>
    <w:rsid w:val="00CB11A8"/>
    <w:rsid w:val="00CB211E"/>
    <w:rsid w:val="00CB2613"/>
    <w:rsid w:val="00CB2725"/>
    <w:rsid w:val="00CB33B7"/>
    <w:rsid w:val="00CB3B0B"/>
    <w:rsid w:val="00CB3CF8"/>
    <w:rsid w:val="00CB3FD4"/>
    <w:rsid w:val="00CB5279"/>
    <w:rsid w:val="00CB5FAE"/>
    <w:rsid w:val="00CB5FE7"/>
    <w:rsid w:val="00CB70AF"/>
    <w:rsid w:val="00CB7234"/>
    <w:rsid w:val="00CB72CD"/>
    <w:rsid w:val="00CB7984"/>
    <w:rsid w:val="00CB7F87"/>
    <w:rsid w:val="00CC0325"/>
    <w:rsid w:val="00CC0434"/>
    <w:rsid w:val="00CC08AB"/>
    <w:rsid w:val="00CC0C35"/>
    <w:rsid w:val="00CC0F47"/>
    <w:rsid w:val="00CC113F"/>
    <w:rsid w:val="00CC1617"/>
    <w:rsid w:val="00CC18A0"/>
    <w:rsid w:val="00CC32C9"/>
    <w:rsid w:val="00CC35D2"/>
    <w:rsid w:val="00CC37BB"/>
    <w:rsid w:val="00CC4D5B"/>
    <w:rsid w:val="00CC4F90"/>
    <w:rsid w:val="00CC5388"/>
    <w:rsid w:val="00CC6322"/>
    <w:rsid w:val="00CC7AEE"/>
    <w:rsid w:val="00CC7C0A"/>
    <w:rsid w:val="00CD00EF"/>
    <w:rsid w:val="00CD03DC"/>
    <w:rsid w:val="00CD068A"/>
    <w:rsid w:val="00CD07EE"/>
    <w:rsid w:val="00CD09A1"/>
    <w:rsid w:val="00CD0F3F"/>
    <w:rsid w:val="00CD105C"/>
    <w:rsid w:val="00CD12F9"/>
    <w:rsid w:val="00CD2E18"/>
    <w:rsid w:val="00CD31BA"/>
    <w:rsid w:val="00CD3736"/>
    <w:rsid w:val="00CD40A6"/>
    <w:rsid w:val="00CD49B5"/>
    <w:rsid w:val="00CD4EB8"/>
    <w:rsid w:val="00CD546E"/>
    <w:rsid w:val="00CD60A0"/>
    <w:rsid w:val="00CE0F4F"/>
    <w:rsid w:val="00CE1115"/>
    <w:rsid w:val="00CE1228"/>
    <w:rsid w:val="00CE1238"/>
    <w:rsid w:val="00CE1BF0"/>
    <w:rsid w:val="00CE2935"/>
    <w:rsid w:val="00CE38D9"/>
    <w:rsid w:val="00CE4105"/>
    <w:rsid w:val="00CE4A02"/>
    <w:rsid w:val="00CE4CCE"/>
    <w:rsid w:val="00CE59C4"/>
    <w:rsid w:val="00CE6156"/>
    <w:rsid w:val="00CE66B1"/>
    <w:rsid w:val="00CF1787"/>
    <w:rsid w:val="00CF1D83"/>
    <w:rsid w:val="00CF207B"/>
    <w:rsid w:val="00CF2743"/>
    <w:rsid w:val="00CF3A04"/>
    <w:rsid w:val="00CF63E7"/>
    <w:rsid w:val="00CF675D"/>
    <w:rsid w:val="00CF75A7"/>
    <w:rsid w:val="00D01084"/>
    <w:rsid w:val="00D0111A"/>
    <w:rsid w:val="00D0192F"/>
    <w:rsid w:val="00D022A2"/>
    <w:rsid w:val="00D02588"/>
    <w:rsid w:val="00D03A25"/>
    <w:rsid w:val="00D03C12"/>
    <w:rsid w:val="00D05116"/>
    <w:rsid w:val="00D06C1A"/>
    <w:rsid w:val="00D07FDA"/>
    <w:rsid w:val="00D10488"/>
    <w:rsid w:val="00D10E95"/>
    <w:rsid w:val="00D11A84"/>
    <w:rsid w:val="00D1490E"/>
    <w:rsid w:val="00D15128"/>
    <w:rsid w:val="00D151AA"/>
    <w:rsid w:val="00D15811"/>
    <w:rsid w:val="00D1635E"/>
    <w:rsid w:val="00D20222"/>
    <w:rsid w:val="00D20930"/>
    <w:rsid w:val="00D21513"/>
    <w:rsid w:val="00D225F8"/>
    <w:rsid w:val="00D23DF9"/>
    <w:rsid w:val="00D244D1"/>
    <w:rsid w:val="00D26211"/>
    <w:rsid w:val="00D263C0"/>
    <w:rsid w:val="00D269CF"/>
    <w:rsid w:val="00D277CB"/>
    <w:rsid w:val="00D27CC5"/>
    <w:rsid w:val="00D27D0E"/>
    <w:rsid w:val="00D27F02"/>
    <w:rsid w:val="00D31136"/>
    <w:rsid w:val="00D321F2"/>
    <w:rsid w:val="00D335F6"/>
    <w:rsid w:val="00D338C4"/>
    <w:rsid w:val="00D345DC"/>
    <w:rsid w:val="00D349FA"/>
    <w:rsid w:val="00D36020"/>
    <w:rsid w:val="00D367DE"/>
    <w:rsid w:val="00D3752F"/>
    <w:rsid w:val="00D3771D"/>
    <w:rsid w:val="00D377F3"/>
    <w:rsid w:val="00D4068E"/>
    <w:rsid w:val="00D4079E"/>
    <w:rsid w:val="00D418CD"/>
    <w:rsid w:val="00D42B44"/>
    <w:rsid w:val="00D439C9"/>
    <w:rsid w:val="00D44BA1"/>
    <w:rsid w:val="00D4569C"/>
    <w:rsid w:val="00D458BB"/>
    <w:rsid w:val="00D4620F"/>
    <w:rsid w:val="00D4653A"/>
    <w:rsid w:val="00D47370"/>
    <w:rsid w:val="00D50C75"/>
    <w:rsid w:val="00D513E8"/>
    <w:rsid w:val="00D51DF0"/>
    <w:rsid w:val="00D51FD1"/>
    <w:rsid w:val="00D520F3"/>
    <w:rsid w:val="00D52107"/>
    <w:rsid w:val="00D53699"/>
    <w:rsid w:val="00D54687"/>
    <w:rsid w:val="00D54752"/>
    <w:rsid w:val="00D548DA"/>
    <w:rsid w:val="00D55010"/>
    <w:rsid w:val="00D552FF"/>
    <w:rsid w:val="00D555DA"/>
    <w:rsid w:val="00D55DF4"/>
    <w:rsid w:val="00D562C5"/>
    <w:rsid w:val="00D5708C"/>
    <w:rsid w:val="00D60348"/>
    <w:rsid w:val="00D60858"/>
    <w:rsid w:val="00D60D5A"/>
    <w:rsid w:val="00D610B8"/>
    <w:rsid w:val="00D6169C"/>
    <w:rsid w:val="00D61A8C"/>
    <w:rsid w:val="00D6299E"/>
    <w:rsid w:val="00D62B9A"/>
    <w:rsid w:val="00D63028"/>
    <w:rsid w:val="00D64C73"/>
    <w:rsid w:val="00D64E82"/>
    <w:rsid w:val="00D65728"/>
    <w:rsid w:val="00D6671D"/>
    <w:rsid w:val="00D66E3C"/>
    <w:rsid w:val="00D67095"/>
    <w:rsid w:val="00D67861"/>
    <w:rsid w:val="00D67951"/>
    <w:rsid w:val="00D70EB8"/>
    <w:rsid w:val="00D71946"/>
    <w:rsid w:val="00D72DFD"/>
    <w:rsid w:val="00D73C59"/>
    <w:rsid w:val="00D74E1C"/>
    <w:rsid w:val="00D75422"/>
    <w:rsid w:val="00D76999"/>
    <w:rsid w:val="00D77DE3"/>
    <w:rsid w:val="00D80210"/>
    <w:rsid w:val="00D8039E"/>
    <w:rsid w:val="00D8173A"/>
    <w:rsid w:val="00D817A0"/>
    <w:rsid w:val="00D81E34"/>
    <w:rsid w:val="00D82349"/>
    <w:rsid w:val="00D83C53"/>
    <w:rsid w:val="00D83E52"/>
    <w:rsid w:val="00D84AF7"/>
    <w:rsid w:val="00D85557"/>
    <w:rsid w:val="00D856B1"/>
    <w:rsid w:val="00D85FF0"/>
    <w:rsid w:val="00D87133"/>
    <w:rsid w:val="00D87530"/>
    <w:rsid w:val="00D902AA"/>
    <w:rsid w:val="00D91D8F"/>
    <w:rsid w:val="00D92B75"/>
    <w:rsid w:val="00D937A6"/>
    <w:rsid w:val="00D93979"/>
    <w:rsid w:val="00D96141"/>
    <w:rsid w:val="00D96453"/>
    <w:rsid w:val="00D96822"/>
    <w:rsid w:val="00D96EA7"/>
    <w:rsid w:val="00D97355"/>
    <w:rsid w:val="00D97564"/>
    <w:rsid w:val="00D97E06"/>
    <w:rsid w:val="00DA03B1"/>
    <w:rsid w:val="00DA0B34"/>
    <w:rsid w:val="00DA0D6D"/>
    <w:rsid w:val="00DA177D"/>
    <w:rsid w:val="00DA1D81"/>
    <w:rsid w:val="00DA29B0"/>
    <w:rsid w:val="00DA3151"/>
    <w:rsid w:val="00DA341F"/>
    <w:rsid w:val="00DA383F"/>
    <w:rsid w:val="00DA394A"/>
    <w:rsid w:val="00DA3A8C"/>
    <w:rsid w:val="00DA3DBD"/>
    <w:rsid w:val="00DA4C45"/>
    <w:rsid w:val="00DA5DB4"/>
    <w:rsid w:val="00DA5EC8"/>
    <w:rsid w:val="00DA608F"/>
    <w:rsid w:val="00DA753C"/>
    <w:rsid w:val="00DB0365"/>
    <w:rsid w:val="00DB1262"/>
    <w:rsid w:val="00DB19CE"/>
    <w:rsid w:val="00DB2356"/>
    <w:rsid w:val="00DB2A39"/>
    <w:rsid w:val="00DB2CEF"/>
    <w:rsid w:val="00DB31AF"/>
    <w:rsid w:val="00DB3624"/>
    <w:rsid w:val="00DB36EA"/>
    <w:rsid w:val="00DB391D"/>
    <w:rsid w:val="00DB40BD"/>
    <w:rsid w:val="00DB4A4B"/>
    <w:rsid w:val="00DB522B"/>
    <w:rsid w:val="00DB5E18"/>
    <w:rsid w:val="00DB632D"/>
    <w:rsid w:val="00DB7CDB"/>
    <w:rsid w:val="00DB7D10"/>
    <w:rsid w:val="00DB7E45"/>
    <w:rsid w:val="00DC05FF"/>
    <w:rsid w:val="00DC1868"/>
    <w:rsid w:val="00DC2956"/>
    <w:rsid w:val="00DC317A"/>
    <w:rsid w:val="00DC39DC"/>
    <w:rsid w:val="00DC3C93"/>
    <w:rsid w:val="00DC4277"/>
    <w:rsid w:val="00DC42C7"/>
    <w:rsid w:val="00DC42E3"/>
    <w:rsid w:val="00DC4944"/>
    <w:rsid w:val="00DC4E89"/>
    <w:rsid w:val="00DC506F"/>
    <w:rsid w:val="00DC531F"/>
    <w:rsid w:val="00DC53D0"/>
    <w:rsid w:val="00DC5AB4"/>
    <w:rsid w:val="00DC61BD"/>
    <w:rsid w:val="00DC6345"/>
    <w:rsid w:val="00DC690C"/>
    <w:rsid w:val="00DC6B5E"/>
    <w:rsid w:val="00DC7434"/>
    <w:rsid w:val="00DD0922"/>
    <w:rsid w:val="00DD09BC"/>
    <w:rsid w:val="00DD0E7B"/>
    <w:rsid w:val="00DD20FD"/>
    <w:rsid w:val="00DD2DEC"/>
    <w:rsid w:val="00DD4A44"/>
    <w:rsid w:val="00DD4DAF"/>
    <w:rsid w:val="00DD587A"/>
    <w:rsid w:val="00DD5BF7"/>
    <w:rsid w:val="00DD6135"/>
    <w:rsid w:val="00DD638F"/>
    <w:rsid w:val="00DD6B70"/>
    <w:rsid w:val="00DD737D"/>
    <w:rsid w:val="00DE008C"/>
    <w:rsid w:val="00DE0FBE"/>
    <w:rsid w:val="00DE108D"/>
    <w:rsid w:val="00DE1574"/>
    <w:rsid w:val="00DE1AC8"/>
    <w:rsid w:val="00DE1BFB"/>
    <w:rsid w:val="00DE22C8"/>
    <w:rsid w:val="00DE240E"/>
    <w:rsid w:val="00DE2B28"/>
    <w:rsid w:val="00DE2B32"/>
    <w:rsid w:val="00DE2B93"/>
    <w:rsid w:val="00DE2BBE"/>
    <w:rsid w:val="00DE3B3F"/>
    <w:rsid w:val="00DE3ED0"/>
    <w:rsid w:val="00DE3EFB"/>
    <w:rsid w:val="00DE45C4"/>
    <w:rsid w:val="00DE4CD9"/>
    <w:rsid w:val="00DE5216"/>
    <w:rsid w:val="00DE6DB8"/>
    <w:rsid w:val="00DE7240"/>
    <w:rsid w:val="00DF0F94"/>
    <w:rsid w:val="00DF35EB"/>
    <w:rsid w:val="00DF3782"/>
    <w:rsid w:val="00DF38DD"/>
    <w:rsid w:val="00DF3D45"/>
    <w:rsid w:val="00DF429A"/>
    <w:rsid w:val="00DF4581"/>
    <w:rsid w:val="00DF4FFD"/>
    <w:rsid w:val="00DF7701"/>
    <w:rsid w:val="00E01377"/>
    <w:rsid w:val="00E019A3"/>
    <w:rsid w:val="00E0267A"/>
    <w:rsid w:val="00E02C82"/>
    <w:rsid w:val="00E03852"/>
    <w:rsid w:val="00E053E4"/>
    <w:rsid w:val="00E05E92"/>
    <w:rsid w:val="00E06A98"/>
    <w:rsid w:val="00E071C7"/>
    <w:rsid w:val="00E10F6E"/>
    <w:rsid w:val="00E12684"/>
    <w:rsid w:val="00E12D0F"/>
    <w:rsid w:val="00E13018"/>
    <w:rsid w:val="00E134CE"/>
    <w:rsid w:val="00E14356"/>
    <w:rsid w:val="00E147CE"/>
    <w:rsid w:val="00E152A6"/>
    <w:rsid w:val="00E154A9"/>
    <w:rsid w:val="00E16273"/>
    <w:rsid w:val="00E17A87"/>
    <w:rsid w:val="00E201EA"/>
    <w:rsid w:val="00E20381"/>
    <w:rsid w:val="00E206A0"/>
    <w:rsid w:val="00E21231"/>
    <w:rsid w:val="00E21CE1"/>
    <w:rsid w:val="00E22714"/>
    <w:rsid w:val="00E2280B"/>
    <w:rsid w:val="00E22DDA"/>
    <w:rsid w:val="00E22FFD"/>
    <w:rsid w:val="00E24474"/>
    <w:rsid w:val="00E24BAE"/>
    <w:rsid w:val="00E24F6F"/>
    <w:rsid w:val="00E25BD9"/>
    <w:rsid w:val="00E2604C"/>
    <w:rsid w:val="00E2699E"/>
    <w:rsid w:val="00E2741C"/>
    <w:rsid w:val="00E3027C"/>
    <w:rsid w:val="00E30B89"/>
    <w:rsid w:val="00E30FE1"/>
    <w:rsid w:val="00E319CA"/>
    <w:rsid w:val="00E32E34"/>
    <w:rsid w:val="00E3300D"/>
    <w:rsid w:val="00E33E47"/>
    <w:rsid w:val="00E3402D"/>
    <w:rsid w:val="00E34AA3"/>
    <w:rsid w:val="00E34BD1"/>
    <w:rsid w:val="00E365B1"/>
    <w:rsid w:val="00E36DD6"/>
    <w:rsid w:val="00E3764A"/>
    <w:rsid w:val="00E37830"/>
    <w:rsid w:val="00E40632"/>
    <w:rsid w:val="00E413D1"/>
    <w:rsid w:val="00E41C42"/>
    <w:rsid w:val="00E43A43"/>
    <w:rsid w:val="00E43D2C"/>
    <w:rsid w:val="00E45159"/>
    <w:rsid w:val="00E45A42"/>
    <w:rsid w:val="00E47513"/>
    <w:rsid w:val="00E4758D"/>
    <w:rsid w:val="00E47FF7"/>
    <w:rsid w:val="00E503F1"/>
    <w:rsid w:val="00E5059D"/>
    <w:rsid w:val="00E50C95"/>
    <w:rsid w:val="00E5306E"/>
    <w:rsid w:val="00E53266"/>
    <w:rsid w:val="00E535AA"/>
    <w:rsid w:val="00E535B6"/>
    <w:rsid w:val="00E54874"/>
    <w:rsid w:val="00E5534F"/>
    <w:rsid w:val="00E55F7D"/>
    <w:rsid w:val="00E56F5D"/>
    <w:rsid w:val="00E572F8"/>
    <w:rsid w:val="00E574D1"/>
    <w:rsid w:val="00E60039"/>
    <w:rsid w:val="00E616E9"/>
    <w:rsid w:val="00E635E1"/>
    <w:rsid w:val="00E645B2"/>
    <w:rsid w:val="00E64636"/>
    <w:rsid w:val="00E64DDD"/>
    <w:rsid w:val="00E65F77"/>
    <w:rsid w:val="00E6728D"/>
    <w:rsid w:val="00E67E26"/>
    <w:rsid w:val="00E711DE"/>
    <w:rsid w:val="00E716D9"/>
    <w:rsid w:val="00E71875"/>
    <w:rsid w:val="00E729B5"/>
    <w:rsid w:val="00E72E5C"/>
    <w:rsid w:val="00E73893"/>
    <w:rsid w:val="00E73B4C"/>
    <w:rsid w:val="00E73D03"/>
    <w:rsid w:val="00E74208"/>
    <w:rsid w:val="00E74E49"/>
    <w:rsid w:val="00E74E6A"/>
    <w:rsid w:val="00E752BE"/>
    <w:rsid w:val="00E75DAC"/>
    <w:rsid w:val="00E80955"/>
    <w:rsid w:val="00E80EB2"/>
    <w:rsid w:val="00E812A8"/>
    <w:rsid w:val="00E8239E"/>
    <w:rsid w:val="00E827CB"/>
    <w:rsid w:val="00E8288B"/>
    <w:rsid w:val="00E83476"/>
    <w:rsid w:val="00E83C28"/>
    <w:rsid w:val="00E84290"/>
    <w:rsid w:val="00E84499"/>
    <w:rsid w:val="00E85ABC"/>
    <w:rsid w:val="00E85BCE"/>
    <w:rsid w:val="00E85F59"/>
    <w:rsid w:val="00E8678D"/>
    <w:rsid w:val="00E91940"/>
    <w:rsid w:val="00E92A14"/>
    <w:rsid w:val="00E93E2E"/>
    <w:rsid w:val="00E94D72"/>
    <w:rsid w:val="00E95715"/>
    <w:rsid w:val="00E9639D"/>
    <w:rsid w:val="00E97D7E"/>
    <w:rsid w:val="00EA1B24"/>
    <w:rsid w:val="00EA233C"/>
    <w:rsid w:val="00EA270B"/>
    <w:rsid w:val="00EA2B93"/>
    <w:rsid w:val="00EA3B51"/>
    <w:rsid w:val="00EA4B92"/>
    <w:rsid w:val="00EA4E56"/>
    <w:rsid w:val="00EA52B3"/>
    <w:rsid w:val="00EA65E7"/>
    <w:rsid w:val="00EA6651"/>
    <w:rsid w:val="00EA6B4E"/>
    <w:rsid w:val="00EA6FAF"/>
    <w:rsid w:val="00EB159F"/>
    <w:rsid w:val="00EB4CBC"/>
    <w:rsid w:val="00EB5F4D"/>
    <w:rsid w:val="00EB6F17"/>
    <w:rsid w:val="00EB7637"/>
    <w:rsid w:val="00EB7789"/>
    <w:rsid w:val="00EB7ACA"/>
    <w:rsid w:val="00EC1095"/>
    <w:rsid w:val="00EC1E4F"/>
    <w:rsid w:val="00EC1E55"/>
    <w:rsid w:val="00EC2CC3"/>
    <w:rsid w:val="00EC44A2"/>
    <w:rsid w:val="00EC4848"/>
    <w:rsid w:val="00EC568B"/>
    <w:rsid w:val="00EC5FE5"/>
    <w:rsid w:val="00EC61D7"/>
    <w:rsid w:val="00EC6DF1"/>
    <w:rsid w:val="00EC78D2"/>
    <w:rsid w:val="00ED0411"/>
    <w:rsid w:val="00ED07B1"/>
    <w:rsid w:val="00ED1766"/>
    <w:rsid w:val="00ED2DE8"/>
    <w:rsid w:val="00ED4BA5"/>
    <w:rsid w:val="00ED50E9"/>
    <w:rsid w:val="00ED55A8"/>
    <w:rsid w:val="00ED5B3D"/>
    <w:rsid w:val="00ED680E"/>
    <w:rsid w:val="00ED6FA8"/>
    <w:rsid w:val="00ED7231"/>
    <w:rsid w:val="00ED74DB"/>
    <w:rsid w:val="00ED7A91"/>
    <w:rsid w:val="00ED7D40"/>
    <w:rsid w:val="00ED7D66"/>
    <w:rsid w:val="00EE04D1"/>
    <w:rsid w:val="00EE1A07"/>
    <w:rsid w:val="00EE266A"/>
    <w:rsid w:val="00EE3553"/>
    <w:rsid w:val="00EE5315"/>
    <w:rsid w:val="00EE584F"/>
    <w:rsid w:val="00EE6529"/>
    <w:rsid w:val="00EE704B"/>
    <w:rsid w:val="00EF0E0E"/>
    <w:rsid w:val="00EF19C8"/>
    <w:rsid w:val="00EF1C1D"/>
    <w:rsid w:val="00EF1DFD"/>
    <w:rsid w:val="00EF307D"/>
    <w:rsid w:val="00EF3A32"/>
    <w:rsid w:val="00EF4669"/>
    <w:rsid w:val="00EF552B"/>
    <w:rsid w:val="00EF56A8"/>
    <w:rsid w:val="00EF5D5C"/>
    <w:rsid w:val="00EF5EA3"/>
    <w:rsid w:val="00EF5F64"/>
    <w:rsid w:val="00EF6640"/>
    <w:rsid w:val="00EF6CF6"/>
    <w:rsid w:val="00EF727B"/>
    <w:rsid w:val="00EF7CF9"/>
    <w:rsid w:val="00F00494"/>
    <w:rsid w:val="00F00BD5"/>
    <w:rsid w:val="00F0124E"/>
    <w:rsid w:val="00F014E7"/>
    <w:rsid w:val="00F01EB3"/>
    <w:rsid w:val="00F0201D"/>
    <w:rsid w:val="00F0322B"/>
    <w:rsid w:val="00F0428A"/>
    <w:rsid w:val="00F04476"/>
    <w:rsid w:val="00F04B25"/>
    <w:rsid w:val="00F05882"/>
    <w:rsid w:val="00F06489"/>
    <w:rsid w:val="00F07BA4"/>
    <w:rsid w:val="00F100AF"/>
    <w:rsid w:val="00F10D58"/>
    <w:rsid w:val="00F112E6"/>
    <w:rsid w:val="00F118D7"/>
    <w:rsid w:val="00F12AE5"/>
    <w:rsid w:val="00F13FED"/>
    <w:rsid w:val="00F146B1"/>
    <w:rsid w:val="00F14C9C"/>
    <w:rsid w:val="00F16879"/>
    <w:rsid w:val="00F16A29"/>
    <w:rsid w:val="00F1703D"/>
    <w:rsid w:val="00F172A3"/>
    <w:rsid w:val="00F17BD6"/>
    <w:rsid w:val="00F17BF5"/>
    <w:rsid w:val="00F21008"/>
    <w:rsid w:val="00F21307"/>
    <w:rsid w:val="00F216B9"/>
    <w:rsid w:val="00F21F51"/>
    <w:rsid w:val="00F22512"/>
    <w:rsid w:val="00F229D4"/>
    <w:rsid w:val="00F23B9D"/>
    <w:rsid w:val="00F24B6A"/>
    <w:rsid w:val="00F24D7A"/>
    <w:rsid w:val="00F25A1D"/>
    <w:rsid w:val="00F25CA9"/>
    <w:rsid w:val="00F2639B"/>
    <w:rsid w:val="00F267B8"/>
    <w:rsid w:val="00F30128"/>
    <w:rsid w:val="00F30345"/>
    <w:rsid w:val="00F306FD"/>
    <w:rsid w:val="00F314F6"/>
    <w:rsid w:val="00F31D27"/>
    <w:rsid w:val="00F320B4"/>
    <w:rsid w:val="00F32264"/>
    <w:rsid w:val="00F326E2"/>
    <w:rsid w:val="00F32B19"/>
    <w:rsid w:val="00F3372C"/>
    <w:rsid w:val="00F33B1A"/>
    <w:rsid w:val="00F346E6"/>
    <w:rsid w:val="00F355E4"/>
    <w:rsid w:val="00F358F1"/>
    <w:rsid w:val="00F35910"/>
    <w:rsid w:val="00F360E5"/>
    <w:rsid w:val="00F36C70"/>
    <w:rsid w:val="00F374C8"/>
    <w:rsid w:val="00F3778E"/>
    <w:rsid w:val="00F4074E"/>
    <w:rsid w:val="00F418F6"/>
    <w:rsid w:val="00F421F2"/>
    <w:rsid w:val="00F422EB"/>
    <w:rsid w:val="00F430AC"/>
    <w:rsid w:val="00F450F6"/>
    <w:rsid w:val="00F45D2F"/>
    <w:rsid w:val="00F461D9"/>
    <w:rsid w:val="00F468C4"/>
    <w:rsid w:val="00F46D99"/>
    <w:rsid w:val="00F47D3A"/>
    <w:rsid w:val="00F47EFB"/>
    <w:rsid w:val="00F50755"/>
    <w:rsid w:val="00F5133F"/>
    <w:rsid w:val="00F5144A"/>
    <w:rsid w:val="00F52460"/>
    <w:rsid w:val="00F5365B"/>
    <w:rsid w:val="00F539AF"/>
    <w:rsid w:val="00F53F33"/>
    <w:rsid w:val="00F547E8"/>
    <w:rsid w:val="00F553E3"/>
    <w:rsid w:val="00F55940"/>
    <w:rsid w:val="00F55AE8"/>
    <w:rsid w:val="00F56658"/>
    <w:rsid w:val="00F56BF2"/>
    <w:rsid w:val="00F56E57"/>
    <w:rsid w:val="00F5706C"/>
    <w:rsid w:val="00F60B60"/>
    <w:rsid w:val="00F6113D"/>
    <w:rsid w:val="00F620EF"/>
    <w:rsid w:val="00F62C33"/>
    <w:rsid w:val="00F63256"/>
    <w:rsid w:val="00F63262"/>
    <w:rsid w:val="00F64B7A"/>
    <w:rsid w:val="00F654AF"/>
    <w:rsid w:val="00F656D7"/>
    <w:rsid w:val="00F66DC5"/>
    <w:rsid w:val="00F66F21"/>
    <w:rsid w:val="00F67128"/>
    <w:rsid w:val="00F709A5"/>
    <w:rsid w:val="00F710A5"/>
    <w:rsid w:val="00F7298C"/>
    <w:rsid w:val="00F73045"/>
    <w:rsid w:val="00F7348D"/>
    <w:rsid w:val="00F73C78"/>
    <w:rsid w:val="00F7479C"/>
    <w:rsid w:val="00F74884"/>
    <w:rsid w:val="00F74FAA"/>
    <w:rsid w:val="00F762E0"/>
    <w:rsid w:val="00F763D4"/>
    <w:rsid w:val="00F76836"/>
    <w:rsid w:val="00F772BA"/>
    <w:rsid w:val="00F77877"/>
    <w:rsid w:val="00F82C78"/>
    <w:rsid w:val="00F82D08"/>
    <w:rsid w:val="00F83B7D"/>
    <w:rsid w:val="00F83D46"/>
    <w:rsid w:val="00F83F68"/>
    <w:rsid w:val="00F840F4"/>
    <w:rsid w:val="00F84432"/>
    <w:rsid w:val="00F84525"/>
    <w:rsid w:val="00F84F39"/>
    <w:rsid w:val="00F85823"/>
    <w:rsid w:val="00F868C4"/>
    <w:rsid w:val="00F871FB"/>
    <w:rsid w:val="00F87316"/>
    <w:rsid w:val="00F87494"/>
    <w:rsid w:val="00F90DA3"/>
    <w:rsid w:val="00F91C44"/>
    <w:rsid w:val="00F91C7A"/>
    <w:rsid w:val="00F921F3"/>
    <w:rsid w:val="00F92D17"/>
    <w:rsid w:val="00F938B5"/>
    <w:rsid w:val="00F94DAE"/>
    <w:rsid w:val="00F95A44"/>
    <w:rsid w:val="00F962B9"/>
    <w:rsid w:val="00F96D13"/>
    <w:rsid w:val="00F96EAE"/>
    <w:rsid w:val="00F975FF"/>
    <w:rsid w:val="00F97DD4"/>
    <w:rsid w:val="00FA092E"/>
    <w:rsid w:val="00FA1815"/>
    <w:rsid w:val="00FA23CE"/>
    <w:rsid w:val="00FA2734"/>
    <w:rsid w:val="00FA3062"/>
    <w:rsid w:val="00FA32E4"/>
    <w:rsid w:val="00FA363E"/>
    <w:rsid w:val="00FA38CE"/>
    <w:rsid w:val="00FA4430"/>
    <w:rsid w:val="00FA4B54"/>
    <w:rsid w:val="00FA723A"/>
    <w:rsid w:val="00FA72F7"/>
    <w:rsid w:val="00FA7CE5"/>
    <w:rsid w:val="00FB036C"/>
    <w:rsid w:val="00FB057E"/>
    <w:rsid w:val="00FB1536"/>
    <w:rsid w:val="00FB1A3A"/>
    <w:rsid w:val="00FB1CC9"/>
    <w:rsid w:val="00FB36C1"/>
    <w:rsid w:val="00FB3863"/>
    <w:rsid w:val="00FB4682"/>
    <w:rsid w:val="00FB5353"/>
    <w:rsid w:val="00FB7A01"/>
    <w:rsid w:val="00FB7D53"/>
    <w:rsid w:val="00FC08E9"/>
    <w:rsid w:val="00FC096E"/>
    <w:rsid w:val="00FC09D0"/>
    <w:rsid w:val="00FC0E9B"/>
    <w:rsid w:val="00FC13D7"/>
    <w:rsid w:val="00FC1B8D"/>
    <w:rsid w:val="00FC1E50"/>
    <w:rsid w:val="00FC2D49"/>
    <w:rsid w:val="00FC2E02"/>
    <w:rsid w:val="00FC2EA3"/>
    <w:rsid w:val="00FC2FD8"/>
    <w:rsid w:val="00FC3DC9"/>
    <w:rsid w:val="00FC5A9C"/>
    <w:rsid w:val="00FC7215"/>
    <w:rsid w:val="00FC7D07"/>
    <w:rsid w:val="00FD00FE"/>
    <w:rsid w:val="00FD075A"/>
    <w:rsid w:val="00FD1792"/>
    <w:rsid w:val="00FD1C1D"/>
    <w:rsid w:val="00FD2A03"/>
    <w:rsid w:val="00FD2E58"/>
    <w:rsid w:val="00FD3AAF"/>
    <w:rsid w:val="00FD3B09"/>
    <w:rsid w:val="00FD3B17"/>
    <w:rsid w:val="00FD471E"/>
    <w:rsid w:val="00FD4F5D"/>
    <w:rsid w:val="00FD63C6"/>
    <w:rsid w:val="00FD79AF"/>
    <w:rsid w:val="00FD7CDE"/>
    <w:rsid w:val="00FE032F"/>
    <w:rsid w:val="00FE0546"/>
    <w:rsid w:val="00FE0785"/>
    <w:rsid w:val="00FE1003"/>
    <w:rsid w:val="00FE2187"/>
    <w:rsid w:val="00FE2468"/>
    <w:rsid w:val="00FE2552"/>
    <w:rsid w:val="00FE26C3"/>
    <w:rsid w:val="00FE28A5"/>
    <w:rsid w:val="00FE2C9C"/>
    <w:rsid w:val="00FE3135"/>
    <w:rsid w:val="00FE3C5D"/>
    <w:rsid w:val="00FE4C31"/>
    <w:rsid w:val="00FE5047"/>
    <w:rsid w:val="00FE51AB"/>
    <w:rsid w:val="00FE53A7"/>
    <w:rsid w:val="00FE53B5"/>
    <w:rsid w:val="00FE59DB"/>
    <w:rsid w:val="00FE5B6F"/>
    <w:rsid w:val="00FE5D0D"/>
    <w:rsid w:val="00FE669D"/>
    <w:rsid w:val="00FE66E6"/>
    <w:rsid w:val="00FE6E35"/>
    <w:rsid w:val="00FE6EAB"/>
    <w:rsid w:val="00FE6F6B"/>
    <w:rsid w:val="00FE7828"/>
    <w:rsid w:val="00FE7B18"/>
    <w:rsid w:val="00FF12EA"/>
    <w:rsid w:val="00FF2369"/>
    <w:rsid w:val="00FF28AC"/>
    <w:rsid w:val="00FF2D97"/>
    <w:rsid w:val="00FF3C04"/>
    <w:rsid w:val="00FF4424"/>
    <w:rsid w:val="00FF4AD6"/>
    <w:rsid w:val="00FF4FCF"/>
    <w:rsid w:val="00FF53FB"/>
    <w:rsid w:val="00FF5BEA"/>
    <w:rsid w:val="00FF6C5F"/>
    <w:rsid w:val="00FF784C"/>
    <w:rsid w:val="00FF7F1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6569B"/>
  <w15:docId w15:val="{D879B783-36FD-496E-B560-BEC75342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unhideWhenUsed="1" w:qFormat="1"/>
    <w:lsdException w:name="heading 8" w:uiPriority="1" w:unhideWhenUsed="1" w:qFormat="1"/>
    <w:lsdException w:name="heading 9"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unhideWhenUsed="1"/>
    <w:lsdException w:name="annotation text" w:semiHidden="1" w:uiPriority="18"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iPriority="18"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8F"/>
    <w:pPr>
      <w:spacing w:after="0" w:line="260" w:lineRule="atLeast"/>
    </w:pPr>
    <w:rPr>
      <w:rFonts w:ascii="Arial" w:hAnsi="Arial"/>
      <w:sz w:val="18"/>
      <w:szCs w:val="18"/>
      <w:lang w:val="en-GB"/>
    </w:rPr>
  </w:style>
  <w:style w:type="paragraph" w:styleId="Heading1">
    <w:name w:val="heading 1"/>
    <w:aliases w:val="Section Heading,h1,A MAJOR/BOLD,Schedheading,Heading 1(Report Only),h1 chapter heading,H1,Attribute Heading 1,Roman 14 B Heading,Roman 14 B Heading1,Roman 14 B Heading2,Roman 14 B Heading11,new page/chapter,1st level,(Alt+1),Part,Level 1,1,H11"/>
    <w:basedOn w:val="Normal"/>
    <w:next w:val="NormalIndent"/>
    <w:link w:val="Heading1Char"/>
    <w:qFormat/>
    <w:rsid w:val="00781DB0"/>
    <w:pPr>
      <w:keepNext/>
      <w:numPr>
        <w:numId w:val="4"/>
      </w:numPr>
      <w:spacing w:before="260" w:after="130"/>
      <w:outlineLvl w:val="0"/>
    </w:pPr>
    <w:rPr>
      <w:rFonts w:asciiTheme="majorHAnsi" w:eastAsiaTheme="majorEastAsia" w:hAnsiTheme="majorHAnsi" w:cstheme="majorBidi"/>
      <w:b/>
      <w:caps/>
      <w:spacing w:val="5"/>
      <w:szCs w:val="32"/>
    </w:rPr>
  </w:style>
  <w:style w:type="paragraph" w:styleId="Heading2">
    <w:name w:val="heading 2"/>
    <w:aliases w:val="Reset numbering,h2,2,Heading B,H2,(Alt+2),Attribute Heading 2,L2,Level 2,Level Heading 2,H21,H22,H23,H211,H221,H24,H212,H222,H231,H2111,H2211,h2 (TOC),Chapter Title,hoofdstuk 1.1,headline,Level 2 Topic Heading,Paragraafkop,level2,level 2,a,b"/>
    <w:basedOn w:val="Normal"/>
    <w:next w:val="NormalIndent"/>
    <w:link w:val="Heading2Char"/>
    <w:uiPriority w:val="1"/>
    <w:qFormat/>
    <w:rsid w:val="00781DB0"/>
    <w:pPr>
      <w:keepNext/>
      <w:numPr>
        <w:ilvl w:val="1"/>
        <w:numId w:val="4"/>
      </w:numPr>
      <w:spacing w:before="260" w:after="130"/>
      <w:outlineLvl w:val="1"/>
    </w:pPr>
    <w:rPr>
      <w:rFonts w:asciiTheme="majorHAnsi" w:eastAsiaTheme="majorEastAsia" w:hAnsiTheme="majorHAnsi" w:cstheme="majorBidi"/>
      <w:b/>
      <w:color w:val="000000" w:themeColor="text1"/>
      <w:szCs w:val="26"/>
    </w:rPr>
  </w:style>
  <w:style w:type="paragraph" w:styleId="Heading3">
    <w:name w:val="heading 3"/>
    <w:aliases w:val="Level 1 - 1,Heading P,Sub-section,level3,level 3,H3,Mia,MPS Standard Sub-Sub Heading,PA Minor Section,h3,numbered indent 3,ni3,Minor,Numbered - 3,.,(Alt+3),(Alt+3)1,(Alt+3)2,(Alt+3)3,(Alt+3)4,(Alt+3)5,(Alt+3)6,(Alt+3)11,(Alt+3)21,(Alt+3)31,Lev"/>
    <w:basedOn w:val="Normal"/>
    <w:next w:val="NormalIndent"/>
    <w:link w:val="Heading3Char"/>
    <w:uiPriority w:val="1"/>
    <w:qFormat/>
    <w:rsid w:val="00B92935"/>
    <w:pPr>
      <w:keepNext/>
      <w:numPr>
        <w:ilvl w:val="2"/>
        <w:numId w:val="4"/>
      </w:numPr>
      <w:spacing w:before="260" w:after="130"/>
      <w:outlineLvl w:val="2"/>
    </w:pPr>
    <w:rPr>
      <w:rFonts w:asciiTheme="majorHAnsi" w:eastAsiaTheme="majorEastAsia" w:hAnsiTheme="majorHAnsi" w:cstheme="majorBidi"/>
      <w:b/>
      <w:szCs w:val="24"/>
    </w:rPr>
  </w:style>
  <w:style w:type="paragraph" w:styleId="Heading4">
    <w:name w:val="heading 4"/>
    <w:aliases w:val="Level 2 - a,h4,Second Level Heading HM,Subhead C,Heading Four,H4,Exhibit,Lev 4,4,Heading4,h4 sub sub heading,D Sub-Sub/Plain,Level 2 - (a),GPH Heading 4,heading 4,level4,level 4,4 dash,d,3,Su,MPS Standard Sub- Sub-Sub Heading,Sub-Minor,H,(i)"/>
    <w:basedOn w:val="Normal"/>
    <w:next w:val="NormalIndent"/>
    <w:link w:val="Heading4Char"/>
    <w:uiPriority w:val="1"/>
    <w:qFormat/>
    <w:rsid w:val="00781DB0"/>
    <w:pPr>
      <w:numPr>
        <w:ilvl w:val="3"/>
        <w:numId w:val="4"/>
      </w:numPr>
      <w:spacing w:before="260" w:after="130"/>
      <w:outlineLvl w:val="3"/>
    </w:pPr>
    <w:rPr>
      <w:rFonts w:asciiTheme="majorHAnsi" w:eastAsiaTheme="majorEastAsia" w:hAnsiTheme="majorHAnsi" w:cstheme="majorBidi"/>
      <w:b/>
      <w:iCs/>
    </w:rPr>
  </w:style>
  <w:style w:type="paragraph" w:styleId="Heading5">
    <w:name w:val="heading 5"/>
    <w:aliases w:val="Level 3 - i,Heading 5(unused),Level 3 - (i),Third Level Heading,h5,Response Type,Response Type1,Response Type2,Response Type3,Response Type4,Response Type5,Response Type6,Response Type7,Appendix A to X,Heading 5   Appendix A to X,H5,Lev 5,s,5"/>
    <w:basedOn w:val="Normal"/>
    <w:next w:val="NormalIndent"/>
    <w:link w:val="Heading5Char"/>
    <w:uiPriority w:val="1"/>
    <w:qFormat/>
    <w:rsid w:val="00781DB0"/>
    <w:pPr>
      <w:numPr>
        <w:ilvl w:val="4"/>
        <w:numId w:val="4"/>
      </w:numPr>
      <w:spacing w:before="260" w:after="130"/>
      <w:outlineLvl w:val="4"/>
    </w:pPr>
    <w:rPr>
      <w:rFonts w:asciiTheme="majorHAnsi" w:eastAsiaTheme="majorEastAsia" w:hAnsiTheme="majorHAnsi" w:cstheme="majorBidi"/>
      <w:b/>
    </w:rPr>
  </w:style>
  <w:style w:type="paragraph" w:styleId="Heading6">
    <w:name w:val="heading 6"/>
    <w:aliases w:val="Legal Level 1.,Heading 6(unused),L1 PIP,Heading 6  Appendix Y &amp; Z,Lev 6,H6 DO NOT USE,Bullet list,PA Appendix,H6,H61,PR14,6,h6,level6,level 6,ITT t6,Normal diagram,(I),Marginal,a.,dash GS,Name of Org,Body Text 5,as Char,Points in Text,as,(A"/>
    <w:basedOn w:val="Normal"/>
    <w:next w:val="Normal"/>
    <w:link w:val="Heading6Char"/>
    <w:uiPriority w:val="1"/>
    <w:qFormat/>
    <w:rsid w:val="00EB546C"/>
    <w:pPr>
      <w:keepNext/>
      <w:keepLines/>
      <w:numPr>
        <w:ilvl w:val="5"/>
        <w:numId w:val="4"/>
      </w:numPr>
      <w:spacing w:before="260" w:after="130"/>
      <w:outlineLvl w:val="5"/>
    </w:pPr>
    <w:rPr>
      <w:rFonts w:asciiTheme="majorHAnsi" w:eastAsiaTheme="majorEastAsia" w:hAnsiTheme="majorHAnsi" w:cstheme="majorBidi"/>
      <w:b/>
    </w:rPr>
  </w:style>
  <w:style w:type="paragraph" w:styleId="Heading7">
    <w:name w:val="heading 7"/>
    <w:aliases w:val="Legal Level 1.1.,Simple arabic numbers,h7,Heading 7(unused),L2 PIP,Lev 7,H7DO NOT USE,PA Appendix Major,H7,ITT t7,level1-noHeading,E1 Marginal,i.,(1),ap,square GS,level1noheading,Body Text 6,7,i.1,L7,Indented hyphen,Heading 7 Char1,Style 27"/>
    <w:basedOn w:val="Normal"/>
    <w:next w:val="Normal"/>
    <w:link w:val="Heading7Char"/>
    <w:uiPriority w:val="1"/>
    <w:qFormat/>
    <w:rsid w:val="007875B4"/>
    <w:pPr>
      <w:keepNext/>
      <w:keepLines/>
      <w:numPr>
        <w:ilvl w:val="6"/>
        <w:numId w:val="4"/>
      </w:numPr>
      <w:spacing w:before="260" w:after="130"/>
      <w:outlineLvl w:val="6"/>
    </w:pPr>
    <w:rPr>
      <w:rFonts w:asciiTheme="majorHAnsi" w:eastAsiaTheme="majorEastAsia" w:hAnsiTheme="majorHAnsi" w:cstheme="majorBidi"/>
      <w:b/>
      <w:iCs/>
    </w:rPr>
  </w:style>
  <w:style w:type="paragraph" w:styleId="Heading8">
    <w:name w:val="heading 8"/>
    <w:aliases w:val="Legal Level 1.1.1.,Lev 8,h8 DO NOT USE,PA Appendix Minor,H8,ITT t8,level2(a),E2 Marginal,h8,- Accura 1.1.1,8,Simple alpha numbers,AppendixSubHead,Legal Level 1.1.1. + Pattern: Clear (White) + Patter...,Style 52,heading style 8,Style 36,Blank 4"/>
    <w:basedOn w:val="Normal"/>
    <w:next w:val="Normal"/>
    <w:link w:val="Heading8Char"/>
    <w:uiPriority w:val="1"/>
    <w:qFormat/>
    <w:rsid w:val="007875B4"/>
    <w:pPr>
      <w:keepNext/>
      <w:keepLines/>
      <w:numPr>
        <w:ilvl w:val="7"/>
        <w:numId w:val="4"/>
      </w:numPr>
      <w:spacing w:before="260" w:after="130"/>
      <w:outlineLvl w:val="7"/>
    </w:pPr>
    <w:rPr>
      <w:rFonts w:asciiTheme="majorHAnsi" w:eastAsiaTheme="majorEastAsia" w:hAnsiTheme="majorHAnsi" w:cstheme="majorBidi"/>
      <w:b/>
      <w:szCs w:val="21"/>
    </w:rPr>
  </w:style>
  <w:style w:type="paragraph" w:styleId="Heading9">
    <w:name w:val="heading 9"/>
    <w:aliases w:val="Legal Level 1.1.1.1.,Heading 9 (defunct),Lev 9,h9 DO NOT USE,App Heading,Titre 10,App1,H9,ITT t9,level3(i),E3 Marginal,h9,9,AppendixBodyHead,Simple (sm) roman numbers,Style 53,heading style 9,Style 37,Style 71,Style 79,_hh_Heading9,Blank 5,Uve"/>
    <w:basedOn w:val="Normal"/>
    <w:next w:val="Normal"/>
    <w:link w:val="Heading9Char"/>
    <w:uiPriority w:val="1"/>
    <w:qFormat/>
    <w:rsid w:val="007875B4"/>
    <w:pPr>
      <w:keepNext/>
      <w:keepLines/>
      <w:numPr>
        <w:ilvl w:val="8"/>
        <w:numId w:val="4"/>
      </w:numPr>
      <w:spacing w:before="260" w:after="130"/>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A MAJOR/BOLD Char,Schedheading Char,Heading 1(Report Only) Char,h1 chapter heading Char,H1 Char,Attribute Heading 1 Char,Roman 14 B Heading Char,Roman 14 B Heading1 Char,Roman 14 B Heading2 Char,1st level Char"/>
    <w:basedOn w:val="DefaultParagraphFont"/>
    <w:link w:val="Heading1"/>
    <w:rsid w:val="00781DB0"/>
    <w:rPr>
      <w:rFonts w:asciiTheme="majorHAnsi" w:eastAsiaTheme="majorEastAsia" w:hAnsiTheme="majorHAnsi" w:cstheme="majorBidi"/>
      <w:b/>
      <w:caps/>
      <w:spacing w:val="5"/>
      <w:sz w:val="18"/>
      <w:szCs w:val="32"/>
    </w:rPr>
  </w:style>
  <w:style w:type="paragraph" w:styleId="NoSpacing">
    <w:name w:val="No Spacing"/>
    <w:uiPriority w:val="1"/>
    <w:qFormat/>
    <w:rsid w:val="0000009B"/>
    <w:pPr>
      <w:spacing w:after="0" w:line="240" w:lineRule="auto"/>
    </w:pPr>
    <w:rPr>
      <w:sz w:val="18"/>
      <w:lang w:val="en-GB"/>
    </w:rPr>
  </w:style>
  <w:style w:type="character" w:customStyle="1" w:styleId="Heading2Char">
    <w:name w:val="Heading 2 Char"/>
    <w:aliases w:val="Reset numbering Char,h2 Char,2 Char,Heading B Char,H2 Char,(Alt+2) Char,Attribute Heading 2 Char,L2 Char,Level 2 Char,Level Heading 2 Char,H21 Char,H22 Char,H23 Char,H211 Char,H221 Char,H24 Char,H212 Char,H222 Char,H231 Char,H2111 Char"/>
    <w:basedOn w:val="DefaultParagraphFont"/>
    <w:link w:val="Heading2"/>
    <w:rsid w:val="00781DB0"/>
    <w:rPr>
      <w:rFonts w:asciiTheme="majorHAnsi" w:eastAsiaTheme="majorEastAsia" w:hAnsiTheme="majorHAnsi" w:cstheme="majorBidi"/>
      <w:b/>
      <w:color w:val="000000" w:themeColor="text1"/>
      <w:sz w:val="18"/>
      <w:szCs w:val="26"/>
    </w:rPr>
  </w:style>
  <w:style w:type="character" w:customStyle="1" w:styleId="Heading3Char">
    <w:name w:val="Heading 3 Char"/>
    <w:aliases w:val="Level 1 - 1 Char,Heading P Char,Sub-section Char,level3 Char,level 3 Char,H3 Char,Mia Char,MPS Standard Sub-Sub Heading Char,PA Minor Section Char,h3 Char,numbered indent 3 Char,ni3 Char,Minor Char,Numbered - 3 Char,. Char,(Alt+3) Char"/>
    <w:basedOn w:val="DefaultParagraphFont"/>
    <w:link w:val="Heading3"/>
    <w:rsid w:val="00B92935"/>
    <w:rPr>
      <w:rFonts w:asciiTheme="majorHAnsi" w:eastAsiaTheme="majorEastAsia" w:hAnsiTheme="majorHAnsi" w:cstheme="majorBidi"/>
      <w:b/>
      <w:sz w:val="18"/>
      <w:szCs w:val="24"/>
    </w:rPr>
  </w:style>
  <w:style w:type="character" w:customStyle="1" w:styleId="Heading4Char">
    <w:name w:val="Heading 4 Char"/>
    <w:aliases w:val="Level 2 - a Char,h4 Char,Second Level Heading HM Char,Subhead C Char,Heading Four Char,H4 Char,Exhibit Char,Lev 4 Char,4 Char,Heading4 Char,h4 sub sub heading Char,D Sub-Sub/Plain Char,Level 2 - (a) Char,GPH Heading 4 Char,heading 4 Char"/>
    <w:basedOn w:val="DefaultParagraphFont"/>
    <w:link w:val="Heading4"/>
    <w:rsid w:val="00781DB0"/>
    <w:rPr>
      <w:rFonts w:asciiTheme="majorHAnsi" w:eastAsiaTheme="majorEastAsia" w:hAnsiTheme="majorHAnsi" w:cstheme="majorBidi"/>
      <w:b/>
      <w:iCs/>
      <w:sz w:val="18"/>
      <w:szCs w:val="18"/>
    </w:rPr>
  </w:style>
  <w:style w:type="character" w:customStyle="1" w:styleId="Heading5Char">
    <w:name w:val="Heading 5 Char"/>
    <w:aliases w:val="Level 3 - i Char,Heading 5(unused) Char,Level 3 - (i) Char,Third Level Heading Char,h5 Char,Response Type Char,Response Type1 Char,Response Type2 Char,Response Type3 Char,Response Type4 Char,Response Type5 Char,Response Type6 Char,H5 Char"/>
    <w:basedOn w:val="DefaultParagraphFont"/>
    <w:link w:val="Heading5"/>
    <w:rsid w:val="00781DB0"/>
    <w:rPr>
      <w:rFonts w:asciiTheme="majorHAnsi" w:eastAsiaTheme="majorEastAsia" w:hAnsiTheme="majorHAnsi" w:cstheme="majorBidi"/>
      <w:b/>
      <w:sz w:val="18"/>
      <w:szCs w:val="18"/>
    </w:rPr>
  </w:style>
  <w:style w:type="character" w:customStyle="1" w:styleId="Heading6Char">
    <w:name w:val="Heading 6 Char"/>
    <w:aliases w:val="Legal Level 1. Char,Heading 6(unused) Char,L1 PIP Char,Heading 6  Appendix Y &amp; Z Char,Lev 6 Char,H6 DO NOT USE Char,Bullet list Char,PA Appendix Char,H6 Char,H61 Char,PR14 Char,6 Char,h6 Char,level6 Char,level 6 Char,ITT t6 Char,(I) Char"/>
    <w:basedOn w:val="DefaultParagraphFont"/>
    <w:link w:val="Heading6"/>
    <w:rsid w:val="00EB546C"/>
    <w:rPr>
      <w:rFonts w:asciiTheme="majorHAnsi" w:eastAsiaTheme="majorEastAsia" w:hAnsiTheme="majorHAnsi" w:cstheme="majorBidi"/>
      <w:b/>
      <w:sz w:val="18"/>
      <w:szCs w:val="18"/>
    </w:rPr>
  </w:style>
  <w:style w:type="character" w:customStyle="1" w:styleId="Heading7Char">
    <w:name w:val="Heading 7 Char"/>
    <w:aliases w:val="Legal Level 1.1. Char,Simple arabic numbers Char,h7 Char,Heading 7(unused) Char,L2 PIP Char,Lev 7 Char,H7DO NOT USE Char,PA Appendix Major Char,H7 Char,ITT t7 Char,level1-noHeading Char,E1 Marginal Char,i. Char,(1) Char,ap Char,7 Char"/>
    <w:basedOn w:val="DefaultParagraphFont"/>
    <w:link w:val="Heading7"/>
    <w:rsid w:val="007875B4"/>
    <w:rPr>
      <w:rFonts w:asciiTheme="majorHAnsi" w:eastAsiaTheme="majorEastAsia" w:hAnsiTheme="majorHAnsi" w:cstheme="majorBidi"/>
      <w:b/>
      <w:iCs/>
      <w:sz w:val="18"/>
      <w:szCs w:val="18"/>
    </w:rPr>
  </w:style>
  <w:style w:type="character" w:customStyle="1" w:styleId="Heading8Char">
    <w:name w:val="Heading 8 Char"/>
    <w:aliases w:val="Legal Level 1.1.1. Char,Lev 8 Char,h8 DO NOT USE Char,PA Appendix Minor Char,H8 Char,ITT t8 Char,level2(a) Char,E2 Marginal Char,h8 Char,- Accura 1.1.1 Char,8 Char,Simple alpha numbers Char,AppendixSubHead Char,Style 52 Char,Style 36 Char"/>
    <w:basedOn w:val="DefaultParagraphFont"/>
    <w:link w:val="Heading8"/>
    <w:rsid w:val="007875B4"/>
    <w:rPr>
      <w:rFonts w:asciiTheme="majorHAnsi" w:eastAsiaTheme="majorEastAsia" w:hAnsiTheme="majorHAnsi" w:cstheme="majorBidi"/>
      <w:b/>
      <w:sz w:val="18"/>
      <w:szCs w:val="21"/>
    </w:rPr>
  </w:style>
  <w:style w:type="character" w:customStyle="1" w:styleId="Heading9Char">
    <w:name w:val="Heading 9 Char"/>
    <w:aliases w:val="Legal Level 1.1.1.1. Char,Heading 9 (defunct) Char,Lev 9 Char,h9 DO NOT USE Char,App Heading Char,Titre 10 Char,App1 Char,H9 Char,ITT t9 Char,level3(i) Char,E3 Marginal Char,h9 Char,9 Char,AppendixBodyHead Char,Style 53 Char,Style 37 Char"/>
    <w:basedOn w:val="DefaultParagraphFont"/>
    <w:link w:val="Heading9"/>
    <w:rsid w:val="007875B4"/>
    <w:rPr>
      <w:rFonts w:asciiTheme="majorHAnsi" w:eastAsiaTheme="majorEastAsia" w:hAnsiTheme="majorHAnsi" w:cstheme="majorBidi"/>
      <w:b/>
      <w:iCs/>
      <w:sz w:val="18"/>
      <w:szCs w:val="21"/>
    </w:rPr>
  </w:style>
  <w:style w:type="paragraph" w:styleId="TOC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TOC2">
    <w:name w:val="toc 2"/>
    <w:basedOn w:val="Normal"/>
    <w:next w:val="Normal"/>
    <w:autoRedefine/>
    <w:uiPriority w:val="39"/>
    <w:rsid w:val="00FA1ED1"/>
    <w:pPr>
      <w:tabs>
        <w:tab w:val="left" w:pos="1134"/>
        <w:tab w:val="right" w:pos="9894"/>
      </w:tabs>
      <w:ind w:left="1134" w:right="567" w:hanging="1134"/>
    </w:pPr>
    <w:rPr>
      <w:noProof/>
    </w:rPr>
  </w:style>
  <w:style w:type="paragraph" w:styleId="TOC3">
    <w:name w:val="toc 3"/>
    <w:basedOn w:val="Normal"/>
    <w:next w:val="Normal"/>
    <w:autoRedefine/>
    <w:uiPriority w:val="39"/>
    <w:rsid w:val="003F5669"/>
    <w:pPr>
      <w:tabs>
        <w:tab w:val="left" w:pos="1134"/>
        <w:tab w:val="right" w:pos="9894"/>
      </w:tabs>
      <w:ind w:left="1134" w:right="567" w:hanging="1134"/>
    </w:pPr>
    <w:rPr>
      <w:noProof/>
    </w:rPr>
  </w:style>
  <w:style w:type="paragraph" w:styleId="ListBullet">
    <w:name w:val="List Bullet"/>
    <w:basedOn w:val="Normal"/>
    <w:uiPriority w:val="10"/>
    <w:rsid w:val="00EC6AFC"/>
    <w:pPr>
      <w:spacing w:after="80"/>
      <w:ind w:left="1191" w:hanging="340"/>
    </w:pPr>
  </w:style>
  <w:style w:type="paragraph" w:styleId="Title">
    <w:name w:val="Title"/>
    <w:basedOn w:val="Normal"/>
    <w:next w:val="Normal"/>
    <w:link w:val="TitleChar"/>
    <w:uiPriority w:val="10"/>
    <w:qFormat/>
    <w:rsid w:val="002016A1"/>
    <w:pPr>
      <w:spacing w:after="300" w:line="880" w:lineRule="exact"/>
      <w:contextualSpacing/>
    </w:pPr>
    <w:rPr>
      <w:rFonts w:ascii="Times New Roman" w:eastAsiaTheme="majorEastAsia" w:hAnsi="Times New Roman" w:cstheme="majorBidi"/>
      <w:caps/>
      <w:color w:val="003C46" w:themeColor="accent1"/>
      <w:spacing w:val="5"/>
      <w:sz w:val="84"/>
      <w:szCs w:val="56"/>
    </w:rPr>
  </w:style>
  <w:style w:type="character" w:customStyle="1" w:styleId="TitleChar">
    <w:name w:val="Title Char"/>
    <w:basedOn w:val="DefaultParagraphFont"/>
    <w:link w:val="Title"/>
    <w:uiPriority w:val="10"/>
    <w:rsid w:val="002016A1"/>
    <w:rPr>
      <w:rFonts w:ascii="Times New Roman" w:eastAsiaTheme="majorEastAsia" w:hAnsi="Times New Roman" w:cstheme="majorBidi"/>
      <w:caps/>
      <w:color w:val="003C46" w:themeColor="accent1"/>
      <w:spacing w:val="5"/>
      <w:sz w:val="84"/>
      <w:szCs w:val="56"/>
    </w:rPr>
  </w:style>
  <w:style w:type="paragraph" w:styleId="Subtitle">
    <w:name w:val="Subtitle"/>
    <w:basedOn w:val="Normal"/>
    <w:next w:val="Normal"/>
    <w:link w:val="SubtitleChar"/>
    <w:uiPriority w:val="11"/>
    <w:qFormat/>
    <w:rsid w:val="005D1161"/>
    <w:pPr>
      <w:numPr>
        <w:ilvl w:val="1"/>
      </w:numPr>
      <w:spacing w:before="40" w:line="0" w:lineRule="atLeast"/>
    </w:pPr>
    <w:rPr>
      <w:rFonts w:ascii="Times New Roman" w:eastAsiaTheme="minorEastAsia" w:hAnsi="Times New Roman"/>
      <w:caps/>
      <w:color w:val="99B1B5" w:themeColor="accent3"/>
      <w:sz w:val="40"/>
    </w:rPr>
  </w:style>
  <w:style w:type="character" w:customStyle="1" w:styleId="SubtitleChar">
    <w:name w:val="Subtitle Char"/>
    <w:basedOn w:val="DefaultParagraphFont"/>
    <w:link w:val="Subtitle"/>
    <w:uiPriority w:val="11"/>
    <w:rsid w:val="005D1161"/>
    <w:rPr>
      <w:rFonts w:ascii="Times New Roman" w:eastAsiaTheme="minorEastAsia" w:hAnsi="Times New Roman"/>
      <w:caps/>
      <w:color w:val="99B1B5" w:themeColor="accent3"/>
      <w:sz w:val="40"/>
      <w:szCs w:val="18"/>
    </w:rPr>
  </w:style>
  <w:style w:type="character" w:styleId="Emphasis">
    <w:name w:val="Emphasis"/>
    <w:basedOn w:val="DefaultParagraphFont"/>
    <w:uiPriority w:val="20"/>
    <w:qFormat/>
    <w:rsid w:val="0064435B"/>
    <w:rPr>
      <w:i/>
      <w:iCs/>
    </w:rPr>
  </w:style>
  <w:style w:type="character" w:styleId="Strong">
    <w:name w:val="Strong"/>
    <w:basedOn w:val="DefaultParagraphFont"/>
    <w:uiPriority w:val="22"/>
    <w:qFormat/>
    <w:rsid w:val="0064435B"/>
    <w:rPr>
      <w:b/>
      <w:bCs/>
    </w:rPr>
  </w:style>
  <w:style w:type="paragraph" w:styleId="Quote">
    <w:name w:val="Quote"/>
    <w:basedOn w:val="Normal"/>
    <w:next w:val="Normal"/>
    <w:link w:val="QuoteChar"/>
    <w:uiPriority w:val="29"/>
    <w:qFormat/>
    <w:rsid w:val="0064435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435B"/>
    <w:rPr>
      <w:rFonts w:ascii="Arial" w:hAnsi="Arial"/>
      <w:i/>
      <w:iCs/>
      <w:color w:val="404040" w:themeColor="text1" w:themeTint="BF"/>
      <w:sz w:val="18"/>
      <w:szCs w:val="18"/>
    </w:rPr>
  </w:style>
  <w:style w:type="paragraph" w:styleId="Caption">
    <w:name w:val="caption"/>
    <w:basedOn w:val="Normal"/>
    <w:next w:val="Normal"/>
    <w:uiPriority w:val="5"/>
    <w:rsid w:val="00F46D49"/>
    <w:pPr>
      <w:spacing w:after="260" w:line="200" w:lineRule="atLeast"/>
      <w:contextualSpacing/>
    </w:pPr>
    <w:rPr>
      <w:bCs/>
      <w:i/>
      <w:color w:val="808080"/>
      <w:sz w:val="14"/>
    </w:rPr>
  </w:style>
  <w:style w:type="character" w:styleId="PageNumber">
    <w:name w:val="page number"/>
    <w:basedOn w:val="DefaultParagraphFont"/>
    <w:uiPriority w:val="99"/>
    <w:rsid w:val="0064435B"/>
  </w:style>
  <w:style w:type="character" w:styleId="FootnoteReference">
    <w:name w:val="footnote reference"/>
    <w:basedOn w:val="DefaultParagraphFont"/>
    <w:rsid w:val="0064435B"/>
    <w:rPr>
      <w:vertAlign w:val="superscript"/>
    </w:rPr>
  </w:style>
  <w:style w:type="paragraph" w:styleId="FootnoteText">
    <w:name w:val="footnote text"/>
    <w:basedOn w:val="Normal"/>
    <w:link w:val="FootnoteTextChar"/>
    <w:rsid w:val="00A41003"/>
    <w:rPr>
      <w:sz w:val="12"/>
      <w:szCs w:val="20"/>
    </w:rPr>
  </w:style>
  <w:style w:type="character" w:customStyle="1" w:styleId="FootnoteTextChar">
    <w:name w:val="Footnote Text Char"/>
    <w:basedOn w:val="DefaultParagraphFont"/>
    <w:link w:val="FootnoteText"/>
    <w:rsid w:val="00A41003"/>
    <w:rPr>
      <w:rFonts w:ascii="Arial" w:hAnsi="Arial"/>
      <w:sz w:val="12"/>
      <w:szCs w:val="20"/>
    </w:rPr>
  </w:style>
  <w:style w:type="paragraph" w:styleId="Footer">
    <w:name w:val="footer"/>
    <w:basedOn w:val="Normal"/>
    <w:link w:val="FooterChar"/>
    <w:uiPriority w:val="99"/>
    <w:rsid w:val="0064435B"/>
    <w:pPr>
      <w:tabs>
        <w:tab w:val="center" w:pos="4680"/>
        <w:tab w:val="right" w:pos="9360"/>
      </w:tabs>
      <w:spacing w:line="240" w:lineRule="auto"/>
    </w:pPr>
  </w:style>
  <w:style w:type="character" w:customStyle="1" w:styleId="FooterChar">
    <w:name w:val="Footer Char"/>
    <w:basedOn w:val="DefaultParagraphFont"/>
    <w:link w:val="Footer"/>
    <w:uiPriority w:val="99"/>
    <w:rsid w:val="0064435B"/>
    <w:rPr>
      <w:rFonts w:ascii="Arial" w:hAnsi="Arial"/>
      <w:sz w:val="18"/>
      <w:szCs w:val="18"/>
    </w:rPr>
  </w:style>
  <w:style w:type="paragraph" w:styleId="TOCHeading">
    <w:name w:val="TOC Heading"/>
    <w:basedOn w:val="Heading1"/>
    <w:next w:val="Normal"/>
    <w:uiPriority w:val="39"/>
    <w:qFormat/>
    <w:rsid w:val="003E73F1"/>
    <w:pPr>
      <w:pageBreakBefore/>
      <w:numPr>
        <w:numId w:val="0"/>
      </w:numPr>
      <w:spacing w:before="0" w:after="260"/>
      <w:outlineLvl w:val="9"/>
    </w:pPr>
  </w:style>
  <w:style w:type="character" w:styleId="Hyperlink">
    <w:name w:val="Hyperlink"/>
    <w:basedOn w:val="DefaultParagraphFont"/>
    <w:uiPriority w:val="99"/>
    <w:unhideWhenUsed/>
    <w:rsid w:val="00433CA2"/>
    <w:rPr>
      <w:color w:val="33636B" w:themeColor="hyperlink"/>
      <w:u w:val="single"/>
    </w:rPr>
  </w:style>
  <w:style w:type="paragraph" w:styleId="ListNumber">
    <w:name w:val="List Number"/>
    <w:basedOn w:val="Normal"/>
    <w:uiPriority w:val="10"/>
    <w:rsid w:val="006658AA"/>
    <w:pPr>
      <w:numPr>
        <w:numId w:val="1"/>
      </w:numPr>
      <w:contextualSpacing/>
    </w:pPr>
  </w:style>
  <w:style w:type="paragraph" w:customStyle="1" w:styleId="DSHeadingNoToc1">
    <w:name w:val="DS_Heading_NoToc_1"/>
    <w:basedOn w:val="Heading1"/>
    <w:next w:val="NormalIndent"/>
    <w:qFormat/>
    <w:rsid w:val="00A337D5"/>
    <w:pPr>
      <w:spacing w:before="130"/>
      <w:outlineLvl w:val="9"/>
    </w:pPr>
    <w:rPr>
      <w:rFonts w:asciiTheme="minorHAnsi" w:hAnsiTheme="minorHAnsi"/>
      <w:b w:val="0"/>
    </w:rPr>
  </w:style>
  <w:style w:type="paragraph" w:customStyle="1" w:styleId="DSHeadingNoToc2">
    <w:name w:val="DS_Heading_NoToc_2"/>
    <w:basedOn w:val="Heading2"/>
    <w:next w:val="NormalIndent"/>
    <w:qFormat/>
    <w:rsid w:val="000A5372"/>
    <w:pPr>
      <w:keepNext w:val="0"/>
      <w:keepLines/>
      <w:spacing w:before="130"/>
      <w:outlineLvl w:val="5"/>
    </w:pPr>
    <w:rPr>
      <w:rFonts w:asciiTheme="minorHAnsi" w:hAnsiTheme="minorHAnsi"/>
      <w:b w:val="0"/>
    </w:rPr>
  </w:style>
  <w:style w:type="paragraph" w:customStyle="1" w:styleId="DSHeadingNoToc3">
    <w:name w:val="DS_Heading_NoToc_3"/>
    <w:basedOn w:val="Heading3"/>
    <w:next w:val="NormalIndent"/>
    <w:qFormat/>
    <w:rsid w:val="005032B6"/>
    <w:pPr>
      <w:keepNext w:val="0"/>
      <w:keepLines/>
      <w:spacing w:before="130"/>
      <w:outlineLvl w:val="5"/>
    </w:pPr>
    <w:rPr>
      <w:rFonts w:asciiTheme="minorHAnsi" w:hAnsiTheme="minorHAnsi"/>
      <w:b w:val="0"/>
    </w:rPr>
  </w:style>
  <w:style w:type="paragraph" w:customStyle="1" w:styleId="DSHeadingNoToc4">
    <w:name w:val="DS_Heading_NoToc_4"/>
    <w:basedOn w:val="Heading4"/>
    <w:next w:val="NormalIndent"/>
    <w:qFormat/>
    <w:rsid w:val="000A5372"/>
    <w:pPr>
      <w:keepLines/>
      <w:spacing w:before="130"/>
      <w:ind w:left="862" w:hanging="862"/>
      <w:outlineLvl w:val="5"/>
    </w:pPr>
    <w:rPr>
      <w:rFonts w:asciiTheme="minorHAnsi" w:hAnsiTheme="minorHAnsi"/>
      <w:b w:val="0"/>
      <w:iCs w:val="0"/>
    </w:rPr>
  </w:style>
  <w:style w:type="paragraph" w:customStyle="1" w:styleId="DSHeadingNoToc5">
    <w:name w:val="DS_Heading_NoToc_5"/>
    <w:basedOn w:val="Heading5"/>
    <w:next w:val="NormalIndent"/>
    <w:qFormat/>
    <w:rsid w:val="000A5372"/>
    <w:pPr>
      <w:keepLines/>
      <w:spacing w:before="130"/>
      <w:outlineLvl w:val="5"/>
    </w:pPr>
    <w:rPr>
      <w:rFonts w:asciiTheme="minorHAnsi" w:hAnsiTheme="minorHAnsi"/>
      <w:b w:val="0"/>
    </w:rPr>
  </w:style>
  <w:style w:type="paragraph" w:customStyle="1" w:styleId="DSHeadingNoToc6">
    <w:name w:val="DS_Heading_NoToc_6"/>
    <w:basedOn w:val="Heading6"/>
    <w:next w:val="NormalIndent"/>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Heading7"/>
    <w:next w:val="NormalIndent"/>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Heading8"/>
    <w:next w:val="NormalIndent"/>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Heading9"/>
    <w:next w:val="NormalIndent"/>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NoSpacing"/>
    <w:qFormat/>
    <w:rsid w:val="00AC23F2"/>
    <w:pPr>
      <w:spacing w:line="260" w:lineRule="atLeast"/>
      <w:contextualSpacing/>
    </w:pPr>
    <w:rPr>
      <w:rFonts w:eastAsia="Times New Roman" w:cs="Times New Roman"/>
      <w:caps/>
      <w:noProof/>
      <w:color w:val="003C46"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Header">
    <w:name w:val="header"/>
    <w:basedOn w:val="Normal"/>
    <w:link w:val="HeaderChar"/>
    <w:uiPriority w:val="99"/>
    <w:unhideWhenUsed/>
    <w:rsid w:val="00C91A05"/>
    <w:pPr>
      <w:tabs>
        <w:tab w:val="center" w:pos="4680"/>
        <w:tab w:val="right" w:pos="9360"/>
      </w:tabs>
      <w:spacing w:line="240" w:lineRule="auto"/>
    </w:pPr>
  </w:style>
  <w:style w:type="character" w:customStyle="1" w:styleId="HeaderChar">
    <w:name w:val="Header Char"/>
    <w:basedOn w:val="DefaultParagraphFont"/>
    <w:link w:val="Header"/>
    <w:uiPriority w:val="99"/>
    <w:rsid w:val="00C91A05"/>
    <w:rPr>
      <w:rFonts w:ascii="Arial" w:hAnsi="Arial"/>
      <w:sz w:val="18"/>
      <w:szCs w:val="18"/>
    </w:rPr>
  </w:style>
  <w:style w:type="paragraph" w:styleId="BalloonText">
    <w:name w:val="Balloon Text"/>
    <w:basedOn w:val="Normal"/>
    <w:link w:val="BalloonTextChar"/>
    <w:uiPriority w:val="99"/>
    <w:semiHidden/>
    <w:unhideWhenUsed/>
    <w:rsid w:val="00401C6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01C65"/>
    <w:rPr>
      <w:rFonts w:ascii="Segoe UI" w:hAnsi="Segoe UI" w:cs="Segoe UI"/>
      <w:sz w:val="18"/>
      <w:szCs w:val="18"/>
      <w:lang w:val="en-GB"/>
    </w:rPr>
  </w:style>
  <w:style w:type="paragraph" w:styleId="ListParagraph">
    <w:name w:val="List Paragraph"/>
    <w:basedOn w:val="Normal"/>
    <w:uiPriority w:val="34"/>
    <w:unhideWhenUsed/>
    <w:qFormat/>
    <w:rsid w:val="000925AA"/>
    <w:pPr>
      <w:ind w:left="720"/>
      <w:contextualSpacing/>
    </w:pPr>
  </w:style>
  <w:style w:type="paragraph" w:customStyle="1" w:styleId="DSNumberedList10">
    <w:name w:val="DS_NumberedList_1"/>
    <w:basedOn w:val="Normal"/>
    <w:qFormat/>
    <w:rsid w:val="000E5549"/>
    <w:pPr>
      <w:numPr>
        <w:numId w:val="11"/>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2"/>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7"/>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3"/>
      </w:numPr>
    </w:pPr>
  </w:style>
  <w:style w:type="numbering" w:customStyle="1" w:styleId="DSNumberedlist1">
    <w:name w:val="DS_Numbered list 1."/>
    <w:uiPriority w:val="99"/>
    <w:rsid w:val="00D9698D"/>
    <w:pPr>
      <w:numPr>
        <w:numId w:val="5"/>
      </w:numPr>
    </w:pPr>
  </w:style>
  <w:style w:type="numbering" w:customStyle="1" w:styleId="DSNumberedListII">
    <w:name w:val="DS_Numbered List II"/>
    <w:uiPriority w:val="99"/>
    <w:rsid w:val="00DF4C56"/>
    <w:pPr>
      <w:numPr>
        <w:numId w:val="6"/>
      </w:numPr>
    </w:pPr>
  </w:style>
  <w:style w:type="numbering" w:customStyle="1" w:styleId="DSNumberedListA">
    <w:name w:val="DS_Numbered List A"/>
    <w:uiPriority w:val="99"/>
    <w:rsid w:val="007A5EDC"/>
    <w:pPr>
      <w:numPr>
        <w:numId w:val="8"/>
      </w:numPr>
    </w:pPr>
  </w:style>
  <w:style w:type="character" w:customStyle="1" w:styleId="DSProductions">
    <w:name w:val="DS_Productions"/>
    <w:basedOn w:val="DefaultParagraphFont"/>
    <w:uiPriority w:val="1"/>
    <w:qFormat/>
    <w:rsid w:val="00C119A8"/>
    <w:rPr>
      <w:b/>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9"/>
      </w:numPr>
    </w:pPr>
  </w:style>
  <w:style w:type="paragraph" w:customStyle="1" w:styleId="DSBodyTextNumbered1">
    <w:name w:val="DS_BodyText_Numbered_1"/>
    <w:basedOn w:val="Normal"/>
    <w:qFormat/>
    <w:rsid w:val="008D2DFD"/>
    <w:pPr>
      <w:numPr>
        <w:numId w:val="10"/>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Heading1"/>
    <w:next w:val="Normal"/>
    <w:qFormat/>
    <w:rsid w:val="00EC6AFC"/>
    <w:pPr>
      <w:numPr>
        <w:numId w:val="0"/>
      </w:numPr>
      <w:spacing w:line="260" w:lineRule="exact"/>
      <w:outlineLvl w:val="9"/>
    </w:pPr>
  </w:style>
  <w:style w:type="paragraph" w:customStyle="1" w:styleId="DSHeadingUnnumbered2">
    <w:name w:val="DS_Heading_Unnumbered_2"/>
    <w:basedOn w:val="Heading2"/>
    <w:qFormat/>
    <w:rsid w:val="00EC6AFC"/>
    <w:pPr>
      <w:numPr>
        <w:ilvl w:val="0"/>
        <w:numId w:val="0"/>
      </w:numPr>
      <w:outlineLvl w:val="9"/>
    </w:pPr>
  </w:style>
  <w:style w:type="paragraph" w:customStyle="1" w:styleId="DSHeadingUnnumbered3">
    <w:name w:val="DS_Heading_Unnumbered_3"/>
    <w:basedOn w:val="Heading3"/>
    <w:next w:val="Normal"/>
    <w:qFormat/>
    <w:rsid w:val="00EC6AFC"/>
    <w:pPr>
      <w:numPr>
        <w:ilvl w:val="0"/>
        <w:numId w:val="0"/>
      </w:numPr>
      <w:outlineLvl w:val="9"/>
    </w:pPr>
  </w:style>
  <w:style w:type="paragraph" w:customStyle="1" w:styleId="DSHeadingUnnumbered4">
    <w:name w:val="DS_Heading_Unnumbered_4"/>
    <w:basedOn w:val="Heading4"/>
    <w:next w:val="Normal"/>
    <w:qFormat/>
    <w:rsid w:val="00EC6AFC"/>
    <w:pPr>
      <w:numPr>
        <w:ilvl w:val="0"/>
        <w:numId w:val="0"/>
      </w:numPr>
      <w:outlineLvl w:val="9"/>
    </w:pPr>
  </w:style>
  <w:style w:type="paragraph" w:customStyle="1" w:styleId="DSHeadingUnnumbered5">
    <w:name w:val="DS_Heading_Unnumbered_5"/>
    <w:basedOn w:val="Heading5"/>
    <w:next w:val="Normal"/>
    <w:qFormat/>
    <w:rsid w:val="00EC6AFC"/>
    <w:pPr>
      <w:numPr>
        <w:ilvl w:val="0"/>
        <w:numId w:val="0"/>
      </w:numPr>
      <w:outlineLvl w:val="9"/>
    </w:pPr>
  </w:style>
  <w:style w:type="paragraph" w:customStyle="1" w:styleId="DSHeadingUnnumbered6">
    <w:name w:val="DS_Heading_Unnumbered_6"/>
    <w:basedOn w:val="Heading6"/>
    <w:next w:val="Normal"/>
    <w:qFormat/>
    <w:rsid w:val="00EC6AFC"/>
    <w:pPr>
      <w:numPr>
        <w:ilvl w:val="0"/>
        <w:numId w:val="0"/>
      </w:numPr>
      <w:outlineLvl w:val="9"/>
    </w:pPr>
  </w:style>
  <w:style w:type="paragraph" w:customStyle="1" w:styleId="DSHeadingUnnumbered7">
    <w:name w:val="DS_Heading_Unnumbered_7"/>
    <w:basedOn w:val="Heading7"/>
    <w:next w:val="Normal"/>
    <w:qFormat/>
    <w:rsid w:val="00EC6AFC"/>
    <w:pPr>
      <w:numPr>
        <w:ilvl w:val="0"/>
        <w:numId w:val="0"/>
      </w:numPr>
      <w:outlineLvl w:val="9"/>
    </w:pPr>
  </w:style>
  <w:style w:type="paragraph" w:customStyle="1" w:styleId="DSHeadingUnnumbered8">
    <w:name w:val="DS_Heading_Unnumbered_8"/>
    <w:basedOn w:val="Heading8"/>
    <w:next w:val="Normal"/>
    <w:qFormat/>
    <w:rsid w:val="00EC6AFC"/>
    <w:pPr>
      <w:numPr>
        <w:ilvl w:val="0"/>
        <w:numId w:val="0"/>
      </w:numPr>
      <w:outlineLvl w:val="9"/>
    </w:pPr>
  </w:style>
  <w:style w:type="paragraph" w:customStyle="1" w:styleId="DSHeadingUnnumbered9">
    <w:name w:val="DS_Heading_Unnumbered_9"/>
    <w:basedOn w:val="Heading9"/>
    <w:next w:val="Normal"/>
    <w:qFormat/>
    <w:rsid w:val="00EC6AFC"/>
    <w:pPr>
      <w:numPr>
        <w:ilvl w:val="0"/>
        <w:numId w:val="0"/>
      </w:numPr>
      <w:outlineLvl w:val="9"/>
    </w:pPr>
  </w:style>
  <w:style w:type="paragraph" w:styleId="TOC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TOC5">
    <w:name w:val="toc 5"/>
    <w:basedOn w:val="Normal"/>
    <w:next w:val="Normal"/>
    <w:autoRedefine/>
    <w:uiPriority w:val="39"/>
    <w:unhideWhenUsed/>
    <w:rsid w:val="00CA514E"/>
    <w:pPr>
      <w:tabs>
        <w:tab w:val="left" w:pos="1134"/>
        <w:tab w:val="right" w:pos="9894"/>
      </w:tabs>
      <w:ind w:left="1134" w:right="567" w:hanging="1134"/>
    </w:pPr>
  </w:style>
  <w:style w:type="paragraph" w:styleId="TOC6">
    <w:name w:val="toc 6"/>
    <w:basedOn w:val="Normal"/>
    <w:next w:val="Normal"/>
    <w:autoRedefine/>
    <w:uiPriority w:val="39"/>
    <w:unhideWhenUsed/>
    <w:rsid w:val="00CA514E"/>
    <w:pPr>
      <w:tabs>
        <w:tab w:val="left" w:pos="1134"/>
        <w:tab w:val="right" w:pos="9894"/>
      </w:tabs>
      <w:ind w:left="1134" w:right="567" w:hanging="1134"/>
    </w:pPr>
  </w:style>
  <w:style w:type="paragraph" w:styleId="TOC7">
    <w:name w:val="toc 7"/>
    <w:basedOn w:val="Normal"/>
    <w:next w:val="Normal"/>
    <w:autoRedefine/>
    <w:uiPriority w:val="39"/>
    <w:unhideWhenUsed/>
    <w:rsid w:val="00C31E44"/>
    <w:pPr>
      <w:tabs>
        <w:tab w:val="left" w:pos="1701"/>
        <w:tab w:val="right" w:leader="dot" w:pos="9394"/>
      </w:tabs>
      <w:ind w:left="851" w:right="567" w:hanging="851"/>
    </w:pPr>
  </w:style>
  <w:style w:type="paragraph" w:styleId="TOC8">
    <w:name w:val="toc 8"/>
    <w:basedOn w:val="Normal"/>
    <w:next w:val="Normal"/>
    <w:autoRedefine/>
    <w:uiPriority w:val="39"/>
    <w:unhideWhenUsed/>
    <w:rsid w:val="00C31E44"/>
    <w:pPr>
      <w:tabs>
        <w:tab w:val="left" w:pos="1701"/>
        <w:tab w:val="right" w:leader="dot" w:pos="9394"/>
      </w:tabs>
      <w:ind w:left="851" w:right="567" w:hanging="851"/>
    </w:pPr>
  </w:style>
  <w:style w:type="paragraph" w:styleId="TOC9">
    <w:name w:val="toc 9"/>
    <w:basedOn w:val="Normal"/>
    <w:next w:val="Normal"/>
    <w:autoRedefine/>
    <w:uiPriority w:val="39"/>
    <w:unhideWhenUsed/>
    <w:rsid w:val="00C31E44"/>
    <w:pPr>
      <w:tabs>
        <w:tab w:val="left" w:pos="1701"/>
        <w:tab w:val="right" w:leader="dot" w:pos="9394"/>
      </w:tabs>
      <w:ind w:left="851" w:right="567" w:hanging="851"/>
    </w:pPr>
  </w:style>
  <w:style w:type="table" w:styleId="TableGrid">
    <w:name w:val="Table Grid"/>
    <w:basedOn w:val="TableNormal"/>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le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003C46" w:themeFill="accent1"/>
      </w:tcPr>
    </w:tblStylePr>
  </w:style>
  <w:style w:type="character" w:customStyle="1" w:styleId="DSAccentColor">
    <w:name w:val="DS_AccentColor"/>
    <w:basedOn w:val="DefaultParagraphFont"/>
    <w:uiPriority w:val="1"/>
    <w:qFormat/>
    <w:rsid w:val="00A4691D"/>
    <w:rPr>
      <w:color w:val="003C46" w:themeColor="accent1"/>
    </w:rPr>
  </w:style>
  <w:style w:type="paragraph" w:customStyle="1" w:styleId="DSExhibits">
    <w:name w:val="DS_Exhibits"/>
    <w:basedOn w:val="Heading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003C46" w:themeColor="accent1"/>
      <w:spacing w:val="3"/>
      <w:sz w:val="12"/>
    </w:rPr>
  </w:style>
  <w:style w:type="table" w:customStyle="1" w:styleId="TableGrid1">
    <w:name w:val="Table Grid1"/>
    <w:basedOn w:val="TableNormal"/>
    <w:next w:val="TableGrid"/>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DefaultParagraphFont"/>
    <w:uiPriority w:val="1"/>
    <w:qFormat/>
    <w:rsid w:val="00A91224"/>
    <w:rPr>
      <w:rFonts w:ascii="Wingdings" w:hAnsi="Wingdings"/>
      <w:color w:val="000000" w:themeColor="text1"/>
      <w:sz w:val="14"/>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IntenseEmphasis">
    <w:name w:val="Intense Emphasis"/>
    <w:basedOn w:val="DefaultParagraphFont"/>
    <w:uiPriority w:val="21"/>
    <w:qFormat/>
    <w:rsid w:val="00826D11"/>
    <w:rPr>
      <w:i/>
      <w:iCs/>
      <w:color w:val="003C46" w:themeColor="accent1"/>
    </w:rPr>
  </w:style>
  <w:style w:type="paragraph" w:styleId="ListBullet2">
    <w:name w:val="List Bullet 2"/>
    <w:basedOn w:val="Normal"/>
    <w:uiPriority w:val="99"/>
    <w:rsid w:val="00EC6AFC"/>
    <w:pPr>
      <w:numPr>
        <w:ilvl w:val="1"/>
        <w:numId w:val="41"/>
      </w:numPr>
    </w:pPr>
  </w:style>
  <w:style w:type="paragraph" w:styleId="ListBullet3">
    <w:name w:val="List Bullet 3"/>
    <w:basedOn w:val="Normal"/>
    <w:uiPriority w:val="99"/>
    <w:rsid w:val="00EC6AFC"/>
    <w:pPr>
      <w:numPr>
        <w:ilvl w:val="2"/>
        <w:numId w:val="41"/>
      </w:numPr>
    </w:pPr>
  </w:style>
  <w:style w:type="paragraph" w:customStyle="1" w:styleId="DSHeadingNonLegal1">
    <w:name w:val="DS_Heading_NonLegal_1"/>
    <w:basedOn w:val="Heading1"/>
    <w:next w:val="Normal"/>
    <w:qFormat/>
    <w:rsid w:val="00E757E5"/>
    <w:pPr>
      <w:numPr>
        <w:numId w:val="12"/>
      </w:numPr>
    </w:pPr>
  </w:style>
  <w:style w:type="paragraph" w:customStyle="1" w:styleId="DSHeadingNonLegal2">
    <w:name w:val="DS_Heading_NonLegal_2"/>
    <w:basedOn w:val="Heading2"/>
    <w:next w:val="Normal"/>
    <w:qFormat/>
    <w:rsid w:val="00E757E5"/>
    <w:pPr>
      <w:numPr>
        <w:numId w:val="12"/>
      </w:numPr>
    </w:pPr>
  </w:style>
  <w:style w:type="paragraph" w:customStyle="1" w:styleId="DSHeadingNonLegal3">
    <w:name w:val="DS_Heading_NonLegal_3"/>
    <w:basedOn w:val="Heading3"/>
    <w:next w:val="Normal"/>
    <w:qFormat/>
    <w:rsid w:val="00E757E5"/>
    <w:pPr>
      <w:numPr>
        <w:numId w:val="12"/>
      </w:numPr>
    </w:pPr>
  </w:style>
  <w:style w:type="paragraph" w:customStyle="1" w:styleId="DSHeadingNonLegal4">
    <w:name w:val="DS_Heading_NonLegal_4"/>
    <w:basedOn w:val="Heading4"/>
    <w:next w:val="Normal"/>
    <w:qFormat/>
    <w:rsid w:val="00E757E5"/>
    <w:pPr>
      <w:numPr>
        <w:numId w:val="12"/>
      </w:numPr>
    </w:pPr>
  </w:style>
  <w:style w:type="paragraph" w:customStyle="1" w:styleId="DSHeadingNonLegal5">
    <w:name w:val="DS_Heading_NonLegal_5"/>
    <w:basedOn w:val="Heading5"/>
    <w:next w:val="Normal"/>
    <w:qFormat/>
    <w:rsid w:val="00E757E5"/>
    <w:pPr>
      <w:numPr>
        <w:numId w:val="12"/>
      </w:numPr>
    </w:pPr>
  </w:style>
  <w:style w:type="paragraph" w:customStyle="1" w:styleId="DSHeadingNonLegal6">
    <w:name w:val="DS_Heading_NonLegal_6"/>
    <w:basedOn w:val="Heading6"/>
    <w:next w:val="Normal"/>
    <w:qFormat/>
    <w:rsid w:val="00E757E5"/>
    <w:pPr>
      <w:numPr>
        <w:numId w:val="12"/>
      </w:numPr>
    </w:pPr>
  </w:style>
  <w:style w:type="paragraph" w:customStyle="1" w:styleId="DSHeadingNonLegal7">
    <w:name w:val="DS_Heading_NonLegal_7"/>
    <w:basedOn w:val="Heading7"/>
    <w:next w:val="Normal"/>
    <w:qFormat/>
    <w:rsid w:val="00E757E5"/>
    <w:pPr>
      <w:numPr>
        <w:numId w:val="12"/>
      </w:numPr>
    </w:pPr>
  </w:style>
  <w:style w:type="paragraph" w:customStyle="1" w:styleId="DSHeadingNonLegal8">
    <w:name w:val="DS_Heading_NonLegal_8"/>
    <w:basedOn w:val="Heading8"/>
    <w:next w:val="Normal"/>
    <w:qFormat/>
    <w:rsid w:val="00E757E5"/>
    <w:pPr>
      <w:numPr>
        <w:numId w:val="12"/>
      </w:numPr>
    </w:pPr>
  </w:style>
  <w:style w:type="paragraph" w:customStyle="1" w:styleId="DSHeadingNonLegal9">
    <w:name w:val="DS_Heading_NonLegal_9"/>
    <w:basedOn w:val="Heading9"/>
    <w:next w:val="Normal"/>
    <w:qFormat/>
    <w:rsid w:val="00E757E5"/>
    <w:pPr>
      <w:numPr>
        <w:numId w:val="12"/>
      </w:numPr>
    </w:pPr>
  </w:style>
  <w:style w:type="paragraph" w:customStyle="1" w:styleId="Heading">
    <w:name w:val="Heading"/>
    <w:basedOn w:val="Heading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3"/>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4"/>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5"/>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6"/>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en-GB" w:eastAsia="da-DK"/>
    </w:rPr>
  </w:style>
  <w:style w:type="paragraph" w:styleId="ListBullet4">
    <w:name w:val="List Bullet 4"/>
    <w:basedOn w:val="Normal"/>
    <w:uiPriority w:val="99"/>
    <w:rsid w:val="00C16A64"/>
    <w:pPr>
      <w:numPr>
        <w:ilvl w:val="3"/>
        <w:numId w:val="41"/>
      </w:numPr>
      <w:contextualSpacing/>
    </w:pPr>
  </w:style>
  <w:style w:type="paragraph" w:styleId="ListBullet5">
    <w:name w:val="List Bullet 5"/>
    <w:basedOn w:val="Normal"/>
    <w:uiPriority w:val="99"/>
    <w:rsid w:val="00C16A64"/>
    <w:pPr>
      <w:numPr>
        <w:ilvl w:val="4"/>
        <w:numId w:val="41"/>
      </w:numPr>
      <w:contextualSpacing/>
    </w:pPr>
  </w:style>
  <w:style w:type="numbering" w:customStyle="1" w:styleId="Schedules">
    <w:name w:val="Schedules"/>
    <w:uiPriority w:val="99"/>
    <w:rsid w:val="007010EA"/>
    <w:pPr>
      <w:numPr>
        <w:numId w:val="18"/>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Heading1Char"/>
    <w:link w:val="Heading"/>
    <w:rsid w:val="00D72983"/>
    <w:rPr>
      <w:rFonts w:asciiTheme="majorHAnsi" w:eastAsiaTheme="majorEastAsia" w:hAnsiTheme="majorHAnsi" w:cstheme="majorBidi"/>
      <w:b/>
      <w:caps/>
      <w:spacing w:val="5"/>
      <w:sz w:val="18"/>
      <w:szCs w:val="32"/>
    </w:rPr>
  </w:style>
  <w:style w:type="paragraph" w:customStyle="1" w:styleId="DSBilag10">
    <w:name w:val="DS_Bilag_1"/>
    <w:basedOn w:val="Normal"/>
    <w:qFormat/>
    <w:rsid w:val="007010EA"/>
    <w:pPr>
      <w:numPr>
        <w:numId w:val="1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Heading1"/>
    <w:qFormat/>
    <w:rsid w:val="00627775"/>
    <w:pPr>
      <w:keepNext w:val="0"/>
      <w:numPr>
        <w:numId w:val="21"/>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2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995949"/>
    <w:pPr>
      <w:spacing w:after="480"/>
      <w:outlineLvl w:val="9"/>
    </w:pPr>
  </w:style>
  <w:style w:type="paragraph" w:styleId="NormalIndent">
    <w:name w:val="Normal Indent"/>
    <w:aliases w:val="Propsectus Normal Indent,Normal indrykning1"/>
    <w:basedOn w:val="Normal"/>
    <w:link w:val="NormalIndentChar"/>
    <w:uiPriority w:val="99"/>
    <w:unhideWhenUsed/>
    <w:qFormat/>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x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le"/>
    <w:rsid w:val="005D1161"/>
    <w:pPr>
      <w:pBdr>
        <w:bottom w:val="single" w:sz="4" w:space="1" w:color="auto"/>
      </w:pBdr>
      <w:spacing w:before="40" w:line="0" w:lineRule="atLeast"/>
    </w:pPr>
    <w:rPr>
      <w:rFonts w:eastAsia="Times New Roman" w:cs="Times New Roman"/>
      <w:szCs w:val="20"/>
    </w:rPr>
  </w:style>
  <w:style w:type="paragraph" w:customStyle="1" w:styleId="Heading0Before12After">
    <w:name w:val="Heading 0 Before 12 After"/>
    <w:basedOn w:val="Heading0Before24After"/>
    <w:qFormat/>
    <w:rsid w:val="00995949"/>
    <w:pPr>
      <w:spacing w:after="240"/>
    </w:pPr>
  </w:style>
  <w:style w:type="paragraph" w:customStyle="1" w:styleId="DSLanguageList1">
    <w:name w:val="DS_LanguageList_1"/>
    <w:basedOn w:val="Normal"/>
    <w:uiPriority w:val="1"/>
    <w:qFormat/>
    <w:rsid w:val="009A7ACC"/>
    <w:pPr>
      <w:numPr>
        <w:numId w:val="22"/>
      </w:numPr>
      <w:spacing w:before="260" w:after="260"/>
      <w:contextualSpacing/>
      <w:outlineLvl w:val="0"/>
    </w:pPr>
    <w:rPr>
      <w:rFonts w:asciiTheme="majorHAnsi" w:hAnsiTheme="majorHAnsi"/>
      <w:b/>
      <w:sz w:val="28"/>
      <w:szCs w:val="22"/>
    </w:rPr>
  </w:style>
  <w:style w:type="paragraph" w:customStyle="1" w:styleId="DSLanguageList2">
    <w:name w:val="DS_LanguageList_2"/>
    <w:basedOn w:val="Normal"/>
    <w:uiPriority w:val="1"/>
    <w:qFormat/>
    <w:rsid w:val="009A7ACC"/>
    <w:pPr>
      <w:numPr>
        <w:numId w:val="23"/>
      </w:numPr>
      <w:spacing w:before="260" w:after="260"/>
      <w:contextualSpacing/>
    </w:pPr>
    <w:rPr>
      <w:rFonts w:asciiTheme="majorHAnsi" w:hAnsiTheme="majorHAnsi"/>
      <w:b/>
      <w:sz w:val="28"/>
      <w:szCs w:val="22"/>
    </w:rPr>
  </w:style>
  <w:style w:type="numbering" w:customStyle="1" w:styleId="ListLanguageList1">
    <w:name w:val="List_LanguageList_1"/>
    <w:uiPriority w:val="99"/>
    <w:rsid w:val="009A7ACC"/>
    <w:pPr>
      <w:numPr>
        <w:numId w:val="22"/>
      </w:numPr>
    </w:pPr>
  </w:style>
  <w:style w:type="numbering" w:customStyle="1" w:styleId="ListLanguageList2">
    <w:name w:val="List_LanguageList_2"/>
    <w:uiPriority w:val="99"/>
    <w:rsid w:val="009A7ACC"/>
    <w:pPr>
      <w:numPr>
        <w:numId w:val="23"/>
      </w:numPr>
    </w:pPr>
  </w:style>
  <w:style w:type="paragraph" w:customStyle="1" w:styleId="DSNormalBold">
    <w:name w:val="DS_Normal_Bold"/>
    <w:basedOn w:val="Normal"/>
    <w:next w:val="Normal"/>
    <w:uiPriority w:val="3"/>
    <w:qFormat/>
    <w:rsid w:val="00C409D1"/>
    <w:pPr>
      <w:widowControl w:val="0"/>
      <w:spacing w:after="120" w:line="280" w:lineRule="atLeast"/>
      <w:jc w:val="both"/>
    </w:pPr>
    <w:rPr>
      <w:rFonts w:asciiTheme="minorHAnsi" w:hAnsiTheme="minorHAnsi"/>
      <w:b/>
      <w:sz w:val="20"/>
      <w:szCs w:val="22"/>
    </w:rPr>
  </w:style>
  <w:style w:type="numbering" w:customStyle="1" w:styleId="ListBullet2Indent">
    <w:name w:val="List_Bullet_2_Indent"/>
    <w:uiPriority w:val="99"/>
    <w:rsid w:val="00C409D1"/>
    <w:pPr>
      <w:numPr>
        <w:numId w:val="24"/>
      </w:numPr>
    </w:pPr>
  </w:style>
  <w:style w:type="character" w:customStyle="1" w:styleId="UnresolvedMention1">
    <w:name w:val="Unresolved Mention1"/>
    <w:basedOn w:val="DefaultParagraphFont"/>
    <w:uiPriority w:val="99"/>
    <w:semiHidden/>
    <w:unhideWhenUsed/>
    <w:rsid w:val="00C409D1"/>
    <w:rPr>
      <w:color w:val="605E5C"/>
      <w:shd w:val="clear" w:color="auto" w:fill="E1DFDD"/>
    </w:rPr>
  </w:style>
  <w:style w:type="character" w:styleId="CommentReference">
    <w:name w:val="annotation reference"/>
    <w:basedOn w:val="DefaultParagraphFont"/>
    <w:uiPriority w:val="18"/>
    <w:semiHidden/>
    <w:unhideWhenUsed/>
    <w:rsid w:val="00DF0F94"/>
    <w:rPr>
      <w:sz w:val="16"/>
      <w:szCs w:val="16"/>
      <w:lang w:val="en-GB"/>
    </w:rPr>
  </w:style>
  <w:style w:type="paragraph" w:styleId="CommentText">
    <w:name w:val="annotation text"/>
    <w:basedOn w:val="Normal"/>
    <w:link w:val="CommentTextChar"/>
    <w:uiPriority w:val="18"/>
    <w:unhideWhenUsed/>
    <w:rsid w:val="00DF0F94"/>
    <w:pPr>
      <w:spacing w:line="240" w:lineRule="auto"/>
    </w:pPr>
    <w:rPr>
      <w:sz w:val="20"/>
      <w:szCs w:val="20"/>
    </w:rPr>
  </w:style>
  <w:style w:type="character" w:customStyle="1" w:styleId="CommentTextChar">
    <w:name w:val="Comment Text Char"/>
    <w:basedOn w:val="DefaultParagraphFont"/>
    <w:link w:val="CommentText"/>
    <w:uiPriority w:val="18"/>
    <w:rsid w:val="00DF0F94"/>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F0F94"/>
    <w:rPr>
      <w:b/>
      <w:bCs/>
    </w:rPr>
  </w:style>
  <w:style w:type="character" w:customStyle="1" w:styleId="CommentSubjectChar">
    <w:name w:val="Comment Subject Char"/>
    <w:basedOn w:val="CommentTextChar"/>
    <w:link w:val="CommentSubject"/>
    <w:uiPriority w:val="99"/>
    <w:semiHidden/>
    <w:rsid w:val="00DF0F94"/>
    <w:rPr>
      <w:rFonts w:ascii="Arial" w:hAnsi="Arial"/>
      <w:b/>
      <w:bCs/>
      <w:sz w:val="20"/>
      <w:szCs w:val="20"/>
      <w:lang w:val="en-GB"/>
    </w:rPr>
  </w:style>
  <w:style w:type="character" w:customStyle="1" w:styleId="NormalIndentChar">
    <w:name w:val="Normal Indent Char"/>
    <w:aliases w:val="Propsectus Normal Indent Char,Normal indrykning1 Char"/>
    <w:link w:val="NormalIndent"/>
    <w:uiPriority w:val="99"/>
    <w:rsid w:val="00401962"/>
    <w:rPr>
      <w:rFonts w:ascii="Arial" w:hAnsi="Arial"/>
      <w:sz w:val="18"/>
      <w:szCs w:val="18"/>
      <w:lang w:val="en-GB"/>
    </w:rPr>
  </w:style>
  <w:style w:type="paragraph" w:styleId="Revision">
    <w:name w:val="Revision"/>
    <w:hidden/>
    <w:uiPriority w:val="99"/>
    <w:semiHidden/>
    <w:rsid w:val="000F620F"/>
    <w:pPr>
      <w:spacing w:after="0" w:line="240" w:lineRule="auto"/>
    </w:pPr>
    <w:rPr>
      <w:rFonts w:ascii="Arial" w:hAnsi="Arial"/>
      <w:sz w:val="18"/>
      <w:szCs w:val="18"/>
    </w:rPr>
  </w:style>
  <w:style w:type="character" w:customStyle="1" w:styleId="Mention1">
    <w:name w:val="Mention1"/>
    <w:basedOn w:val="DefaultParagraphFont"/>
    <w:uiPriority w:val="99"/>
    <w:unhideWhenUsed/>
    <w:rsid w:val="002F7ABA"/>
    <w:rPr>
      <w:color w:val="2B579A"/>
      <w:shd w:val="clear" w:color="auto" w:fill="E1DFDD"/>
    </w:rPr>
  </w:style>
  <w:style w:type="paragraph" w:customStyle="1" w:styleId="OpstillingmedA">
    <w:name w:val="Opstilling med (A)"/>
    <w:aliases w:val="(B),(C)"/>
    <w:basedOn w:val="Normal"/>
    <w:uiPriority w:val="2"/>
    <w:qFormat/>
    <w:rsid w:val="006B2F39"/>
    <w:pPr>
      <w:tabs>
        <w:tab w:val="left" w:pos="1418"/>
      </w:tabs>
      <w:spacing w:after="80" w:line="240" w:lineRule="atLeast"/>
      <w:ind w:left="1418" w:hanging="567"/>
      <w:jc w:val="both"/>
    </w:pPr>
    <w:rPr>
      <w:rFonts w:ascii="Tahoma" w:eastAsia="MS Mincho" w:hAnsi="Tahoma"/>
      <w:sz w:val="19"/>
    </w:rPr>
  </w:style>
  <w:style w:type="paragraph" w:customStyle="1" w:styleId="Opstillingmedi">
    <w:name w:val="Opstilling med (i)"/>
    <w:aliases w:val="(ii),(iii)"/>
    <w:basedOn w:val="Normal"/>
    <w:uiPriority w:val="2"/>
    <w:qFormat/>
    <w:rsid w:val="009B30D3"/>
    <w:pPr>
      <w:numPr>
        <w:ilvl w:val="8"/>
        <w:numId w:val="30"/>
      </w:numPr>
      <w:spacing w:after="80" w:line="240" w:lineRule="atLeast"/>
      <w:jc w:val="both"/>
    </w:pPr>
    <w:rPr>
      <w:rFonts w:ascii="Tahoma" w:eastAsia="MS Mincho" w:hAnsi="Tahoma"/>
      <w:sz w:val="19"/>
    </w:rPr>
  </w:style>
  <w:style w:type="character" w:styleId="UnresolvedMention">
    <w:name w:val="Unresolved Mention"/>
    <w:basedOn w:val="DefaultParagraphFont"/>
    <w:uiPriority w:val="99"/>
    <w:semiHidden/>
    <w:unhideWhenUsed/>
    <w:rsid w:val="00B36048"/>
    <w:rPr>
      <w:color w:val="605E5C"/>
      <w:shd w:val="clear" w:color="auto" w:fill="E1DFDD"/>
    </w:rPr>
  </w:style>
  <w:style w:type="paragraph" w:customStyle="1" w:styleId="BrdtekstMedIndryk">
    <w:name w:val="BrødtekstMedIndryk"/>
    <w:basedOn w:val="BodyText"/>
    <w:rsid w:val="00062E8D"/>
    <w:pPr>
      <w:spacing w:after="240" w:line="240" w:lineRule="atLeast"/>
      <w:ind w:left="822"/>
    </w:pPr>
    <w:rPr>
      <w:rFonts w:ascii="Georgia" w:eastAsia="Times New Roman" w:hAnsi="Georgia" w:cs="Times New Roman"/>
      <w:sz w:val="20"/>
      <w:lang w:eastAsia="en-GB"/>
    </w:rPr>
  </w:style>
  <w:style w:type="paragraph" w:styleId="BodyText">
    <w:name w:val="Body Text"/>
    <w:basedOn w:val="Normal"/>
    <w:link w:val="BodyTextChar"/>
    <w:uiPriority w:val="99"/>
    <w:semiHidden/>
    <w:unhideWhenUsed/>
    <w:rsid w:val="00062E8D"/>
    <w:pPr>
      <w:spacing w:after="120"/>
    </w:pPr>
  </w:style>
  <w:style w:type="character" w:customStyle="1" w:styleId="BodyTextChar">
    <w:name w:val="Body Text Char"/>
    <w:basedOn w:val="DefaultParagraphFont"/>
    <w:link w:val="BodyText"/>
    <w:uiPriority w:val="99"/>
    <w:semiHidden/>
    <w:rsid w:val="00062E8D"/>
    <w:rPr>
      <w:rFonts w:ascii="Arial" w:hAnsi="Arial"/>
      <w:sz w:val="18"/>
      <w:szCs w:val="18"/>
      <w:lang w:val="en-GB"/>
    </w:rPr>
  </w:style>
  <w:style w:type="paragraph" w:customStyle="1" w:styleId="Niveau2">
    <w:name w:val="Niveau 2"/>
    <w:basedOn w:val="Heading2"/>
    <w:rsid w:val="00AC6AA4"/>
    <w:pPr>
      <w:keepNext w:val="0"/>
      <w:tabs>
        <w:tab w:val="clear" w:pos="851"/>
        <w:tab w:val="num" w:pos="822"/>
      </w:tabs>
      <w:spacing w:before="0" w:after="240" w:line="240" w:lineRule="atLeast"/>
      <w:ind w:left="822" w:hanging="822"/>
    </w:pPr>
    <w:rPr>
      <w:rFonts w:ascii="Georgia" w:eastAsia="Times New Roman" w:hAnsi="Georgia" w:cs="Arial"/>
      <w:b w:val="0"/>
      <w:bCs/>
      <w:iCs/>
      <w:color w:val="auto"/>
      <w:sz w:val="20"/>
      <w:szCs w:val="28"/>
      <w:lang w:eastAsia="da-DK"/>
    </w:rPr>
  </w:style>
  <w:style w:type="character" w:styleId="FollowedHyperlink">
    <w:name w:val="FollowedHyperlink"/>
    <w:basedOn w:val="DefaultParagraphFont"/>
    <w:uiPriority w:val="99"/>
    <w:semiHidden/>
    <w:unhideWhenUsed/>
    <w:rsid w:val="00241410"/>
    <w:rPr>
      <w:color w:val="809EA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1851">
      <w:bodyDiv w:val="1"/>
      <w:marLeft w:val="0"/>
      <w:marRight w:val="0"/>
      <w:marTop w:val="0"/>
      <w:marBottom w:val="0"/>
      <w:divBdr>
        <w:top w:val="none" w:sz="0" w:space="0" w:color="auto"/>
        <w:left w:val="none" w:sz="0" w:space="0" w:color="auto"/>
        <w:bottom w:val="none" w:sz="0" w:space="0" w:color="auto"/>
        <w:right w:val="none" w:sz="0" w:space="0" w:color="auto"/>
      </w:divBdr>
    </w:div>
    <w:div w:id="310253362">
      <w:bodyDiv w:val="1"/>
      <w:marLeft w:val="0"/>
      <w:marRight w:val="0"/>
      <w:marTop w:val="0"/>
      <w:marBottom w:val="0"/>
      <w:divBdr>
        <w:top w:val="none" w:sz="0" w:space="0" w:color="auto"/>
        <w:left w:val="none" w:sz="0" w:space="0" w:color="auto"/>
        <w:bottom w:val="none" w:sz="0" w:space="0" w:color="auto"/>
        <w:right w:val="none" w:sz="0" w:space="0" w:color="auto"/>
      </w:divBdr>
    </w:div>
    <w:div w:id="367098911">
      <w:bodyDiv w:val="1"/>
      <w:marLeft w:val="0"/>
      <w:marRight w:val="0"/>
      <w:marTop w:val="0"/>
      <w:marBottom w:val="0"/>
      <w:divBdr>
        <w:top w:val="none" w:sz="0" w:space="0" w:color="auto"/>
        <w:left w:val="none" w:sz="0" w:space="0" w:color="auto"/>
        <w:bottom w:val="none" w:sz="0" w:space="0" w:color="auto"/>
        <w:right w:val="none" w:sz="0" w:space="0" w:color="auto"/>
      </w:divBdr>
    </w:div>
    <w:div w:id="449250644">
      <w:bodyDiv w:val="1"/>
      <w:marLeft w:val="0"/>
      <w:marRight w:val="0"/>
      <w:marTop w:val="0"/>
      <w:marBottom w:val="0"/>
      <w:divBdr>
        <w:top w:val="none" w:sz="0" w:space="0" w:color="auto"/>
        <w:left w:val="none" w:sz="0" w:space="0" w:color="auto"/>
        <w:bottom w:val="none" w:sz="0" w:space="0" w:color="auto"/>
        <w:right w:val="none" w:sz="0" w:space="0" w:color="auto"/>
      </w:divBdr>
    </w:div>
    <w:div w:id="460345301">
      <w:bodyDiv w:val="1"/>
      <w:marLeft w:val="0"/>
      <w:marRight w:val="0"/>
      <w:marTop w:val="0"/>
      <w:marBottom w:val="0"/>
      <w:divBdr>
        <w:top w:val="none" w:sz="0" w:space="0" w:color="auto"/>
        <w:left w:val="none" w:sz="0" w:space="0" w:color="auto"/>
        <w:bottom w:val="none" w:sz="0" w:space="0" w:color="auto"/>
        <w:right w:val="none" w:sz="0" w:space="0" w:color="auto"/>
      </w:divBdr>
    </w:div>
    <w:div w:id="477721096">
      <w:bodyDiv w:val="1"/>
      <w:marLeft w:val="0"/>
      <w:marRight w:val="0"/>
      <w:marTop w:val="0"/>
      <w:marBottom w:val="0"/>
      <w:divBdr>
        <w:top w:val="none" w:sz="0" w:space="0" w:color="auto"/>
        <w:left w:val="none" w:sz="0" w:space="0" w:color="auto"/>
        <w:bottom w:val="none" w:sz="0" w:space="0" w:color="auto"/>
        <w:right w:val="none" w:sz="0" w:space="0" w:color="auto"/>
      </w:divBdr>
    </w:div>
    <w:div w:id="498695009">
      <w:bodyDiv w:val="1"/>
      <w:marLeft w:val="0"/>
      <w:marRight w:val="0"/>
      <w:marTop w:val="0"/>
      <w:marBottom w:val="0"/>
      <w:divBdr>
        <w:top w:val="none" w:sz="0" w:space="0" w:color="auto"/>
        <w:left w:val="none" w:sz="0" w:space="0" w:color="auto"/>
        <w:bottom w:val="none" w:sz="0" w:space="0" w:color="auto"/>
        <w:right w:val="none" w:sz="0" w:space="0" w:color="auto"/>
      </w:divBdr>
    </w:div>
    <w:div w:id="560679449">
      <w:bodyDiv w:val="1"/>
      <w:marLeft w:val="0"/>
      <w:marRight w:val="0"/>
      <w:marTop w:val="0"/>
      <w:marBottom w:val="0"/>
      <w:divBdr>
        <w:top w:val="none" w:sz="0" w:space="0" w:color="auto"/>
        <w:left w:val="none" w:sz="0" w:space="0" w:color="auto"/>
        <w:bottom w:val="none" w:sz="0" w:space="0" w:color="auto"/>
        <w:right w:val="none" w:sz="0" w:space="0" w:color="auto"/>
      </w:divBdr>
    </w:div>
    <w:div w:id="617831823">
      <w:bodyDiv w:val="1"/>
      <w:marLeft w:val="0"/>
      <w:marRight w:val="0"/>
      <w:marTop w:val="0"/>
      <w:marBottom w:val="0"/>
      <w:divBdr>
        <w:top w:val="none" w:sz="0" w:space="0" w:color="auto"/>
        <w:left w:val="none" w:sz="0" w:space="0" w:color="auto"/>
        <w:bottom w:val="none" w:sz="0" w:space="0" w:color="auto"/>
        <w:right w:val="none" w:sz="0" w:space="0" w:color="auto"/>
      </w:divBdr>
    </w:div>
    <w:div w:id="637496302">
      <w:bodyDiv w:val="1"/>
      <w:marLeft w:val="0"/>
      <w:marRight w:val="0"/>
      <w:marTop w:val="0"/>
      <w:marBottom w:val="0"/>
      <w:divBdr>
        <w:top w:val="none" w:sz="0" w:space="0" w:color="auto"/>
        <w:left w:val="none" w:sz="0" w:space="0" w:color="auto"/>
        <w:bottom w:val="none" w:sz="0" w:space="0" w:color="auto"/>
        <w:right w:val="none" w:sz="0" w:space="0" w:color="auto"/>
      </w:divBdr>
    </w:div>
    <w:div w:id="681199482">
      <w:bodyDiv w:val="1"/>
      <w:marLeft w:val="0"/>
      <w:marRight w:val="0"/>
      <w:marTop w:val="0"/>
      <w:marBottom w:val="0"/>
      <w:divBdr>
        <w:top w:val="none" w:sz="0" w:space="0" w:color="auto"/>
        <w:left w:val="none" w:sz="0" w:space="0" w:color="auto"/>
        <w:bottom w:val="none" w:sz="0" w:space="0" w:color="auto"/>
        <w:right w:val="none" w:sz="0" w:space="0" w:color="auto"/>
      </w:divBdr>
    </w:div>
    <w:div w:id="712197667">
      <w:bodyDiv w:val="1"/>
      <w:marLeft w:val="0"/>
      <w:marRight w:val="0"/>
      <w:marTop w:val="0"/>
      <w:marBottom w:val="0"/>
      <w:divBdr>
        <w:top w:val="none" w:sz="0" w:space="0" w:color="auto"/>
        <w:left w:val="none" w:sz="0" w:space="0" w:color="auto"/>
        <w:bottom w:val="none" w:sz="0" w:space="0" w:color="auto"/>
        <w:right w:val="none" w:sz="0" w:space="0" w:color="auto"/>
      </w:divBdr>
    </w:div>
    <w:div w:id="716274810">
      <w:bodyDiv w:val="1"/>
      <w:marLeft w:val="0"/>
      <w:marRight w:val="0"/>
      <w:marTop w:val="0"/>
      <w:marBottom w:val="0"/>
      <w:divBdr>
        <w:top w:val="none" w:sz="0" w:space="0" w:color="auto"/>
        <w:left w:val="none" w:sz="0" w:space="0" w:color="auto"/>
        <w:bottom w:val="none" w:sz="0" w:space="0" w:color="auto"/>
        <w:right w:val="none" w:sz="0" w:space="0" w:color="auto"/>
      </w:divBdr>
    </w:div>
    <w:div w:id="746027656">
      <w:bodyDiv w:val="1"/>
      <w:marLeft w:val="0"/>
      <w:marRight w:val="0"/>
      <w:marTop w:val="0"/>
      <w:marBottom w:val="0"/>
      <w:divBdr>
        <w:top w:val="none" w:sz="0" w:space="0" w:color="auto"/>
        <w:left w:val="none" w:sz="0" w:space="0" w:color="auto"/>
        <w:bottom w:val="none" w:sz="0" w:space="0" w:color="auto"/>
        <w:right w:val="none" w:sz="0" w:space="0" w:color="auto"/>
      </w:divBdr>
    </w:div>
    <w:div w:id="877160984">
      <w:bodyDiv w:val="1"/>
      <w:marLeft w:val="0"/>
      <w:marRight w:val="0"/>
      <w:marTop w:val="0"/>
      <w:marBottom w:val="0"/>
      <w:divBdr>
        <w:top w:val="none" w:sz="0" w:space="0" w:color="auto"/>
        <w:left w:val="none" w:sz="0" w:space="0" w:color="auto"/>
        <w:bottom w:val="none" w:sz="0" w:space="0" w:color="auto"/>
        <w:right w:val="none" w:sz="0" w:space="0" w:color="auto"/>
      </w:divBdr>
    </w:div>
    <w:div w:id="897742286">
      <w:bodyDiv w:val="1"/>
      <w:marLeft w:val="0"/>
      <w:marRight w:val="0"/>
      <w:marTop w:val="0"/>
      <w:marBottom w:val="0"/>
      <w:divBdr>
        <w:top w:val="none" w:sz="0" w:space="0" w:color="auto"/>
        <w:left w:val="none" w:sz="0" w:space="0" w:color="auto"/>
        <w:bottom w:val="none" w:sz="0" w:space="0" w:color="auto"/>
        <w:right w:val="none" w:sz="0" w:space="0" w:color="auto"/>
      </w:divBdr>
    </w:div>
    <w:div w:id="926497370">
      <w:bodyDiv w:val="1"/>
      <w:marLeft w:val="0"/>
      <w:marRight w:val="0"/>
      <w:marTop w:val="0"/>
      <w:marBottom w:val="0"/>
      <w:divBdr>
        <w:top w:val="none" w:sz="0" w:space="0" w:color="auto"/>
        <w:left w:val="none" w:sz="0" w:space="0" w:color="auto"/>
        <w:bottom w:val="none" w:sz="0" w:space="0" w:color="auto"/>
        <w:right w:val="none" w:sz="0" w:space="0" w:color="auto"/>
      </w:divBdr>
    </w:div>
    <w:div w:id="1192720715">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 w:id="1390811232">
      <w:bodyDiv w:val="1"/>
      <w:marLeft w:val="0"/>
      <w:marRight w:val="0"/>
      <w:marTop w:val="0"/>
      <w:marBottom w:val="0"/>
      <w:divBdr>
        <w:top w:val="none" w:sz="0" w:space="0" w:color="auto"/>
        <w:left w:val="none" w:sz="0" w:space="0" w:color="auto"/>
        <w:bottom w:val="none" w:sz="0" w:space="0" w:color="auto"/>
        <w:right w:val="none" w:sz="0" w:space="0" w:color="auto"/>
      </w:divBdr>
    </w:div>
    <w:div w:id="1437864441">
      <w:bodyDiv w:val="1"/>
      <w:marLeft w:val="0"/>
      <w:marRight w:val="0"/>
      <w:marTop w:val="0"/>
      <w:marBottom w:val="0"/>
      <w:divBdr>
        <w:top w:val="none" w:sz="0" w:space="0" w:color="auto"/>
        <w:left w:val="none" w:sz="0" w:space="0" w:color="auto"/>
        <w:bottom w:val="none" w:sz="0" w:space="0" w:color="auto"/>
        <w:right w:val="none" w:sz="0" w:space="0" w:color="auto"/>
      </w:divBdr>
    </w:div>
    <w:div w:id="1536236110">
      <w:bodyDiv w:val="1"/>
      <w:marLeft w:val="0"/>
      <w:marRight w:val="0"/>
      <w:marTop w:val="0"/>
      <w:marBottom w:val="0"/>
      <w:divBdr>
        <w:top w:val="none" w:sz="0" w:space="0" w:color="auto"/>
        <w:left w:val="none" w:sz="0" w:space="0" w:color="auto"/>
        <w:bottom w:val="none" w:sz="0" w:space="0" w:color="auto"/>
        <w:right w:val="none" w:sz="0" w:space="0" w:color="auto"/>
      </w:divBdr>
    </w:div>
    <w:div w:id="1557545895">
      <w:bodyDiv w:val="1"/>
      <w:marLeft w:val="0"/>
      <w:marRight w:val="0"/>
      <w:marTop w:val="0"/>
      <w:marBottom w:val="0"/>
      <w:divBdr>
        <w:top w:val="none" w:sz="0" w:space="0" w:color="auto"/>
        <w:left w:val="none" w:sz="0" w:space="0" w:color="auto"/>
        <w:bottom w:val="none" w:sz="0" w:space="0" w:color="auto"/>
        <w:right w:val="none" w:sz="0" w:space="0" w:color="auto"/>
      </w:divBdr>
    </w:div>
    <w:div w:id="1564684418">
      <w:bodyDiv w:val="1"/>
      <w:marLeft w:val="0"/>
      <w:marRight w:val="0"/>
      <w:marTop w:val="0"/>
      <w:marBottom w:val="0"/>
      <w:divBdr>
        <w:top w:val="none" w:sz="0" w:space="0" w:color="auto"/>
        <w:left w:val="none" w:sz="0" w:space="0" w:color="auto"/>
        <w:bottom w:val="none" w:sz="0" w:space="0" w:color="auto"/>
        <w:right w:val="none" w:sz="0" w:space="0" w:color="auto"/>
      </w:divBdr>
    </w:div>
    <w:div w:id="1612202555">
      <w:bodyDiv w:val="1"/>
      <w:marLeft w:val="0"/>
      <w:marRight w:val="0"/>
      <w:marTop w:val="0"/>
      <w:marBottom w:val="0"/>
      <w:divBdr>
        <w:top w:val="none" w:sz="0" w:space="0" w:color="auto"/>
        <w:left w:val="none" w:sz="0" w:space="0" w:color="auto"/>
        <w:bottom w:val="none" w:sz="0" w:space="0" w:color="auto"/>
        <w:right w:val="none" w:sz="0" w:space="0" w:color="auto"/>
      </w:divBdr>
    </w:div>
    <w:div w:id="1777403712">
      <w:bodyDiv w:val="1"/>
      <w:marLeft w:val="0"/>
      <w:marRight w:val="0"/>
      <w:marTop w:val="0"/>
      <w:marBottom w:val="0"/>
      <w:divBdr>
        <w:top w:val="none" w:sz="0" w:space="0" w:color="auto"/>
        <w:left w:val="none" w:sz="0" w:space="0" w:color="auto"/>
        <w:bottom w:val="none" w:sz="0" w:space="0" w:color="auto"/>
        <w:right w:val="none" w:sz="0" w:space="0" w:color="auto"/>
      </w:divBdr>
    </w:div>
    <w:div w:id="1827285766">
      <w:bodyDiv w:val="1"/>
      <w:marLeft w:val="0"/>
      <w:marRight w:val="0"/>
      <w:marTop w:val="0"/>
      <w:marBottom w:val="0"/>
      <w:divBdr>
        <w:top w:val="none" w:sz="0" w:space="0" w:color="auto"/>
        <w:left w:val="none" w:sz="0" w:space="0" w:color="auto"/>
        <w:bottom w:val="none" w:sz="0" w:space="0" w:color="auto"/>
        <w:right w:val="none" w:sz="0" w:space="0" w:color="auto"/>
      </w:divBdr>
    </w:div>
    <w:div w:id="1831942887">
      <w:bodyDiv w:val="1"/>
      <w:marLeft w:val="0"/>
      <w:marRight w:val="0"/>
      <w:marTop w:val="0"/>
      <w:marBottom w:val="0"/>
      <w:divBdr>
        <w:top w:val="none" w:sz="0" w:space="0" w:color="auto"/>
        <w:left w:val="none" w:sz="0" w:space="0" w:color="auto"/>
        <w:bottom w:val="none" w:sz="0" w:space="0" w:color="auto"/>
        <w:right w:val="none" w:sz="0" w:space="0" w:color="auto"/>
      </w:divBdr>
    </w:div>
    <w:div w:id="1906985485">
      <w:bodyDiv w:val="1"/>
      <w:marLeft w:val="0"/>
      <w:marRight w:val="0"/>
      <w:marTop w:val="0"/>
      <w:marBottom w:val="0"/>
      <w:divBdr>
        <w:top w:val="none" w:sz="0" w:space="0" w:color="auto"/>
        <w:left w:val="none" w:sz="0" w:space="0" w:color="auto"/>
        <w:bottom w:val="none" w:sz="0" w:space="0" w:color="auto"/>
        <w:right w:val="none" w:sz="0" w:space="0" w:color="auto"/>
      </w:divBdr>
    </w:div>
    <w:div w:id="1927497236">
      <w:bodyDiv w:val="1"/>
      <w:marLeft w:val="0"/>
      <w:marRight w:val="0"/>
      <w:marTop w:val="0"/>
      <w:marBottom w:val="0"/>
      <w:divBdr>
        <w:top w:val="none" w:sz="0" w:space="0" w:color="auto"/>
        <w:left w:val="none" w:sz="0" w:space="0" w:color="auto"/>
        <w:bottom w:val="none" w:sz="0" w:space="0" w:color="auto"/>
        <w:right w:val="none" w:sz="0" w:space="0" w:color="auto"/>
      </w:divBdr>
    </w:div>
    <w:div w:id="1965502591">
      <w:bodyDiv w:val="1"/>
      <w:marLeft w:val="0"/>
      <w:marRight w:val="0"/>
      <w:marTop w:val="0"/>
      <w:marBottom w:val="0"/>
      <w:divBdr>
        <w:top w:val="none" w:sz="0" w:space="0" w:color="auto"/>
        <w:left w:val="none" w:sz="0" w:space="0" w:color="auto"/>
        <w:bottom w:val="none" w:sz="0" w:space="0" w:color="auto"/>
        <w:right w:val="none" w:sz="0" w:space="0" w:color="auto"/>
      </w:divBdr>
    </w:div>
    <w:div w:id="2022928604">
      <w:bodyDiv w:val="1"/>
      <w:marLeft w:val="0"/>
      <w:marRight w:val="0"/>
      <w:marTop w:val="0"/>
      <w:marBottom w:val="0"/>
      <w:divBdr>
        <w:top w:val="none" w:sz="0" w:space="0" w:color="auto"/>
        <w:left w:val="none" w:sz="0" w:space="0" w:color="auto"/>
        <w:bottom w:val="none" w:sz="0" w:space="0" w:color="auto"/>
        <w:right w:val="none" w:sz="0" w:space="0" w:color="auto"/>
      </w:divBdr>
    </w:div>
    <w:div w:id="2105493724">
      <w:bodyDiv w:val="1"/>
      <w:marLeft w:val="0"/>
      <w:marRight w:val="0"/>
      <w:marTop w:val="0"/>
      <w:marBottom w:val="0"/>
      <w:divBdr>
        <w:top w:val="none" w:sz="0" w:space="0" w:color="auto"/>
        <w:left w:val="none" w:sz="0" w:space="0" w:color="auto"/>
        <w:bottom w:val="none" w:sz="0" w:space="0" w:color="auto"/>
        <w:right w:val="none" w:sz="0" w:space="0" w:color="auto"/>
      </w:divBdr>
    </w:div>
    <w:div w:id="2128113237">
      <w:bodyDiv w:val="1"/>
      <w:marLeft w:val="0"/>
      <w:marRight w:val="0"/>
      <w:marTop w:val="0"/>
      <w:marBottom w:val="0"/>
      <w:divBdr>
        <w:top w:val="none" w:sz="0" w:space="0" w:color="auto"/>
        <w:left w:val="none" w:sz="0" w:space="0" w:color="auto"/>
        <w:bottom w:val="none" w:sz="0" w:space="0" w:color="auto"/>
        <w:right w:val="none" w:sz="0" w:space="0" w:color="auto"/>
      </w:divBdr>
    </w:div>
    <w:div w:id="21331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rporategovernance.dk/anbefalinger" TargetMode="External"/><Relationship Id="rId2" Type="http://schemas.openxmlformats.org/officeDocument/2006/relationships/hyperlink" Target="https://investor.nilfisk.com/static-files/f7720f54-b630-4bb8-9f46-0c0582827d0c" TargetMode="External"/><Relationship Id="rId1" Type="http://schemas.openxmlformats.org/officeDocument/2006/relationships/hyperlink" Target="https://investor.nilfisk.com/static-files/078eaffc-1f0e-406b-aace-9f6217cc0f0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romannReumert">
  <a:themeElements>
    <a:clrScheme name="KromannReumert">
      <a:dk1>
        <a:sysClr val="windowText" lastClr="000000"/>
      </a:dk1>
      <a:lt1>
        <a:sysClr val="window" lastClr="FFFFFF"/>
      </a:lt1>
      <a:dk2>
        <a:srgbClr val="DDDDCB"/>
      </a:dk2>
      <a:lt2>
        <a:srgbClr val="768C76"/>
      </a:lt2>
      <a:accent1>
        <a:srgbClr val="003C46"/>
      </a:accent1>
      <a:accent2>
        <a:srgbClr val="4D777E"/>
      </a:accent2>
      <a:accent3>
        <a:srgbClr val="99B1B5"/>
      </a:accent3>
      <a:accent4>
        <a:srgbClr val="A0A08D"/>
      </a:accent4>
      <a:accent5>
        <a:srgbClr val="4E6B60"/>
      </a:accent5>
      <a:accent6>
        <a:srgbClr val="8D8100"/>
      </a:accent6>
      <a:hlink>
        <a:srgbClr val="33636B"/>
      </a:hlink>
      <a:folHlink>
        <a:srgbClr val="809EA3"/>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D6F07E-7C88-4885-BD97-C5DC52F5AFB9}">
  <we:reference id="6cec9104-4737-421b-a03d-239e5c3d9697" version="1.0.3.0" store="EXCatalog" storeType="EXCatalog"/>
  <we:alternateReferences>
    <we:reference id="WA200007740" version="1.0.3.0" store="da-DK"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lientName xmlns="964e09ae-0978-4b1e-b219-a1ce234d9e02">Nilfisk Holding A/S</ClientName>
    <ClientCode xmlns="964e09ae-0978-4b1e-b219-a1ce234d9e02">9968749</ClientCode>
    <MatterName xmlns="964e09ae-0978-4b1e-b219-a1ce234d9e02">Project Drakkar</MatterName>
    <MatterCode xmlns="964e09ae-0978-4b1e-b219-a1ce234d9e02">1079149</MatterCode>
    <ca68c49a8f784b8589266246736936f4 xmlns="964e09ae-0978-4b1e-b219-a1ce234d9e02">
      <Terms xmlns="http://schemas.microsoft.com/office/infopath/2007/PartnerControls">
        <TermInfo>
          <TermName>Anden juridisk sagsbehandling</TermName>
          <TermId>fc068170-46d3-4b0d-b5b4-ab8eff6004f4</TermId>
        </TermInfo>
      </Terms>
    </ca68c49a8f784b8589266246736936f4>
    <ResponsiblePartner xmlns="964e09ae-0978-4b1e-b219-a1ce234d9e02">
      <UserInfo>
        <DisplayName>Jeppe Buskov</DisplayName>
        <AccountId>11</AccountId>
        <AccountType/>
      </UserInfo>
    </ResponsiblePartner>
    <MatterWorker xmlns="964e09ae-0978-4b1e-b219-a1ce234d9e02">
      <UserInfo>
        <DisplayName>Jeppe Buskov</DisplayName>
        <AccountId>11</AccountId>
        <AccountType/>
      </UserInfo>
    </MatterWorker>
    <je4fc4e6e45e4bd19f300b15104f5512 xmlns="964e09ae-0978-4b1e-b219-a1ce234d9e02">
      <Terms xmlns="http://schemas.microsoft.com/office/infopath/2007/PartnerControls">
        <TermInfo>
          <TermName>Fremstillingsaktiviteter</TermName>
          <TermId>f8aac46f-e76c-48db-981e-0ccda41918e9</TermId>
        </TermInfo>
      </Terms>
    </je4fc4e6e45e4bd19f300b15104f5512>
    <c2d656f1d99643cd8c32bbc1e680f04e xmlns="964e09ae-0978-4b1e-b219-a1ce234d9e02">
      <Terms xmlns="http://schemas.microsoft.com/office/infopath/2007/PartnerControls">
        <TermInfo>
          <TermName>Overdragelse af noterede virksomheder</TermName>
          <TermId>0a903026-16b6-48ee-bdcb-7fd1b0320c36</TermId>
        </TermInfo>
      </Terms>
    </c2d656f1d99643cd8c32bbc1e680f04e>
    <g08f28ee30984e06b78e31f902208e8d xmlns="964e09ae-0978-4b1e-b219-a1ce234d9e02">
      <Terms xmlns="http://schemas.microsoft.com/office/infopath/2007/PartnerControls"/>
    </g08f28ee30984e06b78e31f902208e8d>
    <DocumentNotes xmlns="964e09ae-0978-4b1e-b219-a1ce234d9e02" xmlns:ns1="http://www.w3.org/2001/XMLSchema-instance" ns1:nil="true"/>
    <PreviousDocID xmlns="964e09ae-0978-4b1e-b219-a1ce234d9e02" xmlns:ns1="http://www.w3.org/2001/XMLSchema-instance" ns1:nil="true"/>
    <HighQURL xmlns="964e09ae-0978-4b1e-b219-a1ce234d9e02" xmlns:ns1="http://www.w3.org/2001/XMLSchema-instance" ns1:nil="true"/>
    <KmsURL xmlns="964e09ae-0978-4b1e-b219-a1ce234d9e02" xmlns:ns1="http://www.w3.org/2001/XMLSchema-instance" ns1:nil="true"/>
    <TaxCatchAll xmlns="964e09ae-0978-4b1e-b219-a1ce234d9e02">
      <Value>3</Value>
      <Value>2</Value>
      <Value>1</Value>
    </TaxCatchAll>
    <_dlc_DocId xmlns="964e09ae-0978-4b1e-b219-a1ce234d9e02">1079149-2042455109-5352</_dlc_DocId>
    <_dlc_DocIdUrl xmlns="964e09ae-0978-4b1e-b219-a1ce234d9e02">
      <Url>https://kromannreumert.sharepoint.com/sites/1079149/_layouts/15/DocIdRedir.aspx?ID=1079149-2042455109-5352</Url>
      <Description>1079149-2042455109-5352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R Dokument" ma:contentTypeID="0x01010038B6587D8E8648758A0F38CD20306B0F000074DEBB060F7943A907D3DE78A57D8B" ma:contentTypeVersion="19" ma:contentTypeDescription="Create a new document." ma:contentTypeScope="" ma:versionID="74700220713767b36cfab1bc1b5b68da">
  <xsd:schema xmlns:xsd="http://www.w3.org/2001/XMLSchema" xmlns:xs="http://www.w3.org/2001/XMLSchema" xmlns:p="http://schemas.microsoft.com/office/2006/metadata/properties" xmlns:ns2="964e09ae-0978-4b1e-b219-a1ce234d9e02" xmlns:ns3="236f6dfd-3aeb-45ea-8e35-5730e003b261" targetNamespace="http://schemas.microsoft.com/office/2006/metadata/properties" ma:root="true" ma:fieldsID="af0562375f42df7ee90e7e77e6683f6b" ns2:_="" ns3:_="">
    <xsd:import namespace="964e09ae-0978-4b1e-b219-a1ce234d9e02"/>
    <xsd:import namespace="236f6dfd-3aeb-45ea-8e35-5730e003b261"/>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ResponsiblePartner" minOccurs="0"/>
                <xsd:element ref="ns2:MatterWorker" minOccurs="0"/>
                <xsd:element ref="ns2:DocumentNotes" minOccurs="0"/>
                <xsd:element ref="ns2:PreviousDocID" minOccurs="0"/>
                <xsd:element ref="ns2:HighQURL" minOccurs="0"/>
                <xsd:element ref="ns2:KmsURL" minOccurs="0"/>
                <xsd:element ref="ns2:TaxCatchAll" minOccurs="0"/>
                <xsd:element ref="ns2:TaxCatchAllLabel" minOccurs="0"/>
                <xsd:element ref="ns2:_dlc_DocId" minOccurs="0"/>
                <xsd:element ref="ns2:je4fc4e6e45e4bd19f300b15104f5512" minOccurs="0"/>
                <xsd:element ref="ns2:_dlc_DocIdUrl" minOccurs="0"/>
                <xsd:element ref="ns2:c2d656f1d99643cd8c32bbc1e680f04e" minOccurs="0"/>
                <xsd:element ref="ns2:_dlc_DocIdPersistId" minOccurs="0"/>
                <xsd:element ref="ns2:g08f28ee30984e06b78e31f902208e8d" minOccurs="0"/>
                <xsd:element ref="ns2:ca68c49a8f784b8589266246736936f4"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e09ae-0978-4b1e-b219-a1ce234d9e02" elementFormDefault="qualified">
    <xsd:import namespace="http://schemas.microsoft.com/office/2006/documentManagement/types"/>
    <xsd:import namespace="http://schemas.microsoft.com/office/infopath/2007/PartnerControls"/>
    <xsd:element name="ClientName" ma:index="2" nillable="true" ma:displayName="Client Name" ma:default="Nilfisk Holding A/S" ma:internalName="ClientName">
      <xsd:simpleType>
        <xsd:restriction base="dms:Text"/>
      </xsd:simpleType>
    </xsd:element>
    <xsd:element name="ClientCode" ma:index="3" nillable="true" ma:displayName="Client ID" ma:default="9968749" ma:internalName="ClientCode">
      <xsd:simpleType>
        <xsd:restriction base="dms:Text"/>
      </xsd:simpleType>
    </xsd:element>
    <xsd:element name="MatterName" ma:index="4" nillable="true" ma:displayName="Matter Name" ma:default="Project Drakkar" ma:internalName="MatterName">
      <xsd:simpleType>
        <xsd:restriction base="dms:Text"/>
      </xsd:simpleType>
    </xsd:element>
    <xsd:element name="MatterCode" ma:index="5" nillable="true" ma:displayName="Matter ID" ma:default="1079149" ma:internalName="MatterCode">
      <xsd:simpleType>
        <xsd:restriction base="dms:Text"/>
      </xsd:simpleType>
    </xsd:element>
    <xsd:element name="ResponsiblePartner" ma:index="7" nillable="true" ma:displayName="Responsible Partner" ma:default="11;#Jeppe Buskov"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8" nillable="true" ma:displayName="Matter Worker" ma:default="11;#Jeppe Buskov"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Notes" ma:index="12" nillable="true" ma:displayName="Document Notes" ma:internalName="DocumentNotes">
      <xsd:simpleType>
        <xsd:restriction base="dms:Note">
          <xsd:maxLength value="255"/>
        </xsd:restriction>
      </xsd:simpleType>
    </xsd:element>
    <xsd:element name="PreviousDocID" ma:index="13" nillable="true" ma:displayName="PreviousDocID" ma:internalName="PreviousDocID">
      <xsd:simpleType>
        <xsd:restriction base="dms:Text"/>
      </xsd:simpleType>
    </xsd:element>
    <xsd:element name="HighQURL" ma:index="14" nillable="true" ma:displayName="HighQURL" ma:internalName="HighQURL">
      <xsd:simpleType>
        <xsd:restriction base="dms:Text"/>
      </xsd:simpleType>
    </xsd:element>
    <xsd:element name="KmsURL" ma:index="15" nillable="true" ma:displayName="KmsURL" ma:internalName="KmsURL">
      <xsd:simpleType>
        <xsd:restriction base="dms:Text"/>
      </xsd:simpleType>
    </xsd:element>
    <xsd:element name="TaxCatchAll" ma:index="16" nillable="true" ma:displayName="Taxonomy Catch All Column" ma:hidden="true" ma:list="{6fd0e8d8-835f-46b4-856b-83e7e8aec7f9}" ma:internalName="TaxCatchAll" ma:showField="CatchAllData" ma:web="964e09ae-0978-4b1e-b219-a1ce234d9e0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6fd0e8d8-835f-46b4-856b-83e7e8aec7f9}" ma:internalName="TaxCatchAllLabel" ma:readOnly="true" ma:showField="CatchAllDataLabel" ma:web="964e09ae-0978-4b1e-b219-a1ce234d9e02">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je4fc4e6e45e4bd19f300b15104f5512" ma:index="21" nillable="true" ma:taxonomy="true" ma:internalName="je4fc4e6e45e4bd19f300b15104f5512" ma:taxonomyFieldName="Industry" ma:displayName="Industry" ma:default="2;#Fremstillingsaktiviteter|f8aac46f-e76c-48db-981e-0ccda41918e9" ma:fieldId="{3e4fc4e6-e45e-4bd1-9f30-0b15104f5512}"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2d656f1d99643cd8c32bbc1e680f04e" ma:index="23" nillable="true" ma:taxonomy="true" ma:internalName="c2d656f1d99643cd8c32bbc1e680f04e" ma:taxonomyFieldName="LegalSubject" ma:displayName="Legal Subject" ma:default="3;#Overdragelse af noterede virksomheder|0a903026-16b6-48ee-bdcb-7fd1b0320c36" ma:fieldId="{c2d656f1-d996-43cd-8c32-bbc1e680f04e}"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g08f28ee30984e06b78e31f902208e8d" ma:index="25" nillable="true" ma:taxonomy="true" ma:internalName="g08f28ee30984e06b78e31f902208e8d" ma:taxonomyFieldName="DocumentType" ma:displayName="Document Type" ma:fieldId="{008f28ee-3098-4e06-b78e-31f902208e8d}"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ca68c49a8f784b8589266246736936f4" ma:index="30" nillable="true" ma:taxonomy="true" ma:internalName="ca68c49a8f784b8589266246736936f4" ma:taxonomyFieldName="MatterWorkingType" ma:displayName="Matter Working Type" ma:default="1;#Anden juridisk sagsbehandling|fc068170-46d3-4b0d-b5b4-ab8eff6004f4" ma:fieldId="{ca68c49a-8f78-4b85-8926-6246736936f4}" ma:sspId="6852a3ab-3bc9-412b-ad7e-735936c553bf" ma:termSetId="8c4efd88-fa4f-4433-83da-74926b6d6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f6dfd-3aeb-45ea-8e35-5730e003b261"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roperties xmlns="http://www.imanage.com/work/xmlschema">
  <documentid>MWIMANAGE!1758280.3</documentid>
  <senderid>NILS.HOMANN@MOALEMWEITEMEYER.COM</senderid>
  <senderemail>NILS.HOMANN@MOALEMWEITEMEYER.COM</senderemail>
  <lastmodified>2025-12-10T13:05:00.0000000+01:00</lastmodified>
  <database>MWIMANAGE</database>
</properties>
</file>

<file path=customXml/itemProps1.xml><?xml version="1.0" encoding="utf-8"?>
<ds:datastoreItem xmlns:ds="http://schemas.openxmlformats.org/officeDocument/2006/customXml" ds:itemID="{EF1E6CBF-F8C7-47E4-B8A2-7422F298FF16}">
  <ds:schemaRefs>
    <ds:schemaRef ds:uri="http://schemas.openxmlformats.org/officeDocument/2006/bibliography"/>
  </ds:schemaRefs>
</ds:datastoreItem>
</file>

<file path=customXml/itemProps2.xml><?xml version="1.0" encoding="utf-8"?>
<ds:datastoreItem xmlns:ds="http://schemas.openxmlformats.org/officeDocument/2006/customXml" ds:itemID="{50A7D07F-1018-4471-BD0D-4C3BF685F4A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64e09ae-0978-4b1e-b219-a1ce234d9e02"/>
    <ds:schemaRef ds:uri="236f6dfd-3aeb-45ea-8e35-5730e003b261"/>
    <ds:schemaRef ds:uri="http://purl.org/dc/term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2595FA-2AF8-4392-BCC2-D4CF863C1D83}">
  <ds:schemaRefs>
    <ds:schemaRef ds:uri="http://schemas.microsoft.com/sharepoint/v3/contenttype/forms"/>
  </ds:schemaRefs>
</ds:datastoreItem>
</file>

<file path=customXml/itemProps4.xml><?xml version="1.0" encoding="utf-8"?>
<ds:datastoreItem xmlns:ds="http://schemas.openxmlformats.org/officeDocument/2006/customXml" ds:itemID="{4570AC52-6965-4DCF-807A-A63EC04CF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e09ae-0978-4b1e-b219-a1ce234d9e02"/>
    <ds:schemaRef ds:uri="236f6dfd-3aeb-45ea-8e35-5730e003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651824-F5CF-40E6-A1D1-BEFDB28D952E}">
  <ds:schemaRefs>
    <ds:schemaRef ds:uri="http://schemas.microsoft.com/sharepoint/events"/>
  </ds:schemaRefs>
</ds:datastoreItem>
</file>

<file path=customXml/itemProps6.xml><?xml version="1.0" encoding="utf-8"?>
<ds:datastoreItem xmlns:ds="http://schemas.openxmlformats.org/officeDocument/2006/customXml" ds:itemID="{F7313A8C-3732-433B-80D4-FE2E59F80EAD}">
  <ds:schemaRefs>
    <ds:schemaRef ds:uri="http://www.imanage.com/work/xmlschema"/>
  </ds:schemaRefs>
</ds:datastoreItem>
</file>

<file path=docMetadata/LabelInfo.xml><?xml version="1.0" encoding="utf-8"?>
<clbl:labelList xmlns:clbl="http://schemas.microsoft.com/office/2020/mipLabelMetadata">
  <clbl:label id="{b6c54b6e-3286-496c-a554-2a43795873ff}" enabled="0" method="" siteId="{b6c54b6e-3286-496c-a554-2a43795873ff}" removed="1"/>
</clbl:labelList>
</file>

<file path=docProps/app.xml><?xml version="1.0" encoding="utf-8"?>
<Properties xmlns="http://schemas.openxmlformats.org/officeDocument/2006/extended-properties" xmlns:vt="http://schemas.openxmlformats.org/officeDocument/2006/docPropsVTypes">
  <Template>Normal.dotm</Template>
  <TotalTime>2186</TotalTime>
  <Pages>36</Pages>
  <Words>13395</Words>
  <Characters>72912</Characters>
  <Application>Microsoft Office Word</Application>
  <DocSecurity>0</DocSecurity>
  <Lines>1256</Lines>
  <Paragraphs>477</Paragraphs>
  <ScaleCrop>false</ScaleCrop>
  <HeadingPairs>
    <vt:vector size="2" baseType="variant">
      <vt:variant>
        <vt:lpstr>Title</vt:lpstr>
      </vt:variant>
      <vt:variant>
        <vt:i4>1</vt:i4>
      </vt:variant>
    </vt:vector>
  </HeadingPairs>
  <TitlesOfParts>
    <vt:vector size="1" baseType="lpstr">
      <vt:lpstr/>
    </vt:vector>
  </TitlesOfParts>
  <Company>Kromann Reumert</Company>
  <LinksUpToDate>false</LinksUpToDate>
  <CharactersWithSpaces>85961</CharactersWithSpaces>
  <SharedDoc>false</SharedDoc>
  <HLinks>
    <vt:vector size="12" baseType="variant">
      <vt:variant>
        <vt:i4>6750262</vt:i4>
      </vt:variant>
      <vt:variant>
        <vt:i4>3</vt:i4>
      </vt:variant>
      <vt:variant>
        <vt:i4>0</vt:i4>
      </vt:variant>
      <vt:variant>
        <vt:i4>5</vt:i4>
      </vt:variant>
      <vt:variant>
        <vt:lpwstr>https://investor.nilfisk.com/static-files/f7720f54-b630-4bb8-9f46-0c0582827d0c</vt:lpwstr>
      </vt:variant>
      <vt:variant>
        <vt:lpwstr/>
      </vt:variant>
      <vt:variant>
        <vt:i4>6684722</vt:i4>
      </vt:variant>
      <vt:variant>
        <vt:i4>0</vt:i4>
      </vt:variant>
      <vt:variant>
        <vt:i4>0</vt:i4>
      </vt:variant>
      <vt:variant>
        <vt:i4>5</vt:i4>
      </vt:variant>
      <vt:variant>
        <vt:lpwstr>https://investor.nilfisk.com/static-files/078eaffc-1f0e-406b-aace-9f6217cc0f0a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Kromann Reumert</dc:creator>
  <cp:keywords/>
  <cp:lastModifiedBy>Kromann Reumert</cp:lastModifiedBy>
  <cp:revision>381</cp:revision>
  <cp:lastPrinted>2026-01-06T18:59:00Z</cp:lastPrinted>
  <dcterms:created xsi:type="dcterms:W3CDTF">2025-12-11T00:47:00Z</dcterms:created>
  <dcterms:modified xsi:type="dcterms:W3CDTF">2026-01-06T19:00:00Z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b100e009b5141a285f06b5aa62dc69c">
    <vt:lpwstr>Fremstillingsaktiviteter|f8aac46f-e76c-48db-981e-0ccda41918e9</vt:lpwstr>
  </property>
  <property fmtid="{D5CDD505-2E9C-101B-9397-08002B2CF9AE}" pid="3" name="DokumentType">
    <vt:lpwstr>6;#KR dokumenter|522f9101-2d53-4771-b10e-674edc62ad03</vt:lpwstr>
  </property>
  <property fmtid="{D5CDD505-2E9C-101B-9397-08002B2CF9AE}" pid="4" name="ContentTypeId">
    <vt:lpwstr>0x01010038B6587D8E8648758A0F38CD20306B0F000074DEBB060F7943A907D3DE78A57D8B</vt:lpwstr>
  </property>
  <property fmtid="{D5CDD505-2E9C-101B-9397-08002B2CF9AE}" pid="5" name="DocAuthor">
    <vt:lpwstr>-1;#Jeppe Buskov</vt:lpwstr>
  </property>
  <property fmtid="{D5CDD505-2E9C-101B-9397-08002B2CF9AE}" pid="6" name="docLang">
    <vt:lpwstr>en</vt:lpwstr>
  </property>
  <property fmtid="{D5CDD505-2E9C-101B-9397-08002B2CF9AE}" pid="7" name="ja712ecf85764bd7be3b1701d64cc280">
    <vt:lpwstr>Overdragelse af noterede virksomheder|0a903026-16b6-48ee-bdcb-7fd1b0320c36</vt:lpwstr>
  </property>
  <property fmtid="{D5CDD505-2E9C-101B-9397-08002B2CF9AE}" pid="8" name="j199597e91e84d26a54d4f206f3ddb12">
    <vt:lpwstr>Anden juridisk sagsbehandling|fc068170-46d3-4b0d-b5b4-ab8eff6004f4</vt:lpwstr>
  </property>
  <property fmtid="{D5CDD505-2E9C-101B-9397-08002B2CF9AE}" pid="9" name="_dlc_DocIdItemGuid">
    <vt:lpwstr>632d13f1-073b-48eb-9baa-d1d73bd5e602</vt:lpwstr>
  </property>
  <property fmtid="{D5CDD505-2E9C-101B-9397-08002B2CF9AE}" pid="10" name="DocumentType">
    <vt:lpwstr/>
  </property>
  <property fmtid="{D5CDD505-2E9C-101B-9397-08002B2CF9AE}" pid="11" name="ContentType">
    <vt:lpwstr>KR Dokument</vt:lpwstr>
  </property>
  <property fmtid="{D5CDD505-2E9C-101B-9397-08002B2CF9AE}" pid="12" name="_dlc_DocId">
    <vt:lpwstr>1079149-2042455109-5352</vt:lpwstr>
  </property>
  <property fmtid="{D5CDD505-2E9C-101B-9397-08002B2CF9AE}" pid="13" name="_dlc_DocIdUrl">
    <vt:lpwstr>https://kromannreumert.sharepoint.com/sites/1079149/_layouts/15/DocIdRedir.aspx?ID=1079149-2042455109-5352, 1079149-2042455109-5352</vt:lpwstr>
  </property>
  <property fmtid="{D5CDD505-2E9C-101B-9397-08002B2CF9AE}" pid="14" name="ClientName">
    <vt:lpwstr>Nilfisk Holding A/S</vt:lpwstr>
  </property>
  <property fmtid="{D5CDD505-2E9C-101B-9397-08002B2CF9AE}" pid="15" name="ClientCode">
    <vt:lpwstr>9968749</vt:lpwstr>
  </property>
  <property fmtid="{D5CDD505-2E9C-101B-9397-08002B2CF9AE}" pid="16" name="MatterName">
    <vt:lpwstr>Project Drakkar</vt:lpwstr>
  </property>
  <property fmtid="{D5CDD505-2E9C-101B-9397-08002B2CF9AE}" pid="17" name="MatterCode">
    <vt:lpwstr>1079149</vt:lpwstr>
  </property>
  <property fmtid="{D5CDD505-2E9C-101B-9397-08002B2CF9AE}" pid="18" name="ca68c49a8f784b8589266246736936f4">
    <vt:lpwstr>Anden juridisk sagsbehandling|fc068170-46d3-4b0d-b5b4-ab8eff6004f4</vt:lpwstr>
  </property>
  <property fmtid="{D5CDD505-2E9C-101B-9397-08002B2CF9AE}" pid="19" name="ResponsiblePartner">
    <vt:lpwstr>11;#Jeppe Buskov</vt:lpwstr>
  </property>
  <property fmtid="{D5CDD505-2E9C-101B-9397-08002B2CF9AE}" pid="20" name="MatterWorker">
    <vt:lpwstr>11;#Jeppe Buskov</vt:lpwstr>
  </property>
  <property fmtid="{D5CDD505-2E9C-101B-9397-08002B2CF9AE}" pid="21" name="je4fc4e6e45e4bd19f300b15104f5512">
    <vt:lpwstr>Fremstillingsaktiviteter|f8aac46f-e76c-48db-981e-0ccda41918e9</vt:lpwstr>
  </property>
  <property fmtid="{D5CDD505-2E9C-101B-9397-08002B2CF9AE}" pid="22" name="c2d656f1d99643cd8c32bbc1e680f04e">
    <vt:lpwstr>Overdragelse af noterede virksomheder|0a903026-16b6-48ee-bdcb-7fd1b0320c36</vt:lpwstr>
  </property>
  <property fmtid="{D5CDD505-2E9C-101B-9397-08002B2CF9AE}" pid="23" name="Modified">
    <vt:lpwstr>2026-01-06T02:40:00+00:00</vt:lpwstr>
  </property>
  <property fmtid="{D5CDD505-2E9C-101B-9397-08002B2CF9AE}" pid="24" name="Created">
    <vt:lpwstr>2025-12-11T00:47:00+00:00</vt:lpwstr>
  </property>
  <property fmtid="{D5CDD505-2E9C-101B-9397-08002B2CF9AE}" pid="25" name="Sender name">
    <vt:lpwstr/>
  </property>
  <property fmtid="{D5CDD505-2E9C-101B-9397-08002B2CF9AE}" pid="26" name="Sent representing e-mail address">
    <vt:lpwstr/>
  </property>
  <property fmtid="{D5CDD505-2E9C-101B-9397-08002B2CF9AE}" pid="27" name="Topic">
    <vt:lpwstr>Project Drakkar - Fjord - Board Recommendation.docx</vt:lpwstr>
  </property>
  <property fmtid="{D5CDD505-2E9C-101B-9397-08002B2CF9AE}" pid="28" name="Conversation topic">
    <vt:lpwstr>Project Drakkar - Fjord - Board Recommendation.docx</vt:lpwstr>
  </property>
  <property fmtid="{D5CDD505-2E9C-101B-9397-08002B2CF9AE}" pid="29" name="Transport message headers">
    <vt:lpwstr/>
  </property>
  <property fmtid="{D5CDD505-2E9C-101B-9397-08002B2CF9AE}" pid="30" name="Received by name">
    <vt:lpwstr/>
  </property>
  <property fmtid="{D5CDD505-2E9C-101B-9397-08002B2CF9AE}" pid="31" name="Message class">
    <vt:lpwstr>IPM.Document.Word.Document.12</vt:lpwstr>
  </property>
  <property fmtid="{D5CDD505-2E9C-101B-9397-08002B2CF9AE}" pid="32" name="Received representing address type">
    <vt:lpwstr/>
  </property>
  <property fmtid="{D5CDD505-2E9C-101B-9397-08002B2CF9AE}" pid="33" name="Sent representing name">
    <vt:lpwstr/>
  </property>
  <property fmtid="{D5CDD505-2E9C-101B-9397-08002B2CF9AE}" pid="34" name="Sent representing address type">
    <vt:lpwstr/>
  </property>
  <property fmtid="{D5CDD505-2E9C-101B-9397-08002B2CF9AE}" pid="35" name="SMTPBCC">
    <vt:lpwstr/>
  </property>
  <property fmtid="{D5CDD505-2E9C-101B-9397-08002B2CF9AE}" pid="36" name="Sensitivity">
    <vt:r8>0</vt:r8>
  </property>
  <property fmtid="{D5CDD505-2E9C-101B-9397-08002B2CF9AE}" pid="37" name="BCC">
    <vt:lpwstr/>
  </property>
  <property fmtid="{D5CDD505-2E9C-101B-9397-08002B2CF9AE}" pid="38" name="SMTPCC">
    <vt:lpwstr/>
  </property>
  <property fmtid="{D5CDD505-2E9C-101B-9397-08002B2CF9AE}" pid="39" name="Internet CPID">
    <vt:r8>28591</vt:r8>
  </property>
  <property fmtid="{D5CDD505-2E9C-101B-9397-08002B2CF9AE}" pid="40" name="Last modification time">
    <vt:filetime>2025-12-15T13:43:16Z</vt:filetime>
  </property>
  <property fmtid="{D5CDD505-2E9C-101B-9397-08002B2CF9AE}" pid="41" name="Received by address type">
    <vt:lpwstr/>
  </property>
  <property fmtid="{D5CDD505-2E9C-101B-9397-08002B2CF9AE}" pid="42" name="SMTPTo">
    <vt:lpwstr/>
  </property>
  <property fmtid="{D5CDD505-2E9C-101B-9397-08002B2CF9AE}" pid="43" name="CC">
    <vt:lpwstr/>
  </property>
  <property fmtid="{D5CDD505-2E9C-101B-9397-08002B2CF9AE}" pid="44" name="Internet message id">
    <vt:lpwstr/>
  </property>
  <property fmtid="{D5CDD505-2E9C-101B-9397-08002B2CF9AE}" pid="45" name="Sender address type">
    <vt:lpwstr/>
  </property>
  <property fmtid="{D5CDD505-2E9C-101B-9397-08002B2CF9AE}" pid="46" name="Has attachment">
    <vt:bool>true</vt:bool>
  </property>
  <property fmtid="{D5CDD505-2E9C-101B-9397-08002B2CF9AE}" pid="47" name="Received representing name">
    <vt:lpwstr/>
  </property>
  <property fmtid="{D5CDD505-2E9C-101B-9397-08002B2CF9AE}" pid="48" name="To">
    <vt:lpwstr/>
  </property>
  <property fmtid="{D5CDD505-2E9C-101B-9397-08002B2CF9AE}" pid="49" name="Received by e-mail address">
    <vt:lpwstr/>
  </property>
  <property fmtid="{D5CDD505-2E9C-101B-9397-08002B2CF9AE}" pid="50" name="Sender e-mail address">
    <vt:lpwstr/>
  </property>
  <property fmtid="{D5CDD505-2E9C-101B-9397-08002B2CF9AE}" pid="51" name="SMTPFrom">
    <vt:lpwstr/>
  </property>
  <property fmtid="{D5CDD505-2E9C-101B-9397-08002B2CF9AE}" pid="52" name="Creation time">
    <vt:filetime>2025-12-15T13:43:16Z</vt:filetime>
  </property>
  <property fmtid="{D5CDD505-2E9C-101B-9397-08002B2CF9AE}" pid="53" name="Received representing e-mail address">
    <vt:lpwstr/>
  </property>
  <property fmtid="{D5CDD505-2E9C-101B-9397-08002B2CF9AE}" pid="54" name="Importance">
    <vt:r8>0</vt:r8>
  </property>
  <property fmtid="{D5CDD505-2E9C-101B-9397-08002B2CF9AE}" pid="55" name="Message size">
    <vt:r8>176128</vt:r8>
  </property>
  <property fmtid="{D5CDD505-2E9C-101B-9397-08002B2CF9AE}" pid="56" name="LegalSubject">
    <vt:lpwstr>3;#Overdragelse af noterede virksomheder|0a903026-16b6-48ee-bdcb-7fd1b0320c36</vt:lpwstr>
  </property>
  <property fmtid="{D5CDD505-2E9C-101B-9397-08002B2CF9AE}" pid="57" name="MatterWorkingType">
    <vt:lpwstr>1;#Anden juridisk sagsbehandling|fc068170-46d3-4b0d-b5b4-ab8eff6004f4</vt:lpwstr>
  </property>
  <property fmtid="{D5CDD505-2E9C-101B-9397-08002B2CF9AE}" pid="58" name="Industry">
    <vt:lpwstr>2;#Fremstillingsaktiviteter|f8aac46f-e76c-48db-981e-0ccda41918e9</vt:lpwstr>
  </property>
</Properties>
</file>