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5E34D" w14:textId="58452D23" w:rsidR="00587305" w:rsidRPr="00E14BEB" w:rsidRDefault="00587305" w:rsidP="005E13EC">
      <w:pPr>
        <w:pStyle w:val="Datoogjnr"/>
        <w:framePr w:w="1701" w:h="1000" w:hSpace="141" w:vSpace="0" w:wrap="around" w:vAnchor="margin" w:hAnchor="text" w:x="8208" w:y="37"/>
        <w:spacing w:line="320" w:lineRule="atLeast"/>
        <w:rPr>
          <w:sz w:val="13"/>
        </w:rPr>
      </w:pPr>
    </w:p>
    <w:tbl>
      <w:tblPr>
        <w:tblW w:w="0" w:type="auto"/>
        <w:tblLook w:val="01E0" w:firstRow="1" w:lastRow="1" w:firstColumn="1" w:lastColumn="1" w:noHBand="0" w:noVBand="0"/>
      </w:tblPr>
      <w:tblGrid>
        <w:gridCol w:w="8050"/>
      </w:tblGrid>
      <w:tr w:rsidR="00C31535" w:rsidRPr="00E14BEB" w14:paraId="5E39DE4F" w14:textId="77777777" w:rsidTr="00EC7EAB">
        <w:tc>
          <w:tcPr>
            <w:tcW w:w="8050" w:type="dxa"/>
          </w:tcPr>
          <w:p w14:paraId="46CDBF8A" w14:textId="7A217987" w:rsidR="00B45A3A" w:rsidRPr="00B45A3A" w:rsidRDefault="00B45A3A" w:rsidP="005E13EC">
            <w:bookmarkStart w:id="0" w:name="Udkast"/>
            <w:bookmarkStart w:id="1" w:name="UdkastDato"/>
            <w:bookmarkEnd w:id="0"/>
            <w:bookmarkEnd w:id="1"/>
            <w:r w:rsidRPr="00F21D4E">
              <w:rPr>
                <w:i/>
                <w:iCs/>
              </w:rPr>
              <w:t>NOT FOR RELEASE, PUBLICATION OR DISTRIBUTION, DIRECTLY OR INDIRECTLY, IN OR TO ANY JURISDICTION WHERE TO DO SO WOULD CONSTITUTE A VIOLATION OF THE RELEVANT LAWS OR REGULATIONS OF SUCH JURISDICTION.</w:t>
            </w:r>
          </w:p>
        </w:tc>
      </w:tr>
      <w:tr w:rsidR="00C31535" w:rsidRPr="00E14BEB" w14:paraId="1B55DA5A" w14:textId="77777777" w:rsidTr="00EC7EAB">
        <w:trPr>
          <w:trHeight w:hRule="exact" w:val="3686"/>
        </w:trPr>
        <w:tc>
          <w:tcPr>
            <w:tcW w:w="8050" w:type="dxa"/>
          </w:tcPr>
          <w:p w14:paraId="44480E35" w14:textId="45CF1B5E" w:rsidR="00BC6869" w:rsidRPr="00E14BEB" w:rsidRDefault="00BC6869" w:rsidP="005E13EC"/>
        </w:tc>
      </w:tr>
    </w:tbl>
    <w:p w14:paraId="47A67308" w14:textId="370CA78B" w:rsidR="00587305" w:rsidRPr="00E14BEB" w:rsidRDefault="00B45A3A" w:rsidP="005E13EC">
      <w:pPr>
        <w:pStyle w:val="dokumentoverskrift"/>
        <w:spacing w:after="0"/>
      </w:pPr>
      <w:r w:rsidRPr="00B45A3A">
        <w:t xml:space="preserve">Publication of offer document for the all-cash voluntary recommended public takeover offer to the shareholders of </w:t>
      </w:r>
      <w:r>
        <w:t>Nilfisk Holding A/S</w:t>
      </w:r>
    </w:p>
    <w:p w14:paraId="35F14D50" w14:textId="77777777" w:rsidR="007C2F8C" w:rsidRDefault="007C2F8C" w:rsidP="005E13EC"/>
    <w:p w14:paraId="671326CE" w14:textId="0B735AC5" w:rsidR="00F21D4E" w:rsidRDefault="00B45A3A" w:rsidP="005E13EC">
      <w:r>
        <w:t>7 January 202</w:t>
      </w:r>
      <w:r w:rsidR="005D3F46">
        <w:t>6</w:t>
      </w:r>
    </w:p>
    <w:p w14:paraId="30F53FAC" w14:textId="77777777" w:rsidR="00B45A3A" w:rsidRDefault="00B45A3A" w:rsidP="005E13EC"/>
    <w:p w14:paraId="119564A5" w14:textId="1B49AF5B" w:rsidR="000F3FF6" w:rsidRDefault="00B45A3A" w:rsidP="000F3FF6">
      <w:r>
        <w:t>Reference is made to the announcement on 11 December 2025 regarding the entry into of an announcement agreement between Freudenberg Home and Cleaning Solutions GmbH (</w:t>
      </w:r>
      <w:r w:rsidR="001C4BA5">
        <w:t>“</w:t>
      </w:r>
      <w:r w:rsidR="001C4BA5" w:rsidRPr="005D3F46">
        <w:rPr>
          <w:b/>
          <w:bCs/>
        </w:rPr>
        <w:t>Freudenberg</w:t>
      </w:r>
      <w:r w:rsidR="001C4BA5">
        <w:t xml:space="preserve">” or the </w:t>
      </w:r>
      <w:r>
        <w:t>“</w:t>
      </w:r>
      <w:r w:rsidRPr="005D3F46">
        <w:rPr>
          <w:b/>
          <w:bCs/>
        </w:rPr>
        <w:t>Offeror</w:t>
      </w:r>
      <w:r>
        <w:t>”) and Nilfisk Holding A/S (“</w:t>
      </w:r>
      <w:r w:rsidRPr="005D3F46">
        <w:rPr>
          <w:b/>
          <w:bCs/>
        </w:rPr>
        <w:t>Nilfisk</w:t>
      </w:r>
      <w:r>
        <w:t xml:space="preserve">”), </w:t>
      </w:r>
      <w:r w:rsidR="003E2085">
        <w:t>pursuant</w:t>
      </w:r>
      <w:r w:rsidR="000F3FF6" w:rsidRPr="000F3FF6">
        <w:t xml:space="preserve"> to which Freudenberg </w:t>
      </w:r>
      <w:r w:rsidR="000F3FF6">
        <w:t>announced its decision to</w:t>
      </w:r>
      <w:r w:rsidR="000F3FF6" w:rsidRPr="000F3FF6">
        <w:t xml:space="preserve"> make a recommended all-cash voluntary takeover offer for all of the issued and outstanding shares (other than treasury shares held by Nilfisk and shares held by the Offeror (if any)) in Nilfisk at a price of DKK 140 for each share of nominally DKK 20 (the “</w:t>
      </w:r>
      <w:r w:rsidR="000F3FF6" w:rsidRPr="005D3F46">
        <w:rPr>
          <w:b/>
          <w:bCs/>
        </w:rPr>
        <w:t>Offer</w:t>
      </w:r>
      <w:r w:rsidR="000F3FF6" w:rsidRPr="000F3FF6">
        <w:t>” and “</w:t>
      </w:r>
      <w:r w:rsidR="000F3FF6" w:rsidRPr="005D3F46">
        <w:rPr>
          <w:b/>
          <w:bCs/>
        </w:rPr>
        <w:t>Offer Price</w:t>
      </w:r>
      <w:r w:rsidR="000F3FF6" w:rsidRPr="000F3FF6">
        <w:t>”, respectively), valuing the entire share capital of Nilfisk</w:t>
      </w:r>
      <w:r w:rsidR="000D79B1">
        <w:rPr>
          <w:rStyle w:val="FootnoteReference"/>
        </w:rPr>
        <w:footnoteReference w:id="1"/>
      </w:r>
      <w:r w:rsidR="000F3FF6" w:rsidRPr="000F3FF6">
        <w:t xml:space="preserve"> at approx. DKK 3.80bn / EUR</w:t>
      </w:r>
      <w:r w:rsidR="000D79B1">
        <w:rPr>
          <w:rStyle w:val="FootnoteReference"/>
        </w:rPr>
        <w:footnoteReference w:id="2"/>
      </w:r>
      <w:r w:rsidR="000F3FF6" w:rsidRPr="000F3FF6">
        <w:t xml:space="preserve"> 508m.</w:t>
      </w:r>
    </w:p>
    <w:p w14:paraId="1B0A075F" w14:textId="77777777" w:rsidR="00B45A3A" w:rsidRDefault="00B45A3A" w:rsidP="00B45A3A"/>
    <w:p w14:paraId="20B89658" w14:textId="399486C8" w:rsidR="00B45A3A" w:rsidRDefault="00B45A3A" w:rsidP="00B45A3A">
      <w:r>
        <w:t>Today, the Offeror has published an offer document approved by the Danish Financial Supervisory Authority (the “</w:t>
      </w:r>
      <w:r w:rsidRPr="005D3F46">
        <w:rPr>
          <w:b/>
          <w:bCs/>
        </w:rPr>
        <w:t>Offer Document</w:t>
      </w:r>
      <w:r>
        <w:t>”). The Offer Document is published in accordance with section 4(2) of the Danish Executive Order no. 614 of 2 June 2025 on takeover offers (the “</w:t>
      </w:r>
      <w:bookmarkStart w:id="2" w:name="_Hlk217940169"/>
      <w:r w:rsidRPr="005D3F46">
        <w:rPr>
          <w:b/>
          <w:bCs/>
        </w:rPr>
        <w:t>Danish Takeover Order</w:t>
      </w:r>
      <w:bookmarkEnd w:id="2"/>
      <w:r>
        <w:t>”).</w:t>
      </w:r>
    </w:p>
    <w:p w14:paraId="631C565D" w14:textId="77777777" w:rsidR="00B45A3A" w:rsidRDefault="00B45A3A" w:rsidP="00B45A3A"/>
    <w:p w14:paraId="029227D3" w14:textId="38D8A5EE" w:rsidR="00B45A3A" w:rsidRDefault="00B45A3A" w:rsidP="00B45A3A">
      <w:r>
        <w:t xml:space="preserve">The Offer Document contains the full terms and conditions of the Offer. </w:t>
      </w:r>
      <w:r w:rsidR="00564F9B">
        <w:t>The</w:t>
      </w:r>
      <w:r>
        <w:t xml:space="preserve"> conditions to the Offer are further described below. </w:t>
      </w:r>
    </w:p>
    <w:p w14:paraId="7CBDAE69" w14:textId="77777777" w:rsidR="00B45A3A" w:rsidRDefault="00B45A3A" w:rsidP="00B45A3A"/>
    <w:p w14:paraId="1292B049" w14:textId="2017CB82" w:rsidR="00B45A3A" w:rsidRDefault="00B45A3A" w:rsidP="00B45A3A">
      <w:r>
        <w:t xml:space="preserve">The Offer Document may be accessed and downloaded at </w:t>
      </w:r>
      <w:hyperlink r:id="rId12" w:history="1">
        <w:r w:rsidRPr="001A5C85">
          <w:rPr>
            <w:rStyle w:val="Hyperlink"/>
            <w:rFonts w:eastAsiaTheme="minorHAnsi"/>
            <w:szCs w:val="22"/>
            <w:lang w:eastAsia="en-US"/>
          </w:rPr>
          <w:t>https://www.freudenberg.com/en/documentsforoffer</w:t>
        </w:r>
      </w:hyperlink>
      <w:r>
        <w:t xml:space="preserve">, subject to certain restrictions. Shareholders are encouraged to read the Offer Document carefully. </w:t>
      </w:r>
    </w:p>
    <w:p w14:paraId="56250709" w14:textId="77777777" w:rsidR="00B45A3A" w:rsidRDefault="00B45A3A" w:rsidP="00B45A3A"/>
    <w:p w14:paraId="70441546" w14:textId="765BA16A" w:rsidR="00B45A3A" w:rsidRDefault="00B45A3A" w:rsidP="00B45A3A">
      <w:r>
        <w:t>The offer period will run from today’s date until 18 February 2025 at 23:59 (CET) unless extended by the Offeror in accordance with the terms and conditions of the Offer Document and the rules of the Danish Takeover Order (the “</w:t>
      </w:r>
      <w:r w:rsidRPr="005D3F46">
        <w:rPr>
          <w:b/>
          <w:bCs/>
        </w:rPr>
        <w:t>Offer Period</w:t>
      </w:r>
      <w:r>
        <w:t>”).</w:t>
      </w:r>
    </w:p>
    <w:p w14:paraId="3CE68B9A" w14:textId="77777777" w:rsidR="00B45A3A" w:rsidRDefault="00B45A3A" w:rsidP="005E13EC"/>
    <w:p w14:paraId="01CB2A8D" w14:textId="060BAEB4" w:rsidR="00B45A3A" w:rsidRPr="005D3F46" w:rsidRDefault="00B45A3A" w:rsidP="005E13EC">
      <w:pPr>
        <w:rPr>
          <w:b/>
          <w:bCs/>
        </w:rPr>
      </w:pPr>
      <w:r w:rsidRPr="005D3F46">
        <w:rPr>
          <w:b/>
          <w:bCs/>
        </w:rPr>
        <w:t>Key terms and conditions of the Offer</w:t>
      </w:r>
    </w:p>
    <w:p w14:paraId="02EC90EC" w14:textId="77777777" w:rsidR="00B45A3A" w:rsidRDefault="00B45A3A" w:rsidP="005E13EC"/>
    <w:p w14:paraId="6AE1A382" w14:textId="719B65D9" w:rsidR="00564F9B" w:rsidRDefault="00DB0617" w:rsidP="00DB0617">
      <w:pPr>
        <w:pStyle w:val="ListParagraph"/>
        <w:numPr>
          <w:ilvl w:val="0"/>
          <w:numId w:val="50"/>
        </w:numPr>
      </w:pPr>
      <w:r w:rsidRPr="00DB0617">
        <w:t xml:space="preserve">The </w:t>
      </w:r>
      <w:r w:rsidR="000F3FF6">
        <w:t>o</w:t>
      </w:r>
      <w:r w:rsidRPr="00DB0617">
        <w:t xml:space="preserve">ffer </w:t>
      </w:r>
      <w:r w:rsidR="000F3FF6">
        <w:t>p</w:t>
      </w:r>
      <w:r w:rsidRPr="00DB0617">
        <w:t xml:space="preserve">rice is DKK 140 in cash for each </w:t>
      </w:r>
      <w:r w:rsidR="000D79B1">
        <w:t xml:space="preserve">share </w:t>
      </w:r>
      <w:r w:rsidRPr="00DB0617">
        <w:t>of nominally DKK 20 in Nilfisk, subject to adjustment on a DKK-for-DKK basis for any dividends or other distributions paid out to shareholders prior to completion of the Offer, valuing the share capital of Nilfisk at approx. DKK 3.80bn / EUR 508m</w:t>
      </w:r>
      <w:r w:rsidR="00C730CD">
        <w:t>.</w:t>
      </w:r>
    </w:p>
    <w:p w14:paraId="23DA6870" w14:textId="77777777" w:rsidR="00564F9B" w:rsidRDefault="00564F9B" w:rsidP="005D3F46">
      <w:pPr>
        <w:pStyle w:val="ListParagraph"/>
      </w:pPr>
    </w:p>
    <w:p w14:paraId="2EA61166" w14:textId="77777777" w:rsidR="00564F9B" w:rsidRDefault="00DB0617" w:rsidP="00564F9B">
      <w:pPr>
        <w:pStyle w:val="ListParagraph"/>
        <w:numPr>
          <w:ilvl w:val="0"/>
          <w:numId w:val="50"/>
        </w:numPr>
      </w:pPr>
      <w:r w:rsidRPr="00DB0617">
        <w:t xml:space="preserve">The Offer represents: </w:t>
      </w:r>
    </w:p>
    <w:p w14:paraId="17D7A528" w14:textId="7D12A166" w:rsidR="00564F9B" w:rsidRDefault="00DB0617" w:rsidP="00564F9B">
      <w:pPr>
        <w:pStyle w:val="ListParagraph"/>
        <w:numPr>
          <w:ilvl w:val="1"/>
          <w:numId w:val="50"/>
        </w:numPr>
      </w:pPr>
      <w:r w:rsidRPr="00DB0617">
        <w:t xml:space="preserve">a premium of approx. 35.9 per cent compared to the closing share price of DKK 103 on Nasdaq Copenhagen on 10 December 2025. </w:t>
      </w:r>
    </w:p>
    <w:p w14:paraId="15A1F6E3" w14:textId="673B93C3" w:rsidR="00564F9B" w:rsidRDefault="00DB0617" w:rsidP="00564F9B">
      <w:pPr>
        <w:pStyle w:val="ListParagraph"/>
        <w:numPr>
          <w:ilvl w:val="1"/>
          <w:numId w:val="50"/>
        </w:numPr>
      </w:pPr>
      <w:r w:rsidRPr="00DB0617">
        <w:t xml:space="preserve">a premium of approx. 39.8 per cent compared to the volume weighted average share price of DKK 100.11 during the one-month period prior to </w:t>
      </w:r>
      <w:r w:rsidR="00075CC6" w:rsidRPr="00DB0617">
        <w:t>10 December 2025</w:t>
      </w:r>
      <w:r w:rsidRPr="00DB0617">
        <w:t xml:space="preserve">. </w:t>
      </w:r>
    </w:p>
    <w:p w14:paraId="3F9303B7" w14:textId="0B9DA4B6" w:rsidR="000D79B1" w:rsidRDefault="00DB0617" w:rsidP="000F3FF6">
      <w:pPr>
        <w:pStyle w:val="ListParagraph"/>
        <w:numPr>
          <w:ilvl w:val="1"/>
          <w:numId w:val="50"/>
        </w:numPr>
      </w:pPr>
      <w:r w:rsidRPr="00DB0617">
        <w:t xml:space="preserve">a premium of approx. 42.3 per cent compared to the volume weighted average share price of DKK 98.38 during the 12-month period prior to </w:t>
      </w:r>
      <w:r w:rsidR="00075CC6" w:rsidRPr="00DB0617">
        <w:t>10 December 2025</w:t>
      </w:r>
      <w:r w:rsidRPr="00DB0617">
        <w:t xml:space="preserve">. </w:t>
      </w:r>
    </w:p>
    <w:p w14:paraId="509EA11D" w14:textId="456B4716" w:rsidR="000F3FF6" w:rsidRDefault="00DB0617" w:rsidP="005D3F46">
      <w:pPr>
        <w:pStyle w:val="ListParagraph"/>
        <w:ind w:left="1440"/>
      </w:pPr>
      <w:r w:rsidRPr="00DB0617">
        <w:t xml:space="preserve">(Source: </w:t>
      </w:r>
      <w:proofErr w:type="spellStart"/>
      <w:r w:rsidRPr="00DB0617">
        <w:t>Factset</w:t>
      </w:r>
      <w:proofErr w:type="spellEnd"/>
      <w:r w:rsidRPr="00DB0617">
        <w:t>)</w:t>
      </w:r>
    </w:p>
    <w:p w14:paraId="287E9FB6" w14:textId="77777777" w:rsidR="000F3FF6" w:rsidRDefault="000F3FF6" w:rsidP="005D3F46">
      <w:pPr>
        <w:pStyle w:val="ListParagraph"/>
      </w:pPr>
    </w:p>
    <w:p w14:paraId="3823FFEA" w14:textId="0BE12E43" w:rsidR="00564F9B" w:rsidRDefault="000F3FF6" w:rsidP="005D3F46">
      <w:pPr>
        <w:pStyle w:val="ListParagraph"/>
        <w:numPr>
          <w:ilvl w:val="0"/>
          <w:numId w:val="50"/>
        </w:numPr>
      </w:pPr>
      <w:r>
        <w:t>T</w:t>
      </w:r>
      <w:r w:rsidRPr="000F3FF6">
        <w:t xml:space="preserve">he board of directors of </w:t>
      </w:r>
      <w:r>
        <w:t xml:space="preserve">Nilfisk </w:t>
      </w:r>
      <w:r w:rsidRPr="000F3FF6">
        <w:t xml:space="preserve">will, in accordance with section 23 of the Danish Takeover Order, prepare a statement in respect of the Offer. The board of directors has unanimously resolved that it will recommend that </w:t>
      </w:r>
      <w:r>
        <w:t>Nilfisk</w:t>
      </w:r>
      <w:r w:rsidRPr="000F3FF6">
        <w:t xml:space="preserve"> shareholders accept the Offer</w:t>
      </w:r>
      <w:r>
        <w:t>.</w:t>
      </w:r>
    </w:p>
    <w:p w14:paraId="3E285C46" w14:textId="77777777" w:rsidR="000F3FF6" w:rsidRDefault="000F3FF6" w:rsidP="005D3F46">
      <w:pPr>
        <w:pStyle w:val="ListParagraph"/>
      </w:pPr>
    </w:p>
    <w:p w14:paraId="595D7919" w14:textId="77777777" w:rsidR="000F3FF6" w:rsidRDefault="00564F9B" w:rsidP="000F3FF6">
      <w:pPr>
        <w:pStyle w:val="ListParagraph"/>
        <w:numPr>
          <w:ilvl w:val="0"/>
          <w:numId w:val="50"/>
        </w:numPr>
      </w:pPr>
      <w:r w:rsidRPr="00564F9B">
        <w:t xml:space="preserve">Ferd AS, KIRKBI Invest A/S and </w:t>
      </w:r>
      <w:proofErr w:type="spellStart"/>
      <w:r w:rsidRPr="00564F9B">
        <w:t>Primestone</w:t>
      </w:r>
      <w:proofErr w:type="spellEnd"/>
      <w:r w:rsidRPr="00564F9B">
        <w:t xml:space="preserve"> Capital Irish Holdco Designated Activity Company together with those members of Nilfisk’s board of directors and executive management who hold shares have irrevocably undertaken to accept the Offer in respect of their entire shareholding in Nilfisk representing a total of approx. 50.87 per cent of Nilfisk’s share capital, subject to certain customary conditions, including that the irrevocable undertakings shall lapse if, among others, a third party announces an alternative transaction in which the total consideration offered to </w:t>
      </w:r>
      <w:r w:rsidRPr="00564F9B">
        <w:lastRenderedPageBreak/>
        <w:t xml:space="preserve">shareholders exceeds the Offer Price by at least ten (10) per cent, provided that the Offeror does not match or exceed such superior alternative transaction within ten (10) business days of the announcement thereof. </w:t>
      </w:r>
    </w:p>
    <w:p w14:paraId="71FBA598" w14:textId="77777777" w:rsidR="000F3FF6" w:rsidRDefault="000F3FF6" w:rsidP="005D3F46">
      <w:pPr>
        <w:pStyle w:val="ListParagraph"/>
      </w:pPr>
    </w:p>
    <w:p w14:paraId="60C16E49" w14:textId="77777777" w:rsidR="000F3FF6" w:rsidRDefault="000F3FF6" w:rsidP="000F3FF6">
      <w:pPr>
        <w:pStyle w:val="ListParagraph"/>
        <w:numPr>
          <w:ilvl w:val="0"/>
          <w:numId w:val="50"/>
        </w:numPr>
      </w:pPr>
      <w:r w:rsidRPr="000F3FF6">
        <w:t xml:space="preserve">The Offer includes a minimum acceptance condition pursuant to which the Offer is conditional upon the Offeror, at the expiry of the Offer Period, owning or having received valid acceptances in respect of shares representing at least </w:t>
      </w:r>
      <w:r>
        <w:t>ninety (90) per cent</w:t>
      </w:r>
      <w:r w:rsidRPr="000F3FF6">
        <w:t xml:space="preserve"> of the share capital and voting rights in </w:t>
      </w:r>
      <w:r>
        <w:t>Nilfisk</w:t>
      </w:r>
      <w:r w:rsidRPr="000F3FF6">
        <w:t xml:space="preserve"> (</w:t>
      </w:r>
      <w:r w:rsidRPr="00564F9B">
        <w:t>excluding treasury shares held by Nilfisk and shares held by the Offeror (if any), plus one (1) share at completion of the Offer.</w:t>
      </w:r>
    </w:p>
    <w:p w14:paraId="77B0CDC5" w14:textId="77777777" w:rsidR="000F3FF6" w:rsidRDefault="000F3FF6" w:rsidP="005D3F46">
      <w:pPr>
        <w:pStyle w:val="ListParagraph"/>
      </w:pPr>
    </w:p>
    <w:p w14:paraId="2F1006EC" w14:textId="0CC9935F" w:rsidR="00564F9B" w:rsidRDefault="000F3FF6" w:rsidP="005D3F46">
      <w:pPr>
        <w:pStyle w:val="ListParagraph"/>
        <w:numPr>
          <w:ilvl w:val="0"/>
          <w:numId w:val="50"/>
        </w:numPr>
      </w:pPr>
      <w:r w:rsidRPr="000F3FF6">
        <w:t xml:space="preserve">The Offer is further subject to </w:t>
      </w:r>
      <w:proofErr w:type="gramStart"/>
      <w:r w:rsidRPr="000F3FF6">
        <w:t>a number of</w:t>
      </w:r>
      <w:proofErr w:type="gramEnd"/>
      <w:r w:rsidRPr="000F3FF6">
        <w:t xml:space="preserve"> customary conditions, including the absence</w:t>
      </w:r>
      <w:r>
        <w:t xml:space="preserve"> </w:t>
      </w:r>
      <w:r w:rsidRPr="000F3FF6">
        <w:t xml:space="preserve">of any material adverse change, the obtaining of necessary regulatory approvals and that the board of directors of </w:t>
      </w:r>
      <w:r>
        <w:t>Nilfisk</w:t>
      </w:r>
      <w:r w:rsidRPr="000F3FF6">
        <w:t xml:space="preserve"> has not withdrawn, conditioned or otherwise modified its recommendation to the shareholders to accept the Offer.</w:t>
      </w:r>
    </w:p>
    <w:p w14:paraId="21B4E62D" w14:textId="77777777" w:rsidR="00564F9B" w:rsidRDefault="00564F9B" w:rsidP="005D3F46"/>
    <w:p w14:paraId="663CA8DD" w14:textId="1C4528A5" w:rsidR="00564F9B" w:rsidRDefault="00564F9B" w:rsidP="00564F9B">
      <w:pPr>
        <w:pStyle w:val="ListParagraph"/>
        <w:numPr>
          <w:ilvl w:val="0"/>
          <w:numId w:val="50"/>
        </w:numPr>
      </w:pPr>
      <w:r w:rsidRPr="00564F9B">
        <w:t xml:space="preserve">If, on completion of the Offer or </w:t>
      </w:r>
      <w:proofErr w:type="gramStart"/>
      <w:r w:rsidRPr="00564F9B">
        <w:t>at a later time</w:t>
      </w:r>
      <w:proofErr w:type="gramEnd"/>
      <w:r w:rsidRPr="00564F9B">
        <w:t xml:space="preserve">, Freudenberg obtains the number of shares necessary to initiate a delisting of Nilfisk, Freudenberg intends to request that the Nilfisk shares be removed from trading and listing on Nasdaq Copenhagen. If, on completion of the Offer or </w:t>
      </w:r>
      <w:proofErr w:type="gramStart"/>
      <w:r w:rsidRPr="00564F9B">
        <w:t>at a later time</w:t>
      </w:r>
      <w:proofErr w:type="gramEnd"/>
      <w:r w:rsidRPr="00564F9B">
        <w:t xml:space="preserve">, Freudenberg obtains an ownership interest of more than ninety (90) per cent, Freudenberg expects to complete a compulsory acquisition of the shares of the remaining shareholders. </w:t>
      </w:r>
    </w:p>
    <w:p w14:paraId="4027188D" w14:textId="77777777" w:rsidR="00564F9B" w:rsidRDefault="00564F9B" w:rsidP="005D3F46">
      <w:pPr>
        <w:pStyle w:val="ListParagraph"/>
      </w:pPr>
    </w:p>
    <w:p w14:paraId="3F8942F1" w14:textId="77777777" w:rsidR="00564F9B" w:rsidRDefault="00564F9B" w:rsidP="00564F9B">
      <w:pPr>
        <w:pStyle w:val="ListParagraph"/>
        <w:numPr>
          <w:ilvl w:val="0"/>
          <w:numId w:val="50"/>
        </w:numPr>
      </w:pPr>
      <w:r w:rsidRPr="00564F9B">
        <w:t xml:space="preserve">The consideration in the Offer will be paid in cash at completion. </w:t>
      </w:r>
    </w:p>
    <w:p w14:paraId="0FD9FBE2" w14:textId="77777777" w:rsidR="00564F9B" w:rsidRDefault="00564F9B" w:rsidP="005D3F46">
      <w:pPr>
        <w:pStyle w:val="ListParagraph"/>
      </w:pPr>
    </w:p>
    <w:p w14:paraId="586C4151" w14:textId="53716053" w:rsidR="00564F9B" w:rsidRDefault="00564F9B" w:rsidP="005D3F46">
      <w:pPr>
        <w:pStyle w:val="ListParagraph"/>
        <w:numPr>
          <w:ilvl w:val="0"/>
          <w:numId w:val="50"/>
        </w:numPr>
      </w:pPr>
      <w:r w:rsidRPr="00564F9B">
        <w:t>The Offeror expects completion of the Offer in the first half of 2026.</w:t>
      </w:r>
    </w:p>
    <w:p w14:paraId="0667254C" w14:textId="77777777" w:rsidR="00B45A3A" w:rsidRDefault="00B45A3A" w:rsidP="005E13EC"/>
    <w:p w14:paraId="1418A1E7" w14:textId="423A0610" w:rsidR="00BB2FEC" w:rsidRPr="005D3F46" w:rsidRDefault="00B45A3A" w:rsidP="005E13EC">
      <w:pPr>
        <w:rPr>
          <w:b/>
          <w:bCs/>
        </w:rPr>
      </w:pPr>
      <w:r w:rsidRPr="005D3F46">
        <w:rPr>
          <w:b/>
          <w:bCs/>
        </w:rPr>
        <w:t>Timetable for the Offer</w:t>
      </w:r>
    </w:p>
    <w:p w14:paraId="00069B58" w14:textId="77777777" w:rsidR="00BB2FEC" w:rsidRDefault="00BB2FEC" w:rsidP="00BB2FEC">
      <w:r>
        <w:t xml:space="preserve">The following timetable sets forth certain key dates relating to the Offer, provided that the Offer Period has not been extended in accordance with the terms and conditions of the Offer as set forth in the Offer Document: </w:t>
      </w:r>
    </w:p>
    <w:p w14:paraId="402069AC" w14:textId="77777777" w:rsidR="00B45A3A" w:rsidRDefault="00B45A3A" w:rsidP="005E13EC"/>
    <w:tbl>
      <w:tblPr>
        <w:tblStyle w:val="TableGrid"/>
        <w:tblW w:w="822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5811"/>
      </w:tblGrid>
      <w:tr w:rsidR="00BB2FEC" w:rsidRPr="009A657F" w14:paraId="65571E37" w14:textId="77777777" w:rsidTr="005D3F46">
        <w:tc>
          <w:tcPr>
            <w:tcW w:w="2410" w:type="dxa"/>
            <w:vAlign w:val="center"/>
          </w:tcPr>
          <w:p w14:paraId="696B1693" w14:textId="77777777" w:rsidR="00BB2FEC" w:rsidRPr="009A657F" w:rsidRDefault="00BB2FEC" w:rsidP="00CE4B7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jc w:val="left"/>
              <w:rPr>
                <w:rFonts w:eastAsiaTheme="minorHAnsi"/>
                <w:b/>
                <w:bCs/>
                <w:szCs w:val="22"/>
                <w:lang w:eastAsia="en-US"/>
              </w:rPr>
            </w:pPr>
            <w:r>
              <w:rPr>
                <w:rFonts w:eastAsiaTheme="minorHAnsi"/>
                <w:szCs w:val="22"/>
                <w:lang w:eastAsia="en-US"/>
              </w:rPr>
              <w:t>11 December 2025</w:t>
            </w:r>
          </w:p>
        </w:tc>
        <w:tc>
          <w:tcPr>
            <w:tcW w:w="5811" w:type="dxa"/>
            <w:vAlign w:val="center"/>
          </w:tcPr>
          <w:p w14:paraId="4C4DF259" w14:textId="77777777" w:rsidR="00BB2FEC" w:rsidRPr="009A657F" w:rsidRDefault="00BB2FEC" w:rsidP="00CE4B7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jc w:val="left"/>
              <w:rPr>
                <w:rFonts w:eastAsiaTheme="minorHAnsi"/>
                <w:b/>
                <w:bCs/>
                <w:szCs w:val="22"/>
                <w:lang w:eastAsia="en-US"/>
              </w:rPr>
            </w:pPr>
            <w:r w:rsidRPr="009A657F">
              <w:rPr>
                <w:rFonts w:eastAsiaTheme="minorHAnsi"/>
                <w:szCs w:val="22"/>
                <w:lang w:eastAsia="en-US"/>
              </w:rPr>
              <w:t xml:space="preserve">Announcement by the Offeror concerning its decision to make the Offer to the Shareholders. </w:t>
            </w:r>
          </w:p>
        </w:tc>
      </w:tr>
      <w:tr w:rsidR="00BB2FEC" w:rsidRPr="009A657F" w14:paraId="31B00969" w14:textId="77777777" w:rsidTr="005D3F46">
        <w:tc>
          <w:tcPr>
            <w:tcW w:w="2410" w:type="dxa"/>
            <w:vAlign w:val="center"/>
          </w:tcPr>
          <w:p w14:paraId="5A2F14AC" w14:textId="77777777" w:rsidR="00BB2FEC" w:rsidRPr="009A657F" w:rsidRDefault="00BB2FEC" w:rsidP="00CE4B7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jc w:val="left"/>
              <w:rPr>
                <w:rFonts w:eastAsiaTheme="minorHAnsi"/>
                <w:b/>
                <w:bCs/>
                <w:szCs w:val="22"/>
                <w:lang w:eastAsia="en-US"/>
              </w:rPr>
            </w:pPr>
            <w:r>
              <w:rPr>
                <w:rFonts w:eastAsiaTheme="minorHAnsi"/>
                <w:szCs w:val="22"/>
                <w:lang w:eastAsia="en-US"/>
              </w:rPr>
              <w:t>7 January 2026</w:t>
            </w:r>
          </w:p>
        </w:tc>
        <w:tc>
          <w:tcPr>
            <w:tcW w:w="5811" w:type="dxa"/>
            <w:vAlign w:val="center"/>
          </w:tcPr>
          <w:p w14:paraId="5B38EB84" w14:textId="77777777" w:rsidR="00BB2FEC" w:rsidRPr="009A657F" w:rsidRDefault="00BB2FEC" w:rsidP="00CE4B7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jc w:val="left"/>
              <w:rPr>
                <w:rFonts w:eastAsiaTheme="minorHAnsi"/>
                <w:b/>
                <w:bCs/>
                <w:szCs w:val="22"/>
                <w:lang w:eastAsia="en-US"/>
              </w:rPr>
            </w:pPr>
            <w:r w:rsidRPr="009A657F">
              <w:rPr>
                <w:rFonts w:eastAsiaTheme="minorHAnsi"/>
                <w:szCs w:val="22"/>
                <w:lang w:eastAsia="en-US"/>
              </w:rPr>
              <w:t xml:space="preserve">Publication of this Offer Document and commencement of the Offer Period. </w:t>
            </w:r>
          </w:p>
        </w:tc>
      </w:tr>
      <w:tr w:rsidR="00BB2FEC" w:rsidRPr="009A657F" w14:paraId="75D4DEE1" w14:textId="77777777" w:rsidTr="005D3F46">
        <w:tc>
          <w:tcPr>
            <w:tcW w:w="2410" w:type="dxa"/>
            <w:vAlign w:val="center"/>
          </w:tcPr>
          <w:p w14:paraId="4965CE8C" w14:textId="77777777" w:rsidR="00BB2FEC" w:rsidRPr="009A657F" w:rsidRDefault="00BB2FEC" w:rsidP="00CE4B7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jc w:val="left"/>
              <w:rPr>
                <w:rFonts w:eastAsiaTheme="minorHAnsi"/>
                <w:b/>
                <w:bCs/>
                <w:szCs w:val="22"/>
                <w:highlight w:val="darkGray"/>
                <w:lang w:eastAsia="en-US"/>
              </w:rPr>
            </w:pPr>
            <w:r>
              <w:rPr>
                <w:rFonts w:eastAsiaTheme="minorHAnsi"/>
                <w:szCs w:val="22"/>
                <w:lang w:eastAsia="en-US"/>
              </w:rPr>
              <w:t>28 January 2026</w:t>
            </w:r>
          </w:p>
        </w:tc>
        <w:tc>
          <w:tcPr>
            <w:tcW w:w="5811" w:type="dxa"/>
            <w:vAlign w:val="center"/>
          </w:tcPr>
          <w:p w14:paraId="61B19CAF" w14:textId="4CC2ACC8" w:rsidR="00BB2FEC" w:rsidRPr="009A657F" w:rsidRDefault="00BB2FEC" w:rsidP="00CE4B7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jc w:val="left"/>
              <w:rPr>
                <w:rFonts w:eastAsiaTheme="minorHAnsi"/>
                <w:b/>
                <w:bCs/>
                <w:szCs w:val="22"/>
                <w:lang w:eastAsia="en-US"/>
              </w:rPr>
            </w:pPr>
            <w:r w:rsidRPr="009A657F">
              <w:rPr>
                <w:rFonts w:eastAsiaTheme="minorHAnsi"/>
                <w:szCs w:val="22"/>
                <w:lang w:eastAsia="en-US"/>
              </w:rPr>
              <w:t xml:space="preserve">Last day for </w:t>
            </w:r>
            <w:r w:rsidR="00075CC6">
              <w:rPr>
                <w:rFonts w:eastAsiaTheme="minorHAnsi"/>
                <w:szCs w:val="22"/>
                <w:lang w:eastAsia="en-US"/>
              </w:rPr>
              <w:t>p</w:t>
            </w:r>
            <w:r w:rsidRPr="009A657F">
              <w:rPr>
                <w:rFonts w:eastAsiaTheme="minorHAnsi"/>
                <w:szCs w:val="22"/>
                <w:lang w:eastAsia="en-US"/>
              </w:rPr>
              <w:t xml:space="preserve">ublication of the Board Statement. </w:t>
            </w:r>
          </w:p>
        </w:tc>
      </w:tr>
      <w:tr w:rsidR="00BB2FEC" w:rsidRPr="009A657F" w14:paraId="7E771D93" w14:textId="77777777" w:rsidTr="005D3F46">
        <w:tc>
          <w:tcPr>
            <w:tcW w:w="2410" w:type="dxa"/>
            <w:vAlign w:val="center"/>
          </w:tcPr>
          <w:p w14:paraId="027760DE" w14:textId="77777777" w:rsidR="00BB2FEC" w:rsidRPr="009A657F" w:rsidRDefault="00BB2FEC" w:rsidP="00CE4B7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jc w:val="left"/>
              <w:rPr>
                <w:rFonts w:eastAsiaTheme="minorHAnsi"/>
                <w:b/>
                <w:bCs/>
                <w:szCs w:val="22"/>
                <w:highlight w:val="darkGray"/>
                <w:lang w:eastAsia="en-US"/>
              </w:rPr>
            </w:pPr>
            <w:r>
              <w:rPr>
                <w:rFonts w:eastAsiaTheme="minorHAnsi"/>
                <w:szCs w:val="22"/>
                <w:lang w:eastAsia="en-US"/>
              </w:rPr>
              <w:lastRenderedPageBreak/>
              <w:t>18 February 2026</w:t>
            </w:r>
            <w:r w:rsidDel="00C40C9B">
              <w:rPr>
                <w:rFonts w:eastAsiaTheme="minorHAnsi"/>
                <w:szCs w:val="22"/>
                <w:lang w:eastAsia="en-US"/>
              </w:rPr>
              <w:t>, 23:59 (CET)</w:t>
            </w:r>
          </w:p>
        </w:tc>
        <w:tc>
          <w:tcPr>
            <w:tcW w:w="5811" w:type="dxa"/>
            <w:vAlign w:val="center"/>
          </w:tcPr>
          <w:p w14:paraId="38CBD354" w14:textId="77777777" w:rsidR="00BB2FEC" w:rsidRPr="009A657F" w:rsidRDefault="00BB2FEC" w:rsidP="00CE4B7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jc w:val="left"/>
              <w:rPr>
                <w:rFonts w:eastAsiaTheme="minorHAnsi"/>
                <w:b/>
                <w:bCs/>
                <w:szCs w:val="22"/>
                <w:lang w:eastAsia="en-US"/>
              </w:rPr>
            </w:pPr>
            <w:r w:rsidRPr="009A657F">
              <w:rPr>
                <w:rFonts w:eastAsiaTheme="minorHAnsi"/>
                <w:szCs w:val="22"/>
                <w:lang w:eastAsia="en-US"/>
              </w:rPr>
              <w:t xml:space="preserve">Expected expiration of the Offer Period (subject to extension of the Offer Period and assuming no withdrawal by the Offeror in accordance with the terms of the Offer). </w:t>
            </w:r>
          </w:p>
        </w:tc>
      </w:tr>
      <w:tr w:rsidR="00BB2FEC" w:rsidRPr="009A657F" w14:paraId="2CEFC5A4" w14:textId="77777777" w:rsidTr="005D3F46">
        <w:tc>
          <w:tcPr>
            <w:tcW w:w="2410" w:type="dxa"/>
            <w:vAlign w:val="center"/>
          </w:tcPr>
          <w:p w14:paraId="3AB67C00" w14:textId="77777777" w:rsidR="00BB2FEC" w:rsidRPr="009A657F" w:rsidRDefault="00BB2FEC" w:rsidP="00CE4B7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jc w:val="left"/>
              <w:rPr>
                <w:rFonts w:eastAsiaTheme="minorHAnsi"/>
                <w:b/>
                <w:bCs/>
                <w:szCs w:val="22"/>
                <w:highlight w:val="darkGray"/>
                <w:lang w:eastAsia="en-US"/>
              </w:rPr>
            </w:pPr>
            <w:r>
              <w:rPr>
                <w:rFonts w:eastAsiaTheme="minorHAnsi"/>
                <w:szCs w:val="22"/>
                <w:lang w:eastAsia="en-US"/>
              </w:rPr>
              <w:t>19 February 2026, 17:59 (CET)</w:t>
            </w:r>
          </w:p>
        </w:tc>
        <w:tc>
          <w:tcPr>
            <w:tcW w:w="5811" w:type="dxa"/>
            <w:vAlign w:val="center"/>
          </w:tcPr>
          <w:p w14:paraId="05BFDF8D" w14:textId="77777777" w:rsidR="00BB2FEC" w:rsidRPr="009A657F" w:rsidRDefault="00BB2FEC" w:rsidP="00CE4B7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jc w:val="left"/>
              <w:rPr>
                <w:rFonts w:eastAsiaTheme="minorHAnsi"/>
                <w:b/>
                <w:bCs/>
                <w:szCs w:val="22"/>
                <w:lang w:eastAsia="en-US"/>
              </w:rPr>
            </w:pPr>
            <w:r w:rsidRPr="009A657F">
              <w:rPr>
                <w:rFonts w:eastAsiaTheme="minorHAnsi"/>
                <w:szCs w:val="22"/>
                <w:lang w:eastAsia="en-US"/>
              </w:rPr>
              <w:t xml:space="preserve">Publication of preliminary results of the Offer (or, alternatively, the latest announcement of an extension of the Offer Period or withdrawal of the Offer). </w:t>
            </w:r>
          </w:p>
        </w:tc>
      </w:tr>
      <w:tr w:rsidR="00BB2FEC" w:rsidRPr="009A657F" w14:paraId="2911C93B" w14:textId="77777777" w:rsidTr="005D3F46">
        <w:tc>
          <w:tcPr>
            <w:tcW w:w="2410" w:type="dxa"/>
            <w:vAlign w:val="center"/>
          </w:tcPr>
          <w:p w14:paraId="057DFEDF" w14:textId="77777777" w:rsidR="00BB2FEC" w:rsidRPr="009A657F" w:rsidRDefault="00BB2FEC" w:rsidP="00CE4B7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jc w:val="left"/>
              <w:rPr>
                <w:rFonts w:eastAsiaTheme="minorHAnsi"/>
                <w:b/>
                <w:bCs/>
                <w:szCs w:val="22"/>
                <w:highlight w:val="darkGray"/>
                <w:lang w:eastAsia="en-US"/>
              </w:rPr>
            </w:pPr>
            <w:r>
              <w:rPr>
                <w:rFonts w:eastAsiaTheme="minorHAnsi"/>
                <w:szCs w:val="22"/>
                <w:lang w:eastAsia="en-US"/>
              </w:rPr>
              <w:t>23 February 2026</w:t>
            </w:r>
          </w:p>
        </w:tc>
        <w:tc>
          <w:tcPr>
            <w:tcW w:w="5811" w:type="dxa"/>
            <w:vAlign w:val="center"/>
          </w:tcPr>
          <w:p w14:paraId="4DA75FC4" w14:textId="1BEFB834" w:rsidR="00BB2FEC" w:rsidRPr="009A657F" w:rsidRDefault="00BB2FEC" w:rsidP="00CE4B7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jc w:val="left"/>
              <w:rPr>
                <w:rFonts w:eastAsiaTheme="minorHAnsi"/>
                <w:b/>
                <w:bCs/>
                <w:szCs w:val="22"/>
                <w:lang w:eastAsia="en-US"/>
              </w:rPr>
            </w:pPr>
            <w:r w:rsidRPr="009A657F">
              <w:rPr>
                <w:rFonts w:eastAsiaTheme="minorHAnsi"/>
                <w:szCs w:val="22"/>
                <w:lang w:eastAsia="en-US"/>
              </w:rPr>
              <w:t xml:space="preserve">Latest expected announcement of </w:t>
            </w:r>
            <w:proofErr w:type="gramStart"/>
            <w:r w:rsidRPr="009A657F">
              <w:rPr>
                <w:rFonts w:eastAsiaTheme="minorHAnsi"/>
                <w:szCs w:val="22"/>
                <w:lang w:eastAsia="en-US"/>
              </w:rPr>
              <w:t>the final result</w:t>
            </w:r>
            <w:proofErr w:type="gramEnd"/>
            <w:r w:rsidRPr="009A657F">
              <w:rPr>
                <w:rFonts w:eastAsiaTheme="minorHAnsi"/>
                <w:szCs w:val="22"/>
                <w:lang w:eastAsia="en-US"/>
              </w:rPr>
              <w:t xml:space="preserve"> of the Offer</w:t>
            </w:r>
            <w:r w:rsidR="000D79B1">
              <w:rPr>
                <w:rFonts w:eastAsiaTheme="minorHAnsi"/>
                <w:szCs w:val="22"/>
                <w:lang w:eastAsia="en-US"/>
              </w:rPr>
              <w:t xml:space="preserve"> </w:t>
            </w:r>
            <w:r w:rsidR="000D79B1" w:rsidRPr="000D79B1">
              <w:rPr>
                <w:rFonts w:eastAsiaTheme="minorHAnsi"/>
                <w:szCs w:val="22"/>
                <w:lang w:eastAsia="en-US"/>
              </w:rPr>
              <w:t>(assuming no extension of the Offer Period)</w:t>
            </w:r>
            <w:r w:rsidR="000D79B1">
              <w:rPr>
                <w:rFonts w:eastAsiaTheme="minorHAnsi"/>
                <w:szCs w:val="22"/>
                <w:lang w:eastAsia="en-US"/>
              </w:rPr>
              <w:t>.</w:t>
            </w:r>
          </w:p>
        </w:tc>
      </w:tr>
      <w:tr w:rsidR="00BB2FEC" w:rsidRPr="009A657F" w14:paraId="43F6A381" w14:textId="77777777" w:rsidTr="005D3F46">
        <w:tc>
          <w:tcPr>
            <w:tcW w:w="2410" w:type="dxa"/>
            <w:vAlign w:val="center"/>
          </w:tcPr>
          <w:p w14:paraId="2A61ACE9" w14:textId="77777777" w:rsidR="00BB2FEC" w:rsidRPr="009A657F" w:rsidRDefault="00BB2FEC" w:rsidP="00CE4B7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jc w:val="left"/>
              <w:rPr>
                <w:rFonts w:eastAsiaTheme="minorHAnsi"/>
                <w:b/>
                <w:bCs/>
                <w:szCs w:val="22"/>
                <w:highlight w:val="darkGray"/>
                <w:lang w:eastAsia="en-US"/>
              </w:rPr>
            </w:pPr>
            <w:r>
              <w:rPr>
                <w:rFonts w:eastAsiaTheme="minorHAnsi"/>
                <w:szCs w:val="22"/>
                <w:lang w:eastAsia="en-US"/>
              </w:rPr>
              <w:t>25 February 2026</w:t>
            </w:r>
          </w:p>
        </w:tc>
        <w:tc>
          <w:tcPr>
            <w:tcW w:w="5811" w:type="dxa"/>
            <w:vAlign w:val="center"/>
          </w:tcPr>
          <w:p w14:paraId="00331D45" w14:textId="2AF8C42B" w:rsidR="00BB2FEC" w:rsidRPr="009A657F" w:rsidRDefault="00BB2FEC" w:rsidP="00CE4B7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jc w:val="left"/>
              <w:rPr>
                <w:rFonts w:eastAsiaTheme="minorHAnsi"/>
                <w:b/>
                <w:bCs/>
                <w:szCs w:val="22"/>
                <w:lang w:eastAsia="en-US"/>
              </w:rPr>
            </w:pPr>
            <w:r w:rsidRPr="009A657F">
              <w:rPr>
                <w:rFonts w:eastAsiaTheme="minorHAnsi"/>
                <w:szCs w:val="22"/>
                <w:lang w:eastAsia="en-US"/>
              </w:rPr>
              <w:t xml:space="preserve">Latest expected day for settlement of the Offer Price per </w:t>
            </w:r>
            <w:r w:rsidR="00075CC6">
              <w:rPr>
                <w:rFonts w:eastAsiaTheme="minorHAnsi"/>
                <w:szCs w:val="22"/>
                <w:lang w:eastAsia="en-US"/>
              </w:rPr>
              <w:t>s</w:t>
            </w:r>
            <w:r w:rsidRPr="009A657F">
              <w:rPr>
                <w:rFonts w:eastAsiaTheme="minorHAnsi"/>
                <w:szCs w:val="22"/>
                <w:lang w:eastAsia="en-US"/>
              </w:rPr>
              <w:t xml:space="preserve">hare due to accepting </w:t>
            </w:r>
            <w:r w:rsidR="00075CC6">
              <w:rPr>
                <w:rFonts w:eastAsiaTheme="minorHAnsi"/>
                <w:szCs w:val="22"/>
                <w:lang w:eastAsia="en-US"/>
              </w:rPr>
              <w:t>s</w:t>
            </w:r>
            <w:r w:rsidRPr="009A657F">
              <w:rPr>
                <w:rFonts w:eastAsiaTheme="minorHAnsi"/>
                <w:szCs w:val="22"/>
                <w:lang w:eastAsia="en-US"/>
              </w:rPr>
              <w:t>hareholders pursuant to the Offer</w:t>
            </w:r>
            <w:r w:rsidR="000D79B1">
              <w:rPr>
                <w:rFonts w:eastAsiaTheme="minorHAnsi"/>
                <w:szCs w:val="22"/>
                <w:lang w:eastAsia="en-US"/>
              </w:rPr>
              <w:t xml:space="preserve"> </w:t>
            </w:r>
            <w:r w:rsidR="000D79B1" w:rsidRPr="000D79B1">
              <w:rPr>
                <w:rFonts w:eastAsiaTheme="minorHAnsi"/>
                <w:szCs w:val="22"/>
                <w:lang w:eastAsia="en-US"/>
              </w:rPr>
              <w:t>(assuming no extension of the Offer Period)</w:t>
            </w:r>
            <w:r w:rsidR="000D79B1">
              <w:rPr>
                <w:rFonts w:eastAsiaTheme="minorHAnsi"/>
                <w:szCs w:val="22"/>
                <w:lang w:eastAsia="en-US"/>
              </w:rPr>
              <w:t>.</w:t>
            </w:r>
          </w:p>
        </w:tc>
      </w:tr>
      <w:tr w:rsidR="00BB2FEC" w:rsidRPr="009A657F" w14:paraId="2D7A57AD" w14:textId="77777777" w:rsidTr="005D3F46">
        <w:tc>
          <w:tcPr>
            <w:tcW w:w="2410" w:type="dxa"/>
            <w:vAlign w:val="center"/>
          </w:tcPr>
          <w:p w14:paraId="67EB519F" w14:textId="77777777" w:rsidR="00BB2FEC" w:rsidRPr="009A657F" w:rsidRDefault="00BB2FEC" w:rsidP="00CE4B7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jc w:val="left"/>
              <w:rPr>
                <w:rFonts w:eastAsiaTheme="minorHAnsi"/>
                <w:b/>
                <w:bCs/>
                <w:szCs w:val="22"/>
                <w:highlight w:val="darkGray"/>
                <w:lang w:eastAsia="en-US"/>
              </w:rPr>
            </w:pPr>
            <w:r>
              <w:rPr>
                <w:rFonts w:eastAsiaTheme="minorHAnsi"/>
                <w:szCs w:val="22"/>
                <w:lang w:eastAsia="en-US"/>
              </w:rPr>
              <w:t>25 February 2026</w:t>
            </w:r>
          </w:p>
        </w:tc>
        <w:tc>
          <w:tcPr>
            <w:tcW w:w="5811" w:type="dxa"/>
            <w:vAlign w:val="center"/>
          </w:tcPr>
          <w:p w14:paraId="49A72D1C" w14:textId="2DDFD79D" w:rsidR="00BB2FEC" w:rsidRPr="009A657F" w:rsidRDefault="00BB2FEC" w:rsidP="00CE4B7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jc w:val="left"/>
              <w:rPr>
                <w:rFonts w:eastAsiaTheme="minorHAnsi"/>
                <w:b/>
                <w:bCs/>
                <w:szCs w:val="22"/>
                <w:lang w:eastAsia="en-US"/>
              </w:rPr>
            </w:pPr>
            <w:r w:rsidRPr="009A657F">
              <w:rPr>
                <w:rFonts w:eastAsiaTheme="minorHAnsi"/>
                <w:szCs w:val="22"/>
                <w:lang w:eastAsia="en-US"/>
              </w:rPr>
              <w:t xml:space="preserve">Latest date that the Offer Price per </w:t>
            </w:r>
            <w:r w:rsidR="00075CC6">
              <w:rPr>
                <w:rFonts w:eastAsiaTheme="minorHAnsi"/>
                <w:szCs w:val="22"/>
                <w:lang w:eastAsia="en-US"/>
              </w:rPr>
              <w:t>s</w:t>
            </w:r>
            <w:r w:rsidRPr="009A657F">
              <w:rPr>
                <w:rFonts w:eastAsiaTheme="minorHAnsi"/>
                <w:szCs w:val="22"/>
                <w:lang w:eastAsia="en-US"/>
              </w:rPr>
              <w:t xml:space="preserve">hare due to accepting </w:t>
            </w:r>
            <w:r w:rsidR="00075CC6">
              <w:rPr>
                <w:rFonts w:eastAsiaTheme="minorHAnsi"/>
                <w:szCs w:val="22"/>
                <w:lang w:eastAsia="en-US"/>
              </w:rPr>
              <w:t>s</w:t>
            </w:r>
            <w:r w:rsidRPr="009A657F">
              <w:rPr>
                <w:rFonts w:eastAsiaTheme="minorHAnsi"/>
                <w:szCs w:val="22"/>
                <w:lang w:eastAsia="en-US"/>
              </w:rPr>
              <w:t xml:space="preserve">hareholders under the Offer is expected to be available on the accepting </w:t>
            </w:r>
            <w:r w:rsidR="00075CC6">
              <w:rPr>
                <w:rFonts w:eastAsiaTheme="minorHAnsi"/>
                <w:szCs w:val="22"/>
                <w:lang w:eastAsia="en-US"/>
              </w:rPr>
              <w:t>s</w:t>
            </w:r>
            <w:r w:rsidRPr="009A657F">
              <w:rPr>
                <w:rFonts w:eastAsiaTheme="minorHAnsi"/>
                <w:szCs w:val="22"/>
                <w:lang w:eastAsia="en-US"/>
              </w:rPr>
              <w:t>hareholders’ bank account</w:t>
            </w:r>
            <w:r>
              <w:rPr>
                <w:rStyle w:val="FootnoteReference"/>
                <w:rFonts w:eastAsiaTheme="minorHAnsi"/>
                <w:szCs w:val="22"/>
                <w:lang w:eastAsia="en-US"/>
              </w:rPr>
              <w:footnoteReference w:id="3"/>
            </w:r>
            <w:r w:rsidR="00270DEF">
              <w:rPr>
                <w:rFonts w:eastAsiaTheme="minorHAnsi"/>
                <w:szCs w:val="22"/>
                <w:lang w:eastAsia="en-US"/>
              </w:rPr>
              <w:t xml:space="preserve"> </w:t>
            </w:r>
            <w:r w:rsidR="00270DEF" w:rsidRPr="000D79B1">
              <w:rPr>
                <w:rFonts w:eastAsiaTheme="minorHAnsi"/>
                <w:szCs w:val="22"/>
                <w:lang w:eastAsia="en-US"/>
              </w:rPr>
              <w:t>(assuming no extension of the Offer Period)</w:t>
            </w:r>
            <w:r w:rsidR="00270DEF">
              <w:rPr>
                <w:rFonts w:eastAsiaTheme="minorHAnsi"/>
                <w:szCs w:val="22"/>
                <w:lang w:eastAsia="en-US"/>
              </w:rPr>
              <w:t>.</w:t>
            </w:r>
          </w:p>
        </w:tc>
      </w:tr>
    </w:tbl>
    <w:p w14:paraId="70642256" w14:textId="77777777" w:rsidR="00B45A3A" w:rsidRDefault="00B45A3A" w:rsidP="005E13EC"/>
    <w:p w14:paraId="68DFC26B" w14:textId="77777777" w:rsidR="00BB2FEC" w:rsidRPr="007419A1" w:rsidRDefault="00BB2FEC" w:rsidP="00BB2FEC">
      <w:pPr>
        <w:rPr>
          <w:b/>
          <w:bCs/>
        </w:rPr>
      </w:pPr>
      <w:r w:rsidRPr="007419A1">
        <w:rPr>
          <w:b/>
          <w:bCs/>
        </w:rPr>
        <w:t>Acceptance</w:t>
      </w:r>
    </w:p>
    <w:p w14:paraId="25DAC5CF" w14:textId="77777777" w:rsidR="00BB2FEC" w:rsidRDefault="00BB2FEC" w:rsidP="00BB2FEC">
      <w:r w:rsidRPr="007419A1">
        <w:t xml:space="preserve">The Offer may be accepted by </w:t>
      </w:r>
      <w:r>
        <w:t>Nilfisk’s</w:t>
      </w:r>
      <w:r w:rsidRPr="007419A1">
        <w:t xml:space="preserve"> shareholders subject to the terms and conditions as set out in the Offer Document. </w:t>
      </w:r>
    </w:p>
    <w:p w14:paraId="3EF50039" w14:textId="77777777" w:rsidR="00BB2FEC" w:rsidRDefault="00BB2FEC" w:rsidP="00BB2FEC"/>
    <w:p w14:paraId="57A5E712" w14:textId="3F61782D" w:rsidR="00BB2FEC" w:rsidRDefault="00BB2FEC" w:rsidP="00BB2FEC">
      <w:r w:rsidRPr="007419A1">
        <w:t xml:space="preserve">Acceptance of the Offer must be received by </w:t>
      </w:r>
      <w:r>
        <w:t xml:space="preserve">Danske Bank A/S </w:t>
      </w:r>
      <w:r w:rsidRPr="007419A1">
        <w:t xml:space="preserve">through the </w:t>
      </w:r>
      <w:r>
        <w:t>Nilfisk</w:t>
      </w:r>
      <w:r w:rsidRPr="007419A1">
        <w:t xml:space="preserve"> shareholder</w:t>
      </w:r>
      <w:r>
        <w:t>’</w:t>
      </w:r>
      <w:r w:rsidRPr="007419A1">
        <w:t xml:space="preserve">s own </w:t>
      </w:r>
      <w:r>
        <w:t>c</w:t>
      </w:r>
      <w:r w:rsidRPr="00BB2FEC">
        <w:t xml:space="preserve">ustodian </w:t>
      </w:r>
      <w:r>
        <w:t>b</w:t>
      </w:r>
      <w:r w:rsidRPr="00BB2FEC">
        <w:t>ank or other account holding institution</w:t>
      </w:r>
      <w:r>
        <w:t xml:space="preserve"> </w:t>
      </w:r>
      <w:r w:rsidRPr="007419A1">
        <w:t>prior to the expiry of the Offer Period.</w:t>
      </w:r>
      <w:r>
        <w:t xml:space="preserve"> Nilfisk </w:t>
      </w:r>
      <w:r w:rsidRPr="007419A1">
        <w:t xml:space="preserve">shareholders wishing to accept the Offer are requested to accept the Offer online via their </w:t>
      </w:r>
      <w:r w:rsidRPr="00BB2FEC">
        <w:t xml:space="preserve">custodian </w:t>
      </w:r>
      <w:r w:rsidR="00C730CD" w:rsidRPr="00BB2FEC">
        <w:t>bank</w:t>
      </w:r>
      <w:r w:rsidRPr="00BB2FEC">
        <w:t xml:space="preserve"> or other account holding institution's web bank solution or use the acceptance form attached to the Offer Document as </w:t>
      </w:r>
      <w:r>
        <w:t>Schedule</w:t>
      </w:r>
      <w:r w:rsidRPr="00BB2FEC">
        <w:t xml:space="preserve"> </w:t>
      </w:r>
      <w:r>
        <w:t>A.</w:t>
      </w:r>
    </w:p>
    <w:p w14:paraId="7EE99168" w14:textId="77777777" w:rsidR="00955624" w:rsidRDefault="00955624" w:rsidP="00BB2FEC"/>
    <w:p w14:paraId="536E282D" w14:textId="7F5FF5F7" w:rsidR="00955624" w:rsidRDefault="00955624" w:rsidP="00BB2FEC">
      <w:r w:rsidRPr="009A657F">
        <w:rPr>
          <w:rFonts w:eastAsiaTheme="minorHAnsi"/>
          <w:szCs w:val="22"/>
          <w:lang w:eastAsia="en-US"/>
        </w:rPr>
        <w:t xml:space="preserve">The </w:t>
      </w:r>
      <w:r>
        <w:rPr>
          <w:rFonts w:eastAsiaTheme="minorHAnsi"/>
          <w:szCs w:val="22"/>
          <w:lang w:eastAsia="en-US"/>
        </w:rPr>
        <w:t>Nilfisk s</w:t>
      </w:r>
      <w:r w:rsidRPr="009A657F">
        <w:rPr>
          <w:rFonts w:eastAsiaTheme="minorHAnsi"/>
          <w:szCs w:val="22"/>
          <w:lang w:eastAsia="en-US"/>
        </w:rPr>
        <w:t xml:space="preserve">hareholders are requested to note that acceptance of the Offer must be notified to the </w:t>
      </w:r>
      <w:r>
        <w:rPr>
          <w:rFonts w:eastAsiaTheme="minorHAnsi"/>
          <w:szCs w:val="22"/>
          <w:lang w:eastAsia="en-US"/>
        </w:rPr>
        <w:t>s</w:t>
      </w:r>
      <w:r w:rsidRPr="009A657F">
        <w:rPr>
          <w:rFonts w:eastAsiaTheme="minorHAnsi"/>
          <w:szCs w:val="22"/>
          <w:lang w:eastAsia="en-US"/>
        </w:rPr>
        <w:t xml:space="preserve">hareholder’s own </w:t>
      </w:r>
      <w:r>
        <w:rPr>
          <w:rFonts w:eastAsiaTheme="minorHAnsi"/>
          <w:szCs w:val="22"/>
          <w:lang w:eastAsia="en-US"/>
        </w:rPr>
        <w:t>c</w:t>
      </w:r>
      <w:r w:rsidRPr="009A657F">
        <w:rPr>
          <w:rFonts w:eastAsiaTheme="minorHAnsi"/>
          <w:szCs w:val="22"/>
          <w:lang w:eastAsia="en-US"/>
        </w:rPr>
        <w:t xml:space="preserve">ustodian </w:t>
      </w:r>
      <w:r>
        <w:rPr>
          <w:rFonts w:eastAsiaTheme="minorHAnsi"/>
          <w:szCs w:val="22"/>
          <w:lang w:eastAsia="en-US"/>
        </w:rPr>
        <w:t>b</w:t>
      </w:r>
      <w:r w:rsidRPr="009A657F">
        <w:rPr>
          <w:rFonts w:eastAsiaTheme="minorHAnsi"/>
          <w:szCs w:val="22"/>
          <w:lang w:eastAsia="en-US"/>
        </w:rPr>
        <w:t>ank or another account holding institution in due time to allow the account holding institution to process and communicate the acceptance to Danske Ban</w:t>
      </w:r>
      <w:r w:rsidR="00C730CD">
        <w:rPr>
          <w:rFonts w:eastAsiaTheme="minorHAnsi"/>
          <w:szCs w:val="22"/>
          <w:lang w:eastAsia="en-US"/>
        </w:rPr>
        <w:t xml:space="preserve">k A/S </w:t>
      </w:r>
      <w:r w:rsidRPr="009A657F">
        <w:rPr>
          <w:rFonts w:eastAsiaTheme="minorHAnsi"/>
          <w:szCs w:val="22"/>
          <w:lang w:eastAsia="en-US"/>
        </w:rPr>
        <w:t xml:space="preserve">who must have received such acceptance prior to the expiry of the Offer Period on </w:t>
      </w:r>
      <w:r>
        <w:rPr>
          <w:rFonts w:eastAsiaTheme="minorHAnsi"/>
          <w:szCs w:val="22"/>
          <w:lang w:eastAsia="en-US"/>
        </w:rPr>
        <w:t>18 February 2026</w:t>
      </w:r>
      <w:r w:rsidRPr="009A657F">
        <w:rPr>
          <w:rFonts w:eastAsiaTheme="minorHAnsi"/>
          <w:szCs w:val="22"/>
          <w:lang w:eastAsia="en-US"/>
        </w:rPr>
        <w:t xml:space="preserve"> at 23:59 (CET)</w:t>
      </w:r>
      <w:r w:rsidR="00C730CD">
        <w:rPr>
          <w:rFonts w:eastAsiaTheme="minorHAnsi"/>
          <w:szCs w:val="22"/>
          <w:lang w:eastAsia="en-US"/>
        </w:rPr>
        <w:t>.</w:t>
      </w:r>
    </w:p>
    <w:p w14:paraId="771AD636" w14:textId="77777777" w:rsidR="00BB2FEC" w:rsidRDefault="00BB2FEC" w:rsidP="00BB2FEC"/>
    <w:p w14:paraId="7DFE2FAB" w14:textId="32727985" w:rsidR="00955624" w:rsidRPr="009A657F" w:rsidRDefault="00955624" w:rsidP="005D3F46">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rPr>
          <w:rFonts w:eastAsiaTheme="minorHAnsi"/>
          <w:b/>
          <w:bCs/>
          <w:szCs w:val="22"/>
          <w:lang w:eastAsia="en-US"/>
        </w:rPr>
      </w:pPr>
      <w:r w:rsidRPr="009A657F">
        <w:rPr>
          <w:rFonts w:eastAsiaTheme="minorHAnsi"/>
          <w:szCs w:val="22"/>
          <w:lang w:eastAsia="en-US"/>
        </w:rPr>
        <w:t xml:space="preserve">The deadline for notification of acceptance to each </w:t>
      </w:r>
      <w:r>
        <w:rPr>
          <w:rFonts w:eastAsiaTheme="minorHAnsi"/>
          <w:szCs w:val="22"/>
          <w:lang w:eastAsia="en-US"/>
        </w:rPr>
        <w:t>c</w:t>
      </w:r>
      <w:r w:rsidRPr="009A657F">
        <w:rPr>
          <w:rFonts w:eastAsiaTheme="minorHAnsi"/>
          <w:szCs w:val="22"/>
          <w:lang w:eastAsia="en-US"/>
        </w:rPr>
        <w:t xml:space="preserve">ustodian </w:t>
      </w:r>
      <w:r>
        <w:rPr>
          <w:rFonts w:eastAsiaTheme="minorHAnsi"/>
          <w:szCs w:val="22"/>
          <w:lang w:eastAsia="en-US"/>
        </w:rPr>
        <w:t>b</w:t>
      </w:r>
      <w:r w:rsidRPr="009A657F">
        <w:rPr>
          <w:rFonts w:eastAsiaTheme="minorHAnsi"/>
          <w:szCs w:val="22"/>
          <w:lang w:eastAsia="en-US"/>
        </w:rPr>
        <w:t xml:space="preserve">ank or other the account holding institution will depend upon each </w:t>
      </w:r>
      <w:r>
        <w:rPr>
          <w:rFonts w:eastAsiaTheme="minorHAnsi"/>
          <w:szCs w:val="22"/>
          <w:lang w:eastAsia="en-US"/>
        </w:rPr>
        <w:t>s</w:t>
      </w:r>
      <w:r w:rsidRPr="009A657F">
        <w:rPr>
          <w:rFonts w:eastAsiaTheme="minorHAnsi"/>
          <w:szCs w:val="22"/>
          <w:lang w:eastAsia="en-US"/>
        </w:rPr>
        <w:t xml:space="preserve">hareholder’s agreement with its </w:t>
      </w:r>
      <w:r>
        <w:rPr>
          <w:rFonts w:eastAsiaTheme="minorHAnsi"/>
          <w:szCs w:val="22"/>
          <w:lang w:eastAsia="en-US"/>
        </w:rPr>
        <w:t>c</w:t>
      </w:r>
      <w:r w:rsidRPr="009A657F">
        <w:rPr>
          <w:rFonts w:eastAsiaTheme="minorHAnsi"/>
          <w:szCs w:val="22"/>
          <w:lang w:eastAsia="en-US"/>
        </w:rPr>
        <w:t xml:space="preserve">ustodian </w:t>
      </w:r>
      <w:r>
        <w:rPr>
          <w:rFonts w:eastAsiaTheme="minorHAnsi"/>
          <w:szCs w:val="22"/>
          <w:lang w:eastAsia="en-US"/>
        </w:rPr>
        <w:t>b</w:t>
      </w:r>
      <w:r w:rsidRPr="009A657F">
        <w:rPr>
          <w:rFonts w:eastAsiaTheme="minorHAnsi"/>
          <w:szCs w:val="22"/>
          <w:lang w:eastAsia="en-US"/>
        </w:rPr>
        <w:t>ank or other account holding institution and the rules and procedures of the relevant account holding institution and may be earlier than the last day of the Offer Period.</w:t>
      </w:r>
    </w:p>
    <w:p w14:paraId="67580792" w14:textId="77777777" w:rsidR="003E2085" w:rsidRPr="00A82A8B" w:rsidRDefault="003E2085" w:rsidP="003E2085">
      <w:pPr>
        <w:rPr>
          <w:b/>
          <w:bCs/>
        </w:rPr>
      </w:pPr>
      <w:r w:rsidRPr="00A82A8B">
        <w:rPr>
          <w:b/>
          <w:bCs/>
        </w:rPr>
        <w:lastRenderedPageBreak/>
        <w:t xml:space="preserve">About Freudenberg Group </w:t>
      </w:r>
    </w:p>
    <w:p w14:paraId="68404F4C" w14:textId="77777777" w:rsidR="007F1AD7" w:rsidRDefault="003E2085" w:rsidP="003E2085">
      <w:r w:rsidRPr="00DB0617">
        <w:t xml:space="preserve">The Freudenberg Group is a fully family-owned global technology group founded in 1849 and headquartered in Weinheim, Germany. The Freudenberg Group operates through a dual holding structure established in 2012 to create simpler and more transparent corporate governance. Freudenberg &amp; Co. Kommanditgesellschaft serves as the strategic parent company holding the family shares, while Freudenberg SE functions as the operative parent company responsible for managing business operations across the Freudenberg Group. </w:t>
      </w:r>
    </w:p>
    <w:p w14:paraId="56D30383" w14:textId="77777777" w:rsidR="007F1AD7" w:rsidRDefault="007F1AD7" w:rsidP="003E2085"/>
    <w:p w14:paraId="794720AF" w14:textId="77777777" w:rsidR="007F1AD7" w:rsidRDefault="003E2085" w:rsidP="003E2085">
      <w:r w:rsidRPr="00DB0617">
        <w:t xml:space="preserve">With more than 50,000 employees worldwide, the Freudenberg Group operates through independent Business Groups across diverse technology sectors, active in approx. forty (40) market segments and thousands of applications. The Freudenberg Group’s different business groups operate across diverse sectors including sealing technologies, performance materials, chemical specialties, medical technology, home and cleaning solutions, filtration technologies, vibration control, energy systems, mechanical seals, and oil and gas technologies. </w:t>
      </w:r>
    </w:p>
    <w:p w14:paraId="638419A1" w14:textId="77777777" w:rsidR="007F1AD7" w:rsidRDefault="007F1AD7" w:rsidP="003E2085"/>
    <w:p w14:paraId="46326B48" w14:textId="77777777" w:rsidR="007F1AD7" w:rsidRDefault="003E2085" w:rsidP="003E2085">
      <w:r w:rsidRPr="00DB0617">
        <w:t xml:space="preserve">In 2024, the Freudenberg Group achieved sales of EUR 11,947.5 million with an operating result of EUR 1,132.4 million, representing a return on sales of 9.5%. The Freudenberg Group maintains a strong financial position with an equity ratio of 56.8% and continues its commitment to innovation with EUR 604.4 million invested in research and development. Key innovations driving future growth include advanced sealing technologies for electric vehicles, sustainable filtration solutions, and digitalisation initiatives such as smart seal sensors for predictive maintenance. </w:t>
      </w:r>
    </w:p>
    <w:p w14:paraId="1F45B12F" w14:textId="77777777" w:rsidR="007F1AD7" w:rsidRDefault="007F1AD7" w:rsidP="003E2085"/>
    <w:p w14:paraId="3727552A" w14:textId="174A7A62" w:rsidR="003E2085" w:rsidRDefault="003E2085" w:rsidP="003E2085">
      <w:r w:rsidRPr="00DB0617">
        <w:t xml:space="preserve">For more information, please visit </w:t>
      </w:r>
      <w:hyperlink r:id="rId13" w:history="1">
        <w:r w:rsidRPr="000656B2">
          <w:rPr>
            <w:rStyle w:val="Hyperlink"/>
          </w:rPr>
          <w:t>www.freudenberg.com</w:t>
        </w:r>
      </w:hyperlink>
      <w:r w:rsidRPr="00DB0617">
        <w:t>.</w:t>
      </w:r>
    </w:p>
    <w:p w14:paraId="7AFB0006" w14:textId="77777777" w:rsidR="003E2085" w:rsidRDefault="003E2085" w:rsidP="003E2085"/>
    <w:p w14:paraId="0A3CE93C" w14:textId="77777777" w:rsidR="003E2085" w:rsidRPr="00A82A8B" w:rsidRDefault="003E2085" w:rsidP="003E2085">
      <w:pPr>
        <w:rPr>
          <w:b/>
          <w:bCs/>
        </w:rPr>
      </w:pPr>
      <w:r w:rsidRPr="00A82A8B">
        <w:rPr>
          <w:b/>
          <w:bCs/>
        </w:rPr>
        <w:t xml:space="preserve">About the Offeror </w:t>
      </w:r>
    </w:p>
    <w:p w14:paraId="71DDFB42" w14:textId="77777777" w:rsidR="007F1AD7" w:rsidRDefault="003E2085" w:rsidP="003E2085">
      <w:r w:rsidRPr="00DB0617">
        <w:t xml:space="preserve">Freudenberg Home and Cleaning Solutions GmbH’s business areas cover cleaning and laundry care products which operates globally through consumer and professional segments. Consumer products are marketed under brands such as </w:t>
      </w:r>
      <w:proofErr w:type="spellStart"/>
      <w:r w:rsidRPr="00DB0617">
        <w:t>Vileda</w:t>
      </w:r>
      <w:proofErr w:type="spellEnd"/>
      <w:r w:rsidRPr="00DB0617">
        <w:t xml:space="preserve">, O-Cedar, </w:t>
      </w:r>
      <w:proofErr w:type="spellStart"/>
      <w:r w:rsidRPr="00DB0617">
        <w:t>Gimi</w:t>
      </w:r>
      <w:proofErr w:type="spellEnd"/>
      <w:r w:rsidRPr="00DB0617">
        <w:t>, Oates, Gala, Wettex, and Marigold. The professional segment (</w:t>
      </w:r>
      <w:proofErr w:type="spellStart"/>
      <w:r w:rsidRPr="00DB0617">
        <w:t>Vileda</w:t>
      </w:r>
      <w:proofErr w:type="spellEnd"/>
      <w:r w:rsidRPr="00DB0617">
        <w:t xml:space="preserve"> Professional) provides cleaning solutions for sectors including healthcare, cleanrooms, general building cleaning and hospitality. </w:t>
      </w:r>
    </w:p>
    <w:p w14:paraId="67EC70D6" w14:textId="77777777" w:rsidR="007F1AD7" w:rsidRDefault="007F1AD7" w:rsidP="003E2085"/>
    <w:p w14:paraId="5DCC4A6F" w14:textId="450228A2" w:rsidR="003E2085" w:rsidRDefault="003E2085" w:rsidP="003E2085">
      <w:r w:rsidRPr="00DB0617">
        <w:t xml:space="preserve">Freudenberg Home and Cleaning Solutions GmbH achieved record </w:t>
      </w:r>
      <w:r w:rsidR="002A7191">
        <w:t>revenue</w:t>
      </w:r>
      <w:r w:rsidR="002A7191" w:rsidRPr="00DB0617">
        <w:t xml:space="preserve"> </w:t>
      </w:r>
      <w:r w:rsidRPr="00DB0617">
        <w:t xml:space="preserve">of EUR 1,342 million in </w:t>
      </w:r>
      <w:r w:rsidR="002A7191">
        <w:t xml:space="preserve">the </w:t>
      </w:r>
      <w:r w:rsidRPr="00DB0617">
        <w:t xml:space="preserve">fiscal year 2024, representing significant growth compared to the previous year (EUR 1,240.7 million). Freudenberg Home and Cleaning Solutions GmbH recorded sales growth across all sectors, including both consumer and professional business segments, with particularly strong performance in the EMEA and America regions. Freudenberg Home and Cleaning Solutions GmbH’s focus on innovation, customer proximity, and operational </w:t>
      </w:r>
      <w:r w:rsidRPr="00DB0617">
        <w:lastRenderedPageBreak/>
        <w:t>excellence contributed to improved performance across all relevant key financial indicators compared to the previous year</w:t>
      </w:r>
    </w:p>
    <w:p w14:paraId="0150618A" w14:textId="77777777" w:rsidR="003E2085" w:rsidRDefault="003E2085" w:rsidP="003E2085"/>
    <w:p w14:paraId="03BA9D1D" w14:textId="77777777" w:rsidR="003E2085" w:rsidRPr="00A82A8B" w:rsidRDefault="003E2085" w:rsidP="003E2085">
      <w:pPr>
        <w:rPr>
          <w:b/>
          <w:bCs/>
        </w:rPr>
      </w:pPr>
      <w:r w:rsidRPr="00A82A8B">
        <w:rPr>
          <w:b/>
          <w:bCs/>
        </w:rPr>
        <w:t xml:space="preserve">About Nilfisk </w:t>
      </w:r>
    </w:p>
    <w:p w14:paraId="5FF1CF09" w14:textId="77777777" w:rsidR="007F1AD7" w:rsidRDefault="003E2085" w:rsidP="003E2085">
      <w:r w:rsidRPr="00DB0617">
        <w:t xml:space="preserve">Nilfisk was founded in 1906 by the Danish engineer P.A. Fisker. Today the company is a world-leading global provider of professional cleaning equipment and services. More than 90% of sales are to professionals while the remaining part of the business aimed at consumers covers floorcare equipment, vacuum cleaners, and high-pressure washers. </w:t>
      </w:r>
    </w:p>
    <w:p w14:paraId="5A11E875" w14:textId="77777777" w:rsidR="007F1AD7" w:rsidRDefault="007F1AD7" w:rsidP="003E2085"/>
    <w:p w14:paraId="292A1AEF" w14:textId="5AA07E16" w:rsidR="003E2085" w:rsidRDefault="003E2085" w:rsidP="003E2085">
      <w:r w:rsidRPr="00DB0617">
        <w:t xml:space="preserve">Nilfisk’s products and services are sold in more than 100 countries and produced at 6 manufacturing sites across the globe. The main production facilities are in the US, Mexico, Hungary, Italy, and China. A total of approximately 4,500 employees secured revenue of 1,027.9 </w:t>
      </w:r>
      <w:proofErr w:type="spellStart"/>
      <w:r w:rsidRPr="00DB0617">
        <w:t>mEUR</w:t>
      </w:r>
      <w:proofErr w:type="spellEnd"/>
      <w:r w:rsidRPr="00DB0617">
        <w:t xml:space="preserve"> in 2024. The largest single market is the US covering 28% of revenue in 2024, followed by Germany (14%), France (10%), Denmark (7%), and the UK (4%).</w:t>
      </w:r>
    </w:p>
    <w:p w14:paraId="0C2B5517" w14:textId="77777777" w:rsidR="003E2085" w:rsidRDefault="003E2085" w:rsidP="005E13EC">
      <w:pPr>
        <w:rPr>
          <w:b/>
          <w:bCs/>
        </w:rPr>
      </w:pPr>
    </w:p>
    <w:p w14:paraId="26D123FF" w14:textId="16BA8274" w:rsidR="001C4BA5" w:rsidRPr="005D3F46" w:rsidRDefault="001C4BA5" w:rsidP="005E13EC">
      <w:pPr>
        <w:rPr>
          <w:b/>
          <w:bCs/>
        </w:rPr>
      </w:pPr>
      <w:r w:rsidRPr="005D3F46">
        <w:rPr>
          <w:b/>
          <w:bCs/>
        </w:rPr>
        <w:t>Advisors</w:t>
      </w:r>
    </w:p>
    <w:p w14:paraId="028D17E9" w14:textId="67A43C81" w:rsidR="00BB2FEC" w:rsidRDefault="001C4BA5" w:rsidP="005E13EC">
      <w:r>
        <w:t>J</w:t>
      </w:r>
      <w:r w:rsidRPr="001C4BA5">
        <w:t>.P. Morgan Securities plc is acting as financial advisor to Freudenberg</w:t>
      </w:r>
      <w:r w:rsidR="00270DEF">
        <w:t xml:space="preserve"> Group</w:t>
      </w:r>
      <w:r w:rsidRPr="001C4BA5">
        <w:t>. Allen Overy Shearman Sterling LLP is acting as International Counsel to Freudenberg on the transaction while Moalem Weitemeyer Advokatpartnerselskab is acting as Danish counsel to Freudenberg on the transaction. Freudenberg has appointed Danske Bank A/S as settlement agent in connection with the Offer.</w:t>
      </w:r>
    </w:p>
    <w:p w14:paraId="53934143" w14:textId="77777777" w:rsidR="00BB2FEC" w:rsidRDefault="00BB2FEC" w:rsidP="005E13EC"/>
    <w:p w14:paraId="075A325C" w14:textId="140763CA" w:rsidR="001C4BA5" w:rsidRPr="005D3F46" w:rsidRDefault="001C4BA5" w:rsidP="005E13EC">
      <w:pPr>
        <w:rPr>
          <w:b/>
          <w:bCs/>
        </w:rPr>
      </w:pPr>
      <w:r w:rsidRPr="005D3F46">
        <w:rPr>
          <w:b/>
          <w:bCs/>
        </w:rPr>
        <w:t xml:space="preserve">Contacts </w:t>
      </w:r>
    </w:p>
    <w:p w14:paraId="50C0B84D" w14:textId="4AF3D5B4" w:rsidR="001C4BA5" w:rsidRPr="005D3F46" w:rsidRDefault="001C4BA5" w:rsidP="005E13EC">
      <w:pPr>
        <w:rPr>
          <w:i/>
          <w:iCs/>
        </w:rPr>
      </w:pPr>
      <w:r w:rsidRPr="005D3F46">
        <w:rPr>
          <w:i/>
          <w:iCs/>
        </w:rPr>
        <w:t xml:space="preserve">Media contact for international media </w:t>
      </w:r>
    </w:p>
    <w:p w14:paraId="2FA156B9" w14:textId="35CA61BE" w:rsidR="001C4BA5" w:rsidRDefault="001C4BA5" w:rsidP="005E13EC">
      <w:r w:rsidRPr="001C4BA5">
        <w:t xml:space="preserve">Michael Scheuer, Global Head of Corporate Communications, Freudenberg &amp; Co. KG, +49 6201 80-4094, </w:t>
      </w:r>
      <w:hyperlink r:id="rId14" w:history="1">
        <w:r w:rsidRPr="000656B2">
          <w:rPr>
            <w:rStyle w:val="Hyperlink"/>
          </w:rPr>
          <w:t>michael.scheuer@freudenberg.com</w:t>
        </w:r>
      </w:hyperlink>
      <w:r w:rsidRPr="001C4BA5">
        <w:t xml:space="preserve"> </w:t>
      </w:r>
    </w:p>
    <w:p w14:paraId="2118CCA3" w14:textId="77777777" w:rsidR="001C4BA5" w:rsidRDefault="001C4BA5" w:rsidP="005E13EC"/>
    <w:p w14:paraId="2B59BAE4" w14:textId="77777777" w:rsidR="001C4BA5" w:rsidRPr="005D3F46" w:rsidRDefault="001C4BA5" w:rsidP="005E13EC">
      <w:pPr>
        <w:rPr>
          <w:i/>
          <w:iCs/>
        </w:rPr>
      </w:pPr>
      <w:r w:rsidRPr="005D3F46">
        <w:rPr>
          <w:i/>
          <w:iCs/>
        </w:rPr>
        <w:t xml:space="preserve">Media contact for Danish media </w:t>
      </w:r>
    </w:p>
    <w:p w14:paraId="3CEC4A89" w14:textId="5FB61790" w:rsidR="001C4BA5" w:rsidRDefault="001C4BA5" w:rsidP="005E13EC">
      <w:r w:rsidRPr="001C4BA5">
        <w:t xml:space="preserve">Poul Lykkesfeldt, Managing Partner, Reliance A/S, +45 20 21 71 30, </w:t>
      </w:r>
      <w:hyperlink r:id="rId15" w:history="1">
        <w:r w:rsidRPr="000656B2">
          <w:rPr>
            <w:rStyle w:val="Hyperlink"/>
          </w:rPr>
          <w:t>pl@reliance.dk</w:t>
        </w:r>
      </w:hyperlink>
      <w:r w:rsidRPr="001C4BA5">
        <w:t xml:space="preserve"> </w:t>
      </w:r>
    </w:p>
    <w:p w14:paraId="4481652C" w14:textId="77777777" w:rsidR="001C4BA5" w:rsidRDefault="001C4BA5" w:rsidP="005E13EC"/>
    <w:p w14:paraId="7D2D84BD" w14:textId="0134BA33" w:rsidR="00BB2FEC" w:rsidRDefault="001C4BA5" w:rsidP="005E13EC">
      <w:r w:rsidRPr="001C4BA5">
        <w:t xml:space="preserve">For further information about the Offer, go to </w:t>
      </w:r>
      <w:hyperlink r:id="rId16" w:history="1">
        <w:r w:rsidRPr="000656B2">
          <w:rPr>
            <w:rStyle w:val="Hyperlink"/>
          </w:rPr>
          <w:t>https://www.freudenberg.com/en/documentsforoffer</w:t>
        </w:r>
      </w:hyperlink>
      <w:r w:rsidRPr="001C4BA5">
        <w:t>.</w:t>
      </w:r>
    </w:p>
    <w:p w14:paraId="27561F39" w14:textId="77777777" w:rsidR="00C730CD" w:rsidRDefault="00C730CD" w:rsidP="005E13EC"/>
    <w:p w14:paraId="6C45B782" w14:textId="4F320225" w:rsidR="00C730CD" w:rsidRPr="005D3F46" w:rsidRDefault="00C730CD" w:rsidP="005E13EC">
      <w:pPr>
        <w:rPr>
          <w:b/>
          <w:bCs/>
        </w:rPr>
      </w:pPr>
      <w:r w:rsidRPr="005D3F46">
        <w:rPr>
          <w:b/>
          <w:bCs/>
        </w:rPr>
        <w:t>Versions</w:t>
      </w:r>
    </w:p>
    <w:p w14:paraId="29B4C893" w14:textId="2EDFA32D" w:rsidR="001C4BA5" w:rsidRDefault="00C730CD" w:rsidP="005E13EC">
      <w:r w:rsidRPr="00C730CD">
        <w:t>This announcement is prepared in both a Danish and an English version. In case of any inconsistencies, the Danish version shall prevail.</w:t>
      </w:r>
    </w:p>
    <w:p w14:paraId="057271F1" w14:textId="77777777" w:rsidR="00DB0617" w:rsidRDefault="00DB0617" w:rsidP="005E13EC"/>
    <w:p w14:paraId="1AC6A82F" w14:textId="1A4F2820" w:rsidR="003E2085" w:rsidRPr="005D3F46" w:rsidRDefault="003E2085" w:rsidP="005E13EC">
      <w:pPr>
        <w:rPr>
          <w:b/>
          <w:bCs/>
        </w:rPr>
      </w:pPr>
      <w:r w:rsidRPr="005D3F46">
        <w:rPr>
          <w:b/>
          <w:bCs/>
        </w:rPr>
        <w:t>DISCLAIMER</w:t>
      </w:r>
    </w:p>
    <w:p w14:paraId="442F5C2E" w14:textId="77777777" w:rsidR="003E2085" w:rsidRDefault="003E2085" w:rsidP="005E13EC">
      <w:r w:rsidRPr="003E2085">
        <w:lastRenderedPageBreak/>
        <w:t xml:space="preserve">This announcement does not constitute an offer or invitation to purchase any securities in Nilfisk or a solicitation of an offer to buy any securities in Nilfisk, pursuant to the Offer or otherwise. The Offer is made solely by means of the offer document as approved by the Danish Financial Supervisory Authority, which contains the full terms and conditions of the Offer, including details of how the Offer may be accepted. The Nilfisk shareholders are advised to read the Offer and the related documents as they contain important information. </w:t>
      </w:r>
    </w:p>
    <w:p w14:paraId="680259DC" w14:textId="77777777" w:rsidR="003E2085" w:rsidRDefault="003E2085" w:rsidP="005E13EC"/>
    <w:p w14:paraId="032D9A84" w14:textId="236A72D5" w:rsidR="003E2085" w:rsidRDefault="003E2085" w:rsidP="005E13EC">
      <w:r w:rsidRPr="003E2085">
        <w:t xml:space="preserve">Apart from the responsibilities and liabilities, if any, which may be imposed by Danish </w:t>
      </w:r>
      <w:r w:rsidR="00270DEF">
        <w:t>l</w:t>
      </w:r>
      <w:r w:rsidRPr="003E2085">
        <w:t>aw or under the regulatory regime of any other jurisdiction where exclusion of responsibility or liability under the relevant regulatory regime would be illegal, void or unenforceable, neither J.P. Morgan, as financial advisor to Freudenberg</w:t>
      </w:r>
      <w:r w:rsidR="00270DEF">
        <w:t xml:space="preserve"> Group</w:t>
      </w:r>
      <w:r w:rsidRPr="003E2085">
        <w:t xml:space="preserve">, or in any other capacity (nor any of J.P. Morgan’s respective subsidiaries, branches or affiliates) accept any responsibility whatsoever for the contents of the Offer, including with respect to its accuracy, correctness or completeness or for any other statement made or purported to be made by Freudenberg, or on its behalf, in connection with the Offer. Save for the aforementioned responsibilities and liabilities, if any, which may be imposed under applicable Law, J.P. Morgan (and any of J.P. Morgan’s respective subsidiaries, branches or affiliates) disclaims any and all liability, whether arising in tort, contract, or otherwise (save as referred to above), which they might otherwise have in respect of such document or any such statement. </w:t>
      </w:r>
    </w:p>
    <w:p w14:paraId="3FED8876" w14:textId="77777777" w:rsidR="003E2085" w:rsidRDefault="003E2085" w:rsidP="005E13EC"/>
    <w:p w14:paraId="17443470" w14:textId="7543AA6A" w:rsidR="003E2085" w:rsidRDefault="003E2085" w:rsidP="005E13EC">
      <w:r w:rsidRPr="003E2085">
        <w:t xml:space="preserve">In the ordinary course of business, J.P. Morgan (and J.P. Morgan’s respective subsidiaries, branches or affiliates) may make or hold a broad array of investments including serving as counterparties to certain derivative and hedging arrangements and actively trade debt and equity financial instruments (or related derivative financial instruments) and other types of financial instruments (including bank loans) for their own account and for the accounts of their customers, and such investment and financial instrument activities may involve securities and/or instruments of Nilfisk. </w:t>
      </w:r>
    </w:p>
    <w:p w14:paraId="3CBD19F9" w14:textId="77777777" w:rsidR="003E2085" w:rsidRDefault="003E2085" w:rsidP="005E13EC"/>
    <w:p w14:paraId="5109194F" w14:textId="430BAB34" w:rsidR="003E2085" w:rsidRDefault="003E2085" w:rsidP="005E13EC">
      <w:r w:rsidRPr="003E2085">
        <w:t>J.P. Morgan is acting solely as financial advisor to Freudenberg</w:t>
      </w:r>
      <w:r w:rsidR="00270DEF">
        <w:t xml:space="preserve"> Group</w:t>
      </w:r>
      <w:r w:rsidRPr="003E2085">
        <w:t xml:space="preserve"> and not to any other person in connection with the Offer. In such capacity, J.P. Morgan will not be responsible to anyone other than Freudenberg </w:t>
      </w:r>
      <w:r w:rsidR="00270DEF">
        <w:t xml:space="preserve">Group </w:t>
      </w:r>
      <w:r w:rsidRPr="003E2085">
        <w:t>for providing the protections afforded to its Offerors or for providing financial advice in relation to the Offer or any other matter referred to in the offer document.</w:t>
      </w:r>
    </w:p>
    <w:p w14:paraId="63DF36B2" w14:textId="77777777" w:rsidR="003E2085" w:rsidRDefault="003E2085" w:rsidP="005E13EC"/>
    <w:p w14:paraId="33BA6514" w14:textId="6C28C1F4" w:rsidR="00DB0617" w:rsidRPr="005D3F46" w:rsidRDefault="00DB0617" w:rsidP="005E13EC">
      <w:pPr>
        <w:rPr>
          <w:b/>
          <w:bCs/>
        </w:rPr>
      </w:pPr>
      <w:r w:rsidRPr="005D3F46">
        <w:rPr>
          <w:b/>
          <w:bCs/>
        </w:rPr>
        <w:t>Forward-Looking Statements</w:t>
      </w:r>
    </w:p>
    <w:p w14:paraId="781E0283" w14:textId="4E0C6AC0" w:rsidR="00DB0617" w:rsidRPr="00DB0617" w:rsidRDefault="00DB0617" w:rsidP="00DB0617">
      <w:r w:rsidRPr="00DB0617">
        <w:t xml:space="preserve">This announcement contains forward-looking statements and statements of future expectations that reflect Freudenberg’s current views and assumptions with respect to future events. </w:t>
      </w:r>
    </w:p>
    <w:p w14:paraId="325343D1" w14:textId="77777777" w:rsidR="00DB0617" w:rsidRPr="00DB0617" w:rsidRDefault="00DB0617" w:rsidP="00DB0617">
      <w:r w:rsidRPr="00DB0617">
        <w:t xml:space="preserve">Such statements are subject to known and unknown risks and uncertainties that could cause </w:t>
      </w:r>
    </w:p>
    <w:p w14:paraId="3F5D75E1" w14:textId="77777777" w:rsidR="00DB0617" w:rsidRPr="00DB0617" w:rsidRDefault="00DB0617" w:rsidP="00DB0617">
      <w:r w:rsidRPr="00DB0617">
        <w:t xml:space="preserve">actual results, performance or events to differ materially from those expressed or implied </w:t>
      </w:r>
    </w:p>
    <w:p w14:paraId="7F80011E" w14:textId="77777777" w:rsidR="00DB0617" w:rsidRPr="00DB0617" w:rsidRDefault="00DB0617" w:rsidP="00DB0617">
      <w:r w:rsidRPr="00DB0617">
        <w:lastRenderedPageBreak/>
        <w:t xml:space="preserve">and that are beyond Freudenberg’s ability to control or estimate precisely. In addition to </w:t>
      </w:r>
    </w:p>
    <w:p w14:paraId="6CB7C791" w14:textId="77777777" w:rsidR="00DB0617" w:rsidRPr="00DB0617" w:rsidRDefault="00DB0617" w:rsidP="00DB0617">
      <w:r w:rsidRPr="00DB0617">
        <w:t xml:space="preserve">statements which are forward-looking by reason of context, forward-looking statements can </w:t>
      </w:r>
    </w:p>
    <w:p w14:paraId="617006A0" w14:textId="77777777" w:rsidR="00DB0617" w:rsidRPr="00DB0617" w:rsidRDefault="00DB0617" w:rsidP="00DB0617">
      <w:r w:rsidRPr="00DB0617">
        <w:t xml:space="preserve">be identified </w:t>
      </w:r>
      <w:proofErr w:type="gramStart"/>
      <w:r w:rsidRPr="00DB0617">
        <w:t>by the use of</w:t>
      </w:r>
      <w:proofErr w:type="gramEnd"/>
      <w:r w:rsidRPr="00DB0617">
        <w:t xml:space="preserve"> forward-looking terminology, including the words “believes”, </w:t>
      </w:r>
    </w:p>
    <w:p w14:paraId="21BB1932" w14:textId="77777777" w:rsidR="00DB0617" w:rsidRPr="00DB0617" w:rsidRDefault="00DB0617" w:rsidP="00DB0617">
      <w:r w:rsidRPr="00DB0617">
        <w:t xml:space="preserve">“anticipates”, “intends”, “expects”, “may”, “will”, “shall”, “potential”, “continue” and other </w:t>
      </w:r>
    </w:p>
    <w:p w14:paraId="35A9ACEA" w14:textId="03955344" w:rsidR="00DB0617" w:rsidRPr="00DB0617" w:rsidRDefault="00DB0617" w:rsidP="00DB0617">
      <w:r w:rsidRPr="00DB0617">
        <w:t xml:space="preserve">similar expressions. The absence of such terminology does not necessarily mean that a statement is not forward-looking. Actual results, performance or events may differ materially from those statements due to, without limitation, (i) general economic conditions, (ii) future </w:t>
      </w:r>
    </w:p>
    <w:p w14:paraId="495B5C48" w14:textId="77777777" w:rsidR="00DB0617" w:rsidRPr="00DB0617" w:rsidRDefault="00DB0617" w:rsidP="00DB0617">
      <w:r w:rsidRPr="00DB0617">
        <w:t xml:space="preserve">performance of financial markets, (iii) interest rate levels, (iv) currency exchange rates, (v) </w:t>
      </w:r>
    </w:p>
    <w:p w14:paraId="50F016BD" w14:textId="77777777" w:rsidR="00DB0617" w:rsidRPr="00DB0617" w:rsidRDefault="00DB0617" w:rsidP="00DB0617">
      <w:r w:rsidRPr="00DB0617">
        <w:t xml:space="preserve">the behaviour of other market participants, (vi) general competitive factors, (vii) changes in </w:t>
      </w:r>
    </w:p>
    <w:p w14:paraId="25A52FAC" w14:textId="77777777" w:rsidR="00DB0617" w:rsidRPr="00DB0617" w:rsidRDefault="00DB0617" w:rsidP="00DB0617">
      <w:r w:rsidRPr="00DB0617">
        <w:t xml:space="preserve">laws and regulations, (viii) changes in the policies of central banks, governmental regulators </w:t>
      </w:r>
    </w:p>
    <w:p w14:paraId="4D22993F" w14:textId="77777777" w:rsidR="00DB0617" w:rsidRPr="00DB0617" w:rsidRDefault="00DB0617" w:rsidP="00DB0617">
      <w:r w:rsidRPr="00DB0617">
        <w:t xml:space="preserve">and/or (foreign) governments, (ix) the ability to successfully integrate acquired and merged </w:t>
      </w:r>
    </w:p>
    <w:p w14:paraId="435DF5D4" w14:textId="77777777" w:rsidR="00DB0617" w:rsidRPr="00DB0617" w:rsidRDefault="00DB0617" w:rsidP="00DB0617">
      <w:r w:rsidRPr="00DB0617">
        <w:t xml:space="preserve">businesses and achieve anticipated synergies, (x) reorganisation measures, in each case on a </w:t>
      </w:r>
    </w:p>
    <w:p w14:paraId="06ACAE18" w14:textId="77777777" w:rsidR="00DB0617" w:rsidRPr="00DB0617" w:rsidRDefault="00DB0617" w:rsidP="00DB0617">
      <w:r w:rsidRPr="00DB0617">
        <w:t xml:space="preserve">local, national, regional and/or global basis, and (xi) litigations or other legal proceedings. </w:t>
      </w:r>
    </w:p>
    <w:p w14:paraId="299F8DA9" w14:textId="77777777" w:rsidR="00DB0617" w:rsidRPr="00DB0617" w:rsidRDefault="00DB0617" w:rsidP="00DB0617">
      <w:r w:rsidRPr="00DB0617">
        <w:t xml:space="preserve">The forward-looking statements included in this announcement speak only as of the date </w:t>
      </w:r>
    </w:p>
    <w:p w14:paraId="690A560C" w14:textId="77777777" w:rsidR="00DB0617" w:rsidRDefault="00DB0617" w:rsidP="00DB0617">
      <w:r w:rsidRPr="00DB0617">
        <w:t>hereof.</w:t>
      </w:r>
    </w:p>
    <w:p w14:paraId="57614F5C" w14:textId="77777777" w:rsidR="00DB0617" w:rsidRPr="00DB0617" w:rsidRDefault="00DB0617" w:rsidP="00DB0617"/>
    <w:p w14:paraId="4E506EF9" w14:textId="644C8D79" w:rsidR="00DB0617" w:rsidRPr="00DB0617" w:rsidRDefault="00DB0617" w:rsidP="00DB0617">
      <w:r w:rsidRPr="00DB0617">
        <w:t xml:space="preserve">Although Freudenberg believes that the expectations reflected in these forward-looking </w:t>
      </w:r>
      <w:r w:rsidR="00A71BF6">
        <w:t xml:space="preserve"> </w:t>
      </w:r>
      <w:r w:rsidRPr="00DB0617">
        <w:t xml:space="preserve">statements are reasonable as of the date of this announcement, such forward-looking statements are based on Freudenberg’s current expectations, estimates, forecasts, assumptions and projections about the Freudenberg Group’s business, Nilfisk’s business and, following </w:t>
      </w:r>
    </w:p>
    <w:p w14:paraId="7EBE31FA" w14:textId="77777777" w:rsidR="00DB0617" w:rsidRPr="00DB0617" w:rsidRDefault="00DB0617" w:rsidP="00DB0617">
      <w:r w:rsidRPr="00DB0617">
        <w:t xml:space="preserve">completion of the Offer, including settlement of the Offer in accordance with the terms and </w:t>
      </w:r>
    </w:p>
    <w:p w14:paraId="619036C2" w14:textId="77777777" w:rsidR="00DB0617" w:rsidRPr="00DB0617" w:rsidRDefault="00DB0617" w:rsidP="00DB0617">
      <w:r w:rsidRPr="00DB0617">
        <w:t xml:space="preserve">conditions as set out in the offer document, the combined Freudenberg Group and Nilfisk’s </w:t>
      </w:r>
    </w:p>
    <w:p w14:paraId="692C965E" w14:textId="097D98B9" w:rsidR="00DB0617" w:rsidRDefault="00DB0617" w:rsidP="00DB0617">
      <w:r w:rsidRPr="00DB0617">
        <w:t>(the “</w:t>
      </w:r>
      <w:r w:rsidRPr="005D3F46">
        <w:rPr>
          <w:b/>
          <w:bCs/>
        </w:rPr>
        <w:t>Combined Group</w:t>
      </w:r>
      <w:r w:rsidRPr="00DB0617">
        <w:t xml:space="preserve">”) business and the industry in which the </w:t>
      </w:r>
      <w:r w:rsidR="00A71BF6">
        <w:t>Combined Group</w:t>
      </w:r>
      <w:r w:rsidRPr="00DB0617">
        <w:t xml:space="preserve"> operate as well as on information which Freudenberg has received from Nilfisk (including with respect to forecasts prepared by Nilfisk’s management with respect to expected </w:t>
      </w:r>
      <w:r w:rsidR="00A71BF6">
        <w:t xml:space="preserve"> </w:t>
      </w:r>
      <w:r w:rsidRPr="00DB0617">
        <w:t xml:space="preserve">future financial and operating performance of Nilfisk) and/or which has been extracted from </w:t>
      </w:r>
      <w:r w:rsidR="00A71BF6">
        <w:t xml:space="preserve"> </w:t>
      </w:r>
      <w:r w:rsidRPr="00DB0617">
        <w:t xml:space="preserve">publications, reports and other documents prepared by Nilfisk and/or the Freudenberg Group </w:t>
      </w:r>
      <w:r w:rsidR="00A71BF6">
        <w:t xml:space="preserve"> </w:t>
      </w:r>
      <w:r w:rsidRPr="00DB0617">
        <w:t xml:space="preserve">and are not guarantees of future performance or development and involve known and unknown risks, uncertainties and other important factors beyond the Freudenberg Group’s, </w:t>
      </w:r>
      <w:r w:rsidR="00A71BF6">
        <w:t xml:space="preserve"> </w:t>
      </w:r>
      <w:r w:rsidRPr="00DB0617">
        <w:t xml:space="preserve">Nilfisk’s and/or the Combined Group’s control that could cause the Freudenberg Group’s, </w:t>
      </w:r>
      <w:r w:rsidR="00A71BF6">
        <w:t xml:space="preserve"> </w:t>
      </w:r>
      <w:r w:rsidRPr="00DB0617">
        <w:t xml:space="preserve">Nilfisk’s or the Combined Group’s actual results, performance or achievements to differ </w:t>
      </w:r>
      <w:r w:rsidR="00A71BF6">
        <w:t xml:space="preserve"> </w:t>
      </w:r>
      <w:r w:rsidRPr="00DB0617">
        <w:t xml:space="preserve">materially from any future results, performance or achievements expressed or implied by </w:t>
      </w:r>
      <w:r w:rsidR="00A71BF6">
        <w:t xml:space="preserve"> </w:t>
      </w:r>
      <w:r w:rsidRPr="00DB0617">
        <w:t>such forward-looking statements.</w:t>
      </w:r>
    </w:p>
    <w:p w14:paraId="38A5F84D" w14:textId="77777777" w:rsidR="00DB0617" w:rsidRDefault="00DB0617" w:rsidP="005E13EC"/>
    <w:p w14:paraId="1BE54EF4" w14:textId="2950F63A" w:rsidR="00DB0617" w:rsidRDefault="00DB0617" w:rsidP="005E13EC">
      <w:r w:rsidRPr="00DB0617">
        <w:t>Except as may be required by law or regulation, neither Freudenberg nor any of its advisors assume any obligation to update such forward-looking statements contained herein or to reflect any change in their respective expectations with regard thereto or any change in events, conditions or circumstances on which any such statement is based and to adapt them to future events or developments.</w:t>
      </w:r>
    </w:p>
    <w:p w14:paraId="31169268" w14:textId="77777777" w:rsidR="00DB0617" w:rsidRDefault="00DB0617" w:rsidP="005E13EC"/>
    <w:p w14:paraId="5D172CC4" w14:textId="77777777" w:rsidR="00DB0617" w:rsidRPr="005D3F46" w:rsidRDefault="00DB0617" w:rsidP="005E13EC">
      <w:pPr>
        <w:rPr>
          <w:b/>
          <w:bCs/>
        </w:rPr>
      </w:pPr>
      <w:r w:rsidRPr="005D3F46">
        <w:rPr>
          <w:b/>
          <w:bCs/>
        </w:rPr>
        <w:t xml:space="preserve">Restricted Jurisdictions </w:t>
      </w:r>
    </w:p>
    <w:p w14:paraId="366DF77D" w14:textId="7A972BF0" w:rsidR="00DB0617" w:rsidRDefault="00DB0617" w:rsidP="005E13EC">
      <w:r w:rsidRPr="00DB0617">
        <w:t xml:space="preserve">The Offer is not being made, and the Nilfisk shares will not be accepted for purchase from or on behalf of persons, in any jurisdiction in which the making or acceptance thereof would not </w:t>
      </w:r>
      <w:proofErr w:type="gramStart"/>
      <w:r w:rsidRPr="00DB0617">
        <w:t>be in compliance with</w:t>
      </w:r>
      <w:proofErr w:type="gramEnd"/>
      <w:r w:rsidRPr="00DB0617">
        <w:t xml:space="preserve"> the securities or other laws or regulations of such jurisdiction (the “</w:t>
      </w:r>
      <w:r w:rsidRPr="005D3F46">
        <w:rPr>
          <w:b/>
          <w:bCs/>
        </w:rPr>
        <w:t>Restricted Jurisdictions</w:t>
      </w:r>
      <w:r w:rsidRPr="00DB0617">
        <w:t>”). Persons obtaining this announcement and/or into whose possession this announcement comes are required to take due note and observe all such restrictions and obtain any necessary authorisations, approvals or consents. Neither Freudenberg nor any of its advisors accepts any liability for any violation by any person of any such restriction. Any person (including, without limitation, custodians, nominees and trustees) who intends to forward this announcement to any jurisdiction outside Denmark should inform themselves of the laws of the relevant jurisdiction, before taking any action. The distribution of this announcement in jurisdictions other than Denmark may be restricted by law, and, therefore, persons who come into possession of this announcement should inform themselves about and observe such restrictions. Any failure to comply with any such restrictions may constitute a violation of the securities laws and regulations of any such jurisdiction.</w:t>
      </w:r>
    </w:p>
    <w:p w14:paraId="729E7861" w14:textId="77777777" w:rsidR="00DB0617" w:rsidRDefault="00DB0617" w:rsidP="005E13EC"/>
    <w:p w14:paraId="74E126D8" w14:textId="416F9F6D" w:rsidR="00DB0617" w:rsidRPr="005D3F46" w:rsidRDefault="00DB0617" w:rsidP="005E13EC">
      <w:pPr>
        <w:rPr>
          <w:b/>
          <w:bCs/>
        </w:rPr>
      </w:pPr>
      <w:r w:rsidRPr="005D3F46">
        <w:rPr>
          <w:b/>
          <w:bCs/>
        </w:rPr>
        <w:t xml:space="preserve">Notice to Nilfisk’s </w:t>
      </w:r>
      <w:r w:rsidR="00075CC6">
        <w:rPr>
          <w:b/>
          <w:bCs/>
        </w:rPr>
        <w:t>s</w:t>
      </w:r>
      <w:r w:rsidRPr="005D3F46">
        <w:rPr>
          <w:b/>
          <w:bCs/>
        </w:rPr>
        <w:t xml:space="preserve">hareholders in the United States of America </w:t>
      </w:r>
    </w:p>
    <w:p w14:paraId="07CA0847" w14:textId="77777777" w:rsidR="00DB0617" w:rsidRDefault="00DB0617" w:rsidP="005E13EC">
      <w:r w:rsidRPr="00DB0617">
        <w:t>Shareholders in the United States of America (the “</w:t>
      </w:r>
      <w:r w:rsidRPr="005D3F46">
        <w:rPr>
          <w:b/>
          <w:bCs/>
        </w:rPr>
        <w:t>U.S.</w:t>
      </w:r>
      <w:r w:rsidRPr="00DB0617">
        <w:t>”) are advised that the shares are not listed on a U.S. securities exchange and that Nilfisk is not subject to the periodic reporting requirements of the U.S. Exchange Act, and is not required to, and does not, file any reports with the U.S. Securities and Exchange Commission (the “</w:t>
      </w:r>
      <w:r w:rsidRPr="005D3F46">
        <w:rPr>
          <w:b/>
          <w:bCs/>
        </w:rPr>
        <w:t>SEC</w:t>
      </w:r>
      <w:r w:rsidRPr="00DB0617">
        <w:t xml:space="preserve">”) thereunder. The Offer is being made to U.S. shareholders pursuant to Section 14(e) of, and Regulation 14E under the U.S. Exchange Act and on the same terms and conditions as those made to all other shareholders to whom an offer is made. Any information documents, including the offer document, will be disseminated to U.S. shareholders in English on a basis comparable to the method that such documents are provided to the other shareholders to whom an offer is made. </w:t>
      </w:r>
    </w:p>
    <w:p w14:paraId="704CBA23" w14:textId="77777777" w:rsidR="00DB0617" w:rsidRDefault="00DB0617" w:rsidP="005E13EC"/>
    <w:p w14:paraId="076D41B8" w14:textId="77777777" w:rsidR="005D3F46" w:rsidRDefault="00DB0617" w:rsidP="005E13EC">
      <w:r w:rsidRPr="00DB0617">
        <w:t>The Offer is being made by Freudenberg and no one else. The Offer is being made to U.S. shareholders under Tier I Exemption, and otherwise in accordance with the requirements of Danish law. Accordingly, the Offer is subject to disclosure and other procedural requirements, including with respect to withdrawal rights, the offer timetable, settlement</w:t>
      </w:r>
      <w:r>
        <w:t xml:space="preserve"> p</w:t>
      </w:r>
      <w:r w:rsidRPr="00DB0617">
        <w:t xml:space="preserve">rocedures, waiver of conditions and timing of payments, that are different from those that would be applicable under the U.S. tender offer rules. </w:t>
      </w:r>
    </w:p>
    <w:p w14:paraId="4A770CA8" w14:textId="77777777" w:rsidR="005D3F46" w:rsidRDefault="005D3F46" w:rsidP="005E13EC"/>
    <w:p w14:paraId="0D5DC603" w14:textId="2D6D8A3B" w:rsidR="00DB0617" w:rsidRDefault="00DB0617" w:rsidP="005E13EC">
      <w:r w:rsidRPr="00DB0617">
        <w:t xml:space="preserve">To the extent permitted by Danish law and practice and pursuant to Rule 14e-5(b) of the U.S. Exchange Act, Freudenberg and its affiliates or brokers (acting as agents for Freudenberg or its Affiliates, as applicable) may from time to time, and other than pursuant to the </w:t>
      </w:r>
      <w:r w:rsidRPr="00DB0617">
        <w:lastRenderedPageBreak/>
        <w:t>Offer, directly or indirectly, purchase or arrange to purchase, shares or any securities that are convertible into, exchangeable for or exercisable for such shares outside the U.S. during the period in which the Offer remains open for acceptance, so long as those acquisitions or arrangements comply with applicable Danish Law and practice. To the extent information about such purchases or arrangements to purchase is made public in Denmark, such information will be disclosed by means of an English language press release via an electronically operated information distribution system in the U.S. or other means reasonably calculated to inform U.S. shareholders of such information. In the ordinary course of business, the financial advisor to Freudenberg and its Affiliates may make or hold a broad array of investments including serving as counterparties to certain derivative and hedging arrangements and actively trade debt and equity financial instruments (or related derivative financial instruments) and other types of financial instruments (including bank loans) for their own account and for the accounts of their customers, and such investment and financial instrument activities may involve securities and/or instruments of Nilfisk.</w:t>
      </w:r>
    </w:p>
    <w:p w14:paraId="1EF2E30C" w14:textId="77777777" w:rsidR="00DB0617" w:rsidRDefault="00DB0617" w:rsidP="005E13EC"/>
    <w:p w14:paraId="7859A2D0" w14:textId="2A04B90D" w:rsidR="00075CC6" w:rsidRPr="005D3F46" w:rsidRDefault="00DB0617" w:rsidP="005E13EC">
      <w:pPr>
        <w:rPr>
          <w:b/>
          <w:bCs/>
        </w:rPr>
      </w:pPr>
      <w:r w:rsidRPr="005D3F46">
        <w:rPr>
          <w:b/>
          <w:bCs/>
        </w:rPr>
        <w:t xml:space="preserve">Notice to Nilfisk’s </w:t>
      </w:r>
      <w:r w:rsidR="00075CC6">
        <w:rPr>
          <w:b/>
          <w:bCs/>
        </w:rPr>
        <w:t>s</w:t>
      </w:r>
      <w:r w:rsidRPr="005D3F46">
        <w:rPr>
          <w:b/>
          <w:bCs/>
        </w:rPr>
        <w:t xml:space="preserve">hareholders in the United Kingdom </w:t>
      </w:r>
    </w:p>
    <w:p w14:paraId="1453A1DD" w14:textId="78C2427B" w:rsidR="00DB0617" w:rsidRDefault="00DB0617" w:rsidP="005E13EC">
      <w:r w:rsidRPr="00DB0617">
        <w:t>This communication and the Offer have not been approved by an authorised person for the purposes of section 21 of the Financial Services and Markets Act 2000 (as amended from time to time). It is directed only at “</w:t>
      </w:r>
      <w:r w:rsidRPr="005D3F46">
        <w:rPr>
          <w:b/>
          <w:bCs/>
        </w:rPr>
        <w:t>Relevant Persons</w:t>
      </w:r>
      <w:r w:rsidRPr="00DB0617">
        <w:t>”, being (i) persons in the United Kingdom (the “</w:t>
      </w:r>
      <w:r w:rsidRPr="005D3F46">
        <w:rPr>
          <w:b/>
          <w:bCs/>
        </w:rPr>
        <w:t>U.K.</w:t>
      </w:r>
      <w:r w:rsidRPr="00DB0617">
        <w:t xml:space="preserve">”) who are investment professionals within Article 19(5) of the Financial Services and Markets Act 2000 (Financial Promotion) Order 2005, (ii) persons falling within Article 49(2)(a) to (d) of the Financial Services and Markets Act 2000 (Financial Promotion) Order 2005 (high net worth companies, unincorporated associations, partnerships and trustees of high value trusts), (iii) persons outside the U.K., or (iv) other persons to whom it may lawfully be communicated under the Financial Services and Markets Act 2000 (Financial Promotion) Order 2005. Any investment or investment activity to which the Offer relates is available only to, and will be engaged in only with, Relevant Persons. Persons who are not Relevant Persons (including, but not limited to, the </w:t>
      </w:r>
      <w:proofErr w:type="gramStart"/>
      <w:r w:rsidRPr="00DB0617">
        <w:t>general public</w:t>
      </w:r>
      <w:proofErr w:type="gramEnd"/>
      <w:r w:rsidRPr="00DB0617">
        <w:t xml:space="preserve"> in the U.K.) must not act on or rely upon the Offer</w:t>
      </w:r>
      <w:r w:rsidR="00A14B68">
        <w:t>.</w:t>
      </w:r>
    </w:p>
    <w:p w14:paraId="1913AF42" w14:textId="77777777" w:rsidR="00DB0617" w:rsidRDefault="00DB0617" w:rsidP="005E13EC"/>
    <w:p w14:paraId="289075B1" w14:textId="77777777" w:rsidR="00F5778C" w:rsidRPr="00CA0877" w:rsidRDefault="00F5778C" w:rsidP="005E13EC"/>
    <w:sectPr w:rsidR="00F5778C" w:rsidRPr="00CA0877" w:rsidSect="007F1AD7">
      <w:headerReference w:type="default" r:id="rId17"/>
      <w:footerReference w:type="default" r:id="rId18"/>
      <w:headerReference w:type="first" r:id="rId19"/>
      <w:pgSz w:w="11906" w:h="16838" w:code="9"/>
      <w:pgMar w:top="2268" w:right="2552" w:bottom="1361" w:left="1304" w:header="425" w:footer="425" w:gutter="0"/>
      <w:paperSrc w:first="1" w:other="3"/>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30CD5" w14:textId="77777777" w:rsidR="00F93C1F" w:rsidRDefault="00F93C1F">
      <w:r>
        <w:separator/>
      </w:r>
    </w:p>
  </w:endnote>
  <w:endnote w:type="continuationSeparator" w:id="0">
    <w:p w14:paraId="3EECAC4B" w14:textId="77777777" w:rsidR="00F93C1F" w:rsidRDefault="00F93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36753" w14:textId="77777777" w:rsidR="00CA4D22" w:rsidRPr="00B56721" w:rsidRDefault="00CA4D22" w:rsidP="00B56721">
    <w:pPr>
      <w:pStyle w:val="Header"/>
      <w:jc w:val="right"/>
      <w:rPr>
        <w:sz w:val="12"/>
        <w:szCs w:val="12"/>
      </w:rPr>
    </w:pPr>
    <w:r w:rsidRPr="00B56721">
      <w:rPr>
        <w:sz w:val="12"/>
        <w:szCs w:val="12"/>
      </w:rPr>
      <w:t xml:space="preserve">Page </w:t>
    </w:r>
    <w:r w:rsidRPr="00B56721">
      <w:rPr>
        <w:sz w:val="12"/>
        <w:szCs w:val="12"/>
      </w:rPr>
      <w:fldChar w:fldCharType="begin"/>
    </w:r>
    <w:r w:rsidRPr="00B56721">
      <w:rPr>
        <w:sz w:val="12"/>
        <w:szCs w:val="12"/>
      </w:rPr>
      <w:instrText xml:space="preserve"> PAGE </w:instrText>
    </w:r>
    <w:r w:rsidRPr="00B56721">
      <w:rPr>
        <w:sz w:val="12"/>
        <w:szCs w:val="12"/>
      </w:rPr>
      <w:fldChar w:fldCharType="separate"/>
    </w:r>
    <w:r w:rsidR="007035B6">
      <w:rPr>
        <w:sz w:val="12"/>
        <w:szCs w:val="12"/>
      </w:rPr>
      <w:t>3</w:t>
    </w:r>
    <w:r w:rsidRPr="00B56721">
      <w:rPr>
        <w:sz w:val="12"/>
        <w:szCs w:val="12"/>
      </w:rPr>
      <w:fldChar w:fldCharType="end"/>
    </w:r>
    <w:r w:rsidRPr="00B56721">
      <w:rPr>
        <w:sz w:val="12"/>
        <w:szCs w:val="12"/>
      </w:rPr>
      <w:t xml:space="preserve"> of </w:t>
    </w:r>
    <w:r w:rsidRPr="00B56721">
      <w:rPr>
        <w:sz w:val="12"/>
        <w:szCs w:val="12"/>
      </w:rPr>
      <w:fldChar w:fldCharType="begin"/>
    </w:r>
    <w:r w:rsidRPr="00B56721">
      <w:rPr>
        <w:sz w:val="12"/>
        <w:szCs w:val="12"/>
      </w:rPr>
      <w:instrText xml:space="preserve"> NUMPAGES </w:instrText>
    </w:r>
    <w:r w:rsidRPr="00B56721">
      <w:rPr>
        <w:sz w:val="12"/>
        <w:szCs w:val="12"/>
      </w:rPr>
      <w:fldChar w:fldCharType="separate"/>
    </w:r>
    <w:r w:rsidR="007035B6">
      <w:rPr>
        <w:sz w:val="12"/>
        <w:szCs w:val="12"/>
      </w:rPr>
      <w:t>3</w:t>
    </w:r>
    <w:r w:rsidRPr="00B56721">
      <w:rPr>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8ADEF" w14:textId="77777777" w:rsidR="00F93C1F" w:rsidRDefault="00F93C1F">
      <w:r>
        <w:separator/>
      </w:r>
    </w:p>
  </w:footnote>
  <w:footnote w:type="continuationSeparator" w:id="0">
    <w:p w14:paraId="606E2BF1" w14:textId="77777777" w:rsidR="00F93C1F" w:rsidRDefault="00F93C1F">
      <w:r>
        <w:continuationSeparator/>
      </w:r>
    </w:p>
  </w:footnote>
  <w:footnote w:id="1">
    <w:p w14:paraId="3D5D3D16" w14:textId="3BA4B206" w:rsidR="000D79B1" w:rsidRPr="000D79B1" w:rsidRDefault="000D79B1">
      <w:pPr>
        <w:pStyle w:val="FootnoteText"/>
      </w:pPr>
      <w:r w:rsidRPr="000D79B1">
        <w:rPr>
          <w:rStyle w:val="FootnoteReference"/>
        </w:rPr>
        <w:footnoteRef/>
      </w:r>
      <w:r w:rsidRPr="000D79B1">
        <w:t xml:space="preserve"> </w:t>
      </w:r>
      <w:r w:rsidRPr="005D3F46">
        <w:t xml:space="preserve">Exclusive of Nilfisk’s holding of 243 treasury shares as of </w:t>
      </w:r>
      <w:r w:rsidR="00861234">
        <w:t>7 January 2026.</w:t>
      </w:r>
    </w:p>
  </w:footnote>
  <w:footnote w:id="2">
    <w:p w14:paraId="47F25BBF" w14:textId="60148E5A" w:rsidR="000D79B1" w:rsidRPr="000D79B1" w:rsidRDefault="000D79B1">
      <w:pPr>
        <w:pStyle w:val="FootnoteText"/>
      </w:pPr>
      <w:r w:rsidRPr="000D79B1">
        <w:rPr>
          <w:rStyle w:val="FootnoteReference"/>
        </w:rPr>
        <w:footnoteRef/>
      </w:r>
      <w:r w:rsidRPr="000D79B1">
        <w:t xml:space="preserve"> </w:t>
      </w:r>
      <w:r>
        <w:t>Exchange rate of 7.46944809 as of 10 December 2025.</w:t>
      </w:r>
    </w:p>
  </w:footnote>
  <w:footnote w:id="3">
    <w:p w14:paraId="68986FE0" w14:textId="25B617B8" w:rsidR="00BB2FEC" w:rsidRPr="00BB2FEC" w:rsidRDefault="00BB2FEC">
      <w:pPr>
        <w:pStyle w:val="FootnoteText"/>
      </w:pPr>
      <w:r>
        <w:rPr>
          <w:rStyle w:val="FootnoteReference"/>
        </w:rPr>
        <w:footnoteRef/>
      </w:r>
      <w:r>
        <w:t xml:space="preserve"> </w:t>
      </w:r>
      <w:r w:rsidRPr="005D3F46">
        <w:t xml:space="preserve">Payment to </w:t>
      </w:r>
      <w:r w:rsidR="00270DEF">
        <w:t>s</w:t>
      </w:r>
      <w:r w:rsidRPr="005D3F46">
        <w:t>hareholders who do not have a Danish bank account may take longer.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696E0" w14:textId="62C3D331" w:rsidR="00C54518" w:rsidRPr="009A3140" w:rsidRDefault="00C54518" w:rsidP="00C54518">
    <w:pPr>
      <w:pStyle w:val="Header"/>
      <w:rPr>
        <w:rFonts w:ascii="Arial" w:hAnsi="Arial" w:cs="Arial"/>
        <w:color w:val="2C806F"/>
        <w:lang w:val="en-US"/>
      </w:rPr>
    </w:pPr>
    <w:bookmarkStart w:id="3" w:name="_Hlk51693551"/>
    <w:bookmarkStart w:id="4" w:name="_Hlk51693552"/>
    <w:bookmarkStart w:id="5" w:name="_Hlk51693553"/>
    <w:bookmarkStart w:id="6" w:name="_Hlk51693554"/>
    <w:bookmarkStart w:id="7" w:name="_Hlk51693555"/>
    <w:bookmarkStart w:id="8" w:name="_Hlk51693556"/>
    <w:bookmarkStart w:id="9" w:name="_Hlk51693557"/>
    <w:bookmarkStart w:id="10" w:name="_Hlk51693558"/>
    <w:bookmarkStart w:id="11" w:name="_Hlk51693559"/>
    <w:bookmarkStart w:id="12" w:name="_Hlk51693560"/>
    <w:bookmarkStart w:id="13" w:name="_Hlk51693561"/>
    <w:bookmarkStart w:id="14" w:name="_Hlk51693562"/>
    <w:bookmarkStart w:id="15" w:name="_Hlk51693563"/>
    <w:bookmarkStart w:id="16" w:name="_Hlk51693564"/>
    <w:bookmarkStart w:id="17" w:name="_Hlk51693565"/>
    <w:bookmarkStart w:id="18" w:name="_Hlk51693566"/>
    <w:bookmarkStart w:id="19" w:name="_Hlk51693567"/>
    <w:bookmarkStart w:id="20" w:name="_Hlk51693568"/>
    <w:bookmarkStart w:id="21" w:name="_Hlk51693569"/>
    <w:bookmarkStart w:id="22" w:name="_Hlk51693570"/>
    <w:bookmarkStart w:id="23" w:name="_Hlk51693571"/>
    <w:bookmarkStart w:id="24" w:name="_Hlk51693572"/>
    <w:bookmarkStart w:id="25" w:name="_Hlk51693573"/>
    <w:bookmarkStart w:id="26" w:name="_Hlk51693574"/>
    <w:bookmarkStart w:id="27" w:name="_Hlk51693615"/>
    <w:bookmarkStart w:id="28" w:name="_Hlk51693616"/>
    <w:bookmarkStart w:id="29" w:name="_Hlk51693617"/>
    <w:bookmarkStart w:id="30" w:name="_Hlk51693618"/>
    <w:bookmarkStart w:id="31" w:name="_Hlk51693625"/>
    <w:bookmarkStart w:id="32" w:name="_Hlk51693626"/>
    <w:bookmarkStart w:id="33" w:name="_Hlk51693627"/>
    <w:bookmarkStart w:id="34" w:name="_Hlk51693628"/>
    <w:bookmarkStart w:id="35" w:name="_Hlk51693629"/>
    <w:bookmarkStart w:id="36" w:name="_Hlk51693630"/>
    <w:bookmarkStart w:id="37" w:name="_Hlk51693647"/>
    <w:bookmarkStart w:id="38" w:name="_Hlk51693648"/>
    <w:bookmarkStart w:id="39" w:name="_Hlk51693650"/>
    <w:bookmarkStart w:id="40" w:name="_Hlk51693651"/>
    <w:bookmarkStart w:id="41" w:name="_Hlk51693666"/>
    <w:bookmarkStart w:id="42" w:name="_Hlk51693667"/>
    <w:bookmarkStart w:id="43" w:name="_Hlk51693716"/>
    <w:bookmarkStart w:id="44" w:name="_Hlk51693717"/>
    <w:bookmarkStart w:id="45" w:name="_Hlk51693718"/>
    <w:bookmarkStart w:id="46" w:name="_Hlk51693719"/>
    <w:bookmarkStart w:id="47" w:name="_Hlk51693783"/>
    <w:bookmarkStart w:id="48" w:name="_Hlk51693784"/>
    <w:bookmarkStart w:id="49" w:name="_Hlk51851976"/>
    <w:bookmarkStart w:id="50" w:name="_Hlk51851977"/>
    <w:bookmarkStart w:id="51" w:name="_Hlk51851992"/>
    <w:bookmarkStart w:id="52" w:name="_Hlk51851993"/>
    <w:bookmarkStart w:id="53" w:name="_Hlk51852027"/>
    <w:bookmarkStart w:id="54" w:name="_Hlk51852028"/>
    <w:bookmarkStart w:id="55" w:name="_Hlk51852031"/>
    <w:bookmarkStart w:id="56" w:name="_Hlk51852032"/>
    <w:bookmarkStart w:id="57" w:name="_Hlk51852035"/>
    <w:bookmarkStart w:id="58" w:name="_Hlk51852036"/>
    <w:bookmarkStart w:id="59" w:name="_Hlk51852039"/>
    <w:bookmarkStart w:id="60" w:name="_Hlk51852040"/>
    <w:bookmarkStart w:id="61" w:name="_Hlk51852043"/>
    <w:bookmarkStart w:id="62" w:name="_Hlk51852044"/>
    <w:bookmarkStart w:id="63" w:name="_Hlk51852122"/>
    <w:bookmarkStart w:id="64" w:name="_Hlk51852123"/>
    <w:bookmarkStart w:id="65" w:name="_Hlk51852126"/>
    <w:bookmarkStart w:id="66" w:name="_Hlk51852127"/>
    <w:bookmarkStart w:id="67" w:name="_Hlk51852130"/>
    <w:bookmarkStart w:id="68" w:name="_Hlk51852131"/>
    <w:bookmarkStart w:id="69" w:name="_Hlk51852170"/>
    <w:bookmarkStart w:id="70" w:name="_Hlk51852171"/>
    <w:bookmarkStart w:id="71" w:name="_Hlk51852278"/>
    <w:bookmarkStart w:id="72" w:name="_Hlk51852279"/>
    <w:bookmarkStart w:id="73" w:name="_Hlk51852282"/>
    <w:bookmarkStart w:id="74" w:name="_Hlk51852283"/>
    <w:bookmarkStart w:id="75" w:name="_Hlk51852286"/>
    <w:bookmarkStart w:id="76" w:name="_Hlk51852287"/>
  </w:p>
  <w:p w14:paraId="7C46F413" w14:textId="77777777" w:rsidR="00C54518" w:rsidRDefault="00C54518" w:rsidP="00C54518">
    <w:pPr>
      <w:pStyle w:val="Header"/>
      <w:jc w:val="right"/>
      <w:rPr>
        <w:rFonts w:ascii="Poppins" w:hAnsi="Poppins" w:cs="Poppins"/>
        <w:i/>
        <w:iCs/>
        <w:color w:val="2C806F"/>
        <w:sz w:val="15"/>
        <w:szCs w:val="15"/>
        <w:lang w:val="en-US"/>
      </w:rPr>
    </w:pPr>
  </w:p>
  <w:p w14:paraId="490E81E6" w14:textId="77777777" w:rsidR="00C54518" w:rsidRPr="00710AFD" w:rsidRDefault="00C54518" w:rsidP="00C54518">
    <w:pPr>
      <w:pStyle w:val="Header"/>
      <w:jc w:val="right"/>
      <w:rPr>
        <w:rFonts w:ascii="Poppins" w:hAnsi="Poppins" w:cs="Poppins"/>
        <w:i/>
        <w:iCs/>
        <w:color w:val="2C806F"/>
        <w:sz w:val="15"/>
        <w:szCs w:val="15"/>
        <w:lang w:val="en-US"/>
      </w:rPr>
    </w:pPr>
  </w:p>
  <w:p w14:paraId="7543BB3E" w14:textId="470F13F9" w:rsidR="00990933" w:rsidRDefault="00990933" w:rsidP="00990933">
    <w:pPr>
      <w:pStyle w:val="Header"/>
    </w:pPr>
  </w:p>
  <w:p w14:paraId="42734005" w14:textId="77777777" w:rsidR="00990933" w:rsidRDefault="00990933" w:rsidP="00990933">
    <w:pPr>
      <w:pStyle w:val="Header"/>
    </w:pPr>
  </w:p>
  <w:p w14:paraId="5A6BDB74" w14:textId="77777777" w:rsidR="00990933" w:rsidRDefault="00990933" w:rsidP="00990933">
    <w:pPr>
      <w:pStyle w:val="Header"/>
    </w:pPr>
  </w:p>
  <w:p w14:paraId="76CED099" w14:textId="77777777" w:rsidR="00990933" w:rsidRDefault="00990933" w:rsidP="00990933">
    <w:pPr>
      <w:pStyle w:val="Header"/>
    </w:pPr>
    <w:bookmarkStart w:id="77" w:name="Udkast2"/>
    <w:bookmarkEnd w:id="77"/>
    <w:r>
      <w:t xml:space="preserve"> </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p w14:paraId="77256727" w14:textId="77777777" w:rsidR="00CA4D22" w:rsidRPr="00990933" w:rsidRDefault="00CA4D22" w:rsidP="009909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54394" w14:textId="77777777" w:rsidR="00C54518" w:rsidRDefault="00C54518" w:rsidP="00C54518">
    <w:pPr>
      <w:pStyle w:val="Header"/>
      <w:jc w:val="right"/>
      <w:rPr>
        <w:rFonts w:ascii="Poppins" w:hAnsi="Poppins" w:cs="Poppins"/>
        <w:i/>
        <w:iCs/>
        <w:color w:val="2C806F"/>
        <w:sz w:val="15"/>
        <w:szCs w:val="15"/>
        <w:lang w:val="en-US"/>
      </w:rPr>
    </w:pPr>
    <w:bookmarkStart w:id="78" w:name="_Hlk51693781"/>
    <w:bookmarkStart w:id="79" w:name="_Hlk51693782"/>
    <w:bookmarkStart w:id="80" w:name="_Hlk51693815"/>
    <w:bookmarkStart w:id="81" w:name="_Hlk51693816"/>
    <w:bookmarkStart w:id="82" w:name="_Hlk51693817"/>
    <w:bookmarkStart w:id="83" w:name="_Hlk51693818"/>
    <w:bookmarkStart w:id="84" w:name="_Hlk51693823"/>
    <w:bookmarkStart w:id="85" w:name="_Hlk51693824"/>
    <w:bookmarkStart w:id="86" w:name="_Hlk51693825"/>
    <w:bookmarkStart w:id="87" w:name="_Hlk51693826"/>
    <w:bookmarkStart w:id="88" w:name="_Hlk51693827"/>
    <w:bookmarkStart w:id="89" w:name="_Hlk51693828"/>
    <w:bookmarkStart w:id="90" w:name="_Hlk51693829"/>
    <w:bookmarkStart w:id="91" w:name="_Hlk51693830"/>
    <w:bookmarkStart w:id="92" w:name="_Hlk51693831"/>
    <w:bookmarkStart w:id="93" w:name="_Hlk51693832"/>
    <w:bookmarkStart w:id="94" w:name="_Hlk51693833"/>
    <w:bookmarkStart w:id="95" w:name="_Hlk51693834"/>
    <w:bookmarkStart w:id="96" w:name="_Hlk51693835"/>
    <w:bookmarkStart w:id="97" w:name="_Hlk51693836"/>
    <w:bookmarkStart w:id="98" w:name="_Hlk51693837"/>
    <w:bookmarkStart w:id="99" w:name="_Hlk51693838"/>
    <w:bookmarkStart w:id="100" w:name="_Hlk51693839"/>
    <w:bookmarkStart w:id="101" w:name="_Hlk51693840"/>
    <w:bookmarkStart w:id="102" w:name="_Hlk51693841"/>
    <w:bookmarkStart w:id="103" w:name="_Hlk51693842"/>
    <w:bookmarkStart w:id="104" w:name="_Hlk51851974"/>
    <w:bookmarkStart w:id="105" w:name="_Hlk51851975"/>
    <w:bookmarkStart w:id="106" w:name="_Hlk51851990"/>
    <w:bookmarkStart w:id="107" w:name="_Hlk51851991"/>
    <w:bookmarkStart w:id="108" w:name="_Hlk51852025"/>
    <w:bookmarkStart w:id="109" w:name="_Hlk51852026"/>
    <w:bookmarkStart w:id="110" w:name="_Hlk51852029"/>
    <w:bookmarkStart w:id="111" w:name="_Hlk51852030"/>
    <w:bookmarkStart w:id="112" w:name="_Hlk51852033"/>
    <w:bookmarkStart w:id="113" w:name="_Hlk51852034"/>
    <w:bookmarkStart w:id="114" w:name="_Hlk51852037"/>
    <w:bookmarkStart w:id="115" w:name="_Hlk51852038"/>
    <w:bookmarkStart w:id="116" w:name="_Hlk51852041"/>
    <w:bookmarkStart w:id="117" w:name="_Hlk51852042"/>
    <w:bookmarkStart w:id="118" w:name="_Hlk51852120"/>
    <w:bookmarkStart w:id="119" w:name="_Hlk51852121"/>
    <w:bookmarkStart w:id="120" w:name="_Hlk51852124"/>
    <w:bookmarkStart w:id="121" w:name="_Hlk51852125"/>
    <w:bookmarkStart w:id="122" w:name="_Hlk51852128"/>
    <w:bookmarkStart w:id="123" w:name="_Hlk51852129"/>
    <w:bookmarkStart w:id="124" w:name="_Hlk51852140"/>
    <w:bookmarkStart w:id="125" w:name="_Hlk51852141"/>
    <w:bookmarkStart w:id="126" w:name="_Hlk51852276"/>
    <w:bookmarkStart w:id="127" w:name="_Hlk51852277"/>
    <w:bookmarkStart w:id="128" w:name="_Hlk51852280"/>
    <w:bookmarkStart w:id="129" w:name="_Hlk51852281"/>
    <w:bookmarkStart w:id="130" w:name="_Hlk51852284"/>
    <w:bookmarkStart w:id="131" w:name="_Hlk51852285"/>
  </w:p>
  <w:p w14:paraId="2FDE3A91" w14:textId="77777777" w:rsidR="00C54518" w:rsidRPr="00710AFD" w:rsidRDefault="00C54518" w:rsidP="00C54518">
    <w:pPr>
      <w:pStyle w:val="Header"/>
      <w:jc w:val="right"/>
      <w:rPr>
        <w:rFonts w:ascii="Poppins" w:hAnsi="Poppins" w:cs="Poppins"/>
        <w:i/>
        <w:iCs/>
        <w:color w:val="2C806F"/>
        <w:sz w:val="15"/>
        <w:szCs w:val="15"/>
        <w:lang w:val="en-US"/>
      </w:rPr>
    </w:pPr>
  </w:p>
  <w:p w14:paraId="69F55CB4" w14:textId="59E82812" w:rsidR="00990933" w:rsidRDefault="00990933" w:rsidP="00990933">
    <w:pPr>
      <w:pStyle w:val="Header"/>
    </w:pPr>
    <w:r>
      <mc:AlternateContent>
        <mc:Choice Requires="wps">
          <w:drawing>
            <wp:anchor distT="0" distB="0" distL="114300" distR="114300" simplePos="0" relativeHeight="251658240" behindDoc="0" locked="0" layoutInCell="1" allowOverlap="1" wp14:anchorId="4C245AEB" wp14:editId="3A562683">
              <wp:simplePos x="0" y="0"/>
              <wp:positionH relativeFrom="page">
                <wp:posOffset>5939790</wp:posOffset>
              </wp:positionH>
              <wp:positionV relativeFrom="page">
                <wp:posOffset>300990</wp:posOffset>
              </wp:positionV>
              <wp:extent cx="1282700" cy="1295400"/>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2700" cy="1295400"/>
                      </a:xfrm>
                      <a:prstGeom prst="rect">
                        <a:avLst/>
                      </a:prstGeom>
                      <a:noFill/>
                      <a:ln w="6350">
                        <a:noFill/>
                      </a:ln>
                    </wps:spPr>
                    <wps:txbx>
                      <w:txbxContent>
                        <w:p w14:paraId="79328B5D" w14:textId="102719A2" w:rsidR="00990933" w:rsidRPr="00ED3B6D" w:rsidRDefault="00990933" w:rsidP="00990933">
                          <w:pPr>
                            <w:tabs>
                              <w:tab w:val="clear" w:pos="851"/>
                              <w:tab w:val="left" w:pos="426"/>
                            </w:tabs>
                            <w:spacing w:line="170" w:lineRule="exact"/>
                            <w:rPr>
                              <w:sz w:val="13"/>
                              <w:szCs w:val="1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245AEB" id="_x0000_t202" coordsize="21600,21600" o:spt="202" path="m,l,21600r21600,l21600,xe">
              <v:stroke joinstyle="miter"/>
              <v:path gradientshapeok="t" o:connecttype="rect"/>
            </v:shapetype>
            <v:shape id="Text Box 4" o:spid="_x0000_s1026" type="#_x0000_t202" style="position:absolute;left:0;text-align:left;margin-left:467.7pt;margin-top:23.7pt;width:101pt;height:102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" filled="f" stroked="f" strokeweight=".5pt">
              <v:textbox>
                <w:txbxContent>
                  <w:p w14:paraId="79328B5D" w14:textId="102719A2" w:rsidR="00990933" w:rsidRPr="00ED3B6D" w:rsidRDefault="00990933" w:rsidP="00990933">
                    <w:pPr>
                      <w:tabs>
                        <w:tab w:val="clear" w:pos="851"/>
                        <w:tab w:val="left" w:pos="426"/>
                      </w:tabs>
                      <w:spacing w:line="170" w:lineRule="exact"/>
                      <w:rPr>
                        <w:sz w:val="13"/>
                        <w:szCs w:val="13"/>
                      </w:rPr>
                    </w:pPr>
                  </w:p>
                </w:txbxContent>
              </v:textbox>
              <w10:wrap anchorx="page" anchory="page"/>
            </v:shape>
          </w:pict>
        </mc:Fallback>
      </mc:AlternateConten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p w14:paraId="04F2618D" w14:textId="0EF3D9C9" w:rsidR="00D962CA" w:rsidRPr="00990933" w:rsidRDefault="00D962CA" w:rsidP="009909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B78C9D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04C1F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E5AD13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A40A6A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C08DF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A1A82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D94E9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96CA1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3CB09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20E5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1">
    <w:nsid w:val="FFFFFFFB"/>
    <w:multiLevelType w:val="multilevel"/>
    <w:tmpl w:val="A2C875CE"/>
    <w:lvl w:ilvl="0">
      <w:start w:val="1"/>
      <w:numFmt w:val="none"/>
      <w:suff w:val="nothing"/>
      <w:lvlText w:val=""/>
      <w:lvlJc w:val="left"/>
      <w:pPr>
        <w:ind w:left="0" w:firstLine="0"/>
      </w:pPr>
      <w:rPr>
        <w:rFonts w:hint="default"/>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decimal"/>
      <w:pStyle w:val="Heading5"/>
      <w:lvlText w:val="%5."/>
      <w:lvlJc w:val="left"/>
      <w:pPr>
        <w:tabs>
          <w:tab w:val="num" w:pos="851"/>
        </w:tabs>
        <w:ind w:left="851" w:hanging="851"/>
      </w:pPr>
      <w:rPr>
        <w:rFonts w:hint="default"/>
      </w:rPr>
    </w:lvl>
    <w:lvl w:ilvl="5">
      <w:start w:val="1"/>
      <w:numFmt w:val="decimal"/>
      <w:pStyle w:val="Heading6"/>
      <w:lvlText w:val="%5.%6"/>
      <w:lvlJc w:val="left"/>
      <w:pPr>
        <w:tabs>
          <w:tab w:val="num" w:pos="851"/>
        </w:tabs>
        <w:ind w:left="851" w:hanging="851"/>
      </w:pPr>
      <w:rPr>
        <w:rFonts w:hint="default"/>
      </w:rPr>
    </w:lvl>
    <w:lvl w:ilvl="6">
      <w:start w:val="1"/>
      <w:numFmt w:val="decimal"/>
      <w:pStyle w:val="Heading7"/>
      <w:lvlText w:val="%5.%6.%7"/>
      <w:lvlJc w:val="left"/>
      <w:pPr>
        <w:tabs>
          <w:tab w:val="num" w:pos="851"/>
        </w:tabs>
        <w:ind w:left="851" w:hanging="851"/>
      </w:pPr>
      <w:rPr>
        <w:rFonts w:hint="default"/>
      </w:rPr>
    </w:lvl>
    <w:lvl w:ilvl="7">
      <w:start w:val="1"/>
      <w:numFmt w:val="decimal"/>
      <w:pStyle w:val="Heading8"/>
      <w:lvlText w:val="%5.%6.%7.%8"/>
      <w:lvlJc w:val="left"/>
      <w:pPr>
        <w:tabs>
          <w:tab w:val="num" w:pos="851"/>
        </w:tabs>
        <w:ind w:left="851" w:hanging="851"/>
      </w:pPr>
      <w:rPr>
        <w:rFonts w:hint="default"/>
      </w:rPr>
    </w:lvl>
    <w:lvl w:ilvl="8">
      <w:start w:val="1"/>
      <w:numFmt w:val="decimal"/>
      <w:pStyle w:val="Heading9"/>
      <w:lvlText w:val="%5.%6.%7.%8.%9"/>
      <w:lvlJc w:val="left"/>
      <w:pPr>
        <w:tabs>
          <w:tab w:val="num" w:pos="851"/>
        </w:tabs>
        <w:ind w:left="851" w:hanging="851"/>
      </w:pPr>
      <w:rPr>
        <w:rFonts w:hint="default"/>
      </w:rPr>
    </w:lvl>
  </w:abstractNum>
  <w:abstractNum w:abstractNumId="11" w15:restartNumberingAfterBreak="0">
    <w:nsid w:val="00137AF0"/>
    <w:multiLevelType w:val="hybridMultilevel"/>
    <w:tmpl w:val="187818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251796A"/>
    <w:multiLevelType w:val="singleLevel"/>
    <w:tmpl w:val="9482DAD0"/>
    <w:lvl w:ilvl="0">
      <w:start w:val="1"/>
      <w:numFmt w:val="lowerLetter"/>
      <w:pStyle w:val="Opstilmbogstav"/>
      <w:lvlText w:val="%1)"/>
      <w:legacy w:legacy="1" w:legacySpace="0" w:legacyIndent="567"/>
      <w:lvlJc w:val="left"/>
      <w:pPr>
        <w:ind w:left="567" w:hanging="567"/>
      </w:pPr>
    </w:lvl>
  </w:abstractNum>
  <w:abstractNum w:abstractNumId="13" w15:restartNumberingAfterBreak="0">
    <w:nsid w:val="04E45031"/>
    <w:multiLevelType w:val="hybridMultilevel"/>
    <w:tmpl w:val="5066AE9A"/>
    <w:lvl w:ilvl="0" w:tplc="B50AECD6">
      <w:start w:val="1"/>
      <w:numFmt w:val="decimal"/>
      <w:lvlText w:val="%1."/>
      <w:lvlJc w:val="left"/>
      <w:pPr>
        <w:ind w:left="851" w:hanging="851"/>
      </w:pPr>
      <w:rPr>
        <w:rFonts w:hint="default"/>
        <w:b/>
        <w:bCs/>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08752F3C"/>
    <w:multiLevelType w:val="multilevel"/>
    <w:tmpl w:val="0406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0A946F61"/>
    <w:multiLevelType w:val="multilevel"/>
    <w:tmpl w:val="0406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0E410011"/>
    <w:multiLevelType w:val="singleLevel"/>
    <w:tmpl w:val="A9EA293E"/>
    <w:lvl w:ilvl="0">
      <w:start w:val="1"/>
      <w:numFmt w:val="decimal"/>
      <w:lvlText w:val="%1."/>
      <w:lvlJc w:val="left"/>
      <w:pPr>
        <w:tabs>
          <w:tab w:val="num" w:pos="567"/>
        </w:tabs>
        <w:ind w:left="567" w:hanging="567"/>
      </w:pPr>
    </w:lvl>
  </w:abstractNum>
  <w:abstractNum w:abstractNumId="17" w15:restartNumberingAfterBreak="0">
    <w:nsid w:val="0E5C2040"/>
    <w:multiLevelType w:val="hybridMultilevel"/>
    <w:tmpl w:val="A6A804BC"/>
    <w:lvl w:ilvl="0" w:tplc="35264C3A">
      <w:start w:val="1"/>
      <w:numFmt w:val="decimal"/>
      <w:pStyle w:val="Heading2"/>
      <w:lvlText w:val="1.%1."/>
      <w:lvlJc w:val="left"/>
      <w:pPr>
        <w:ind w:left="1571" w:hanging="360"/>
      </w:pPr>
      <w:rPr>
        <w:rFonts w:hint="default"/>
      </w:rPr>
    </w:lvl>
    <w:lvl w:ilvl="1" w:tplc="04060019" w:tentative="1">
      <w:start w:val="1"/>
      <w:numFmt w:val="lowerLetter"/>
      <w:lvlText w:val="%2."/>
      <w:lvlJc w:val="left"/>
      <w:pPr>
        <w:ind w:left="2291" w:hanging="360"/>
      </w:pPr>
    </w:lvl>
    <w:lvl w:ilvl="2" w:tplc="0406001B" w:tentative="1">
      <w:start w:val="1"/>
      <w:numFmt w:val="lowerRoman"/>
      <w:lvlText w:val="%3."/>
      <w:lvlJc w:val="right"/>
      <w:pPr>
        <w:ind w:left="3011" w:hanging="180"/>
      </w:pPr>
    </w:lvl>
    <w:lvl w:ilvl="3" w:tplc="0406000F" w:tentative="1">
      <w:start w:val="1"/>
      <w:numFmt w:val="decimal"/>
      <w:lvlText w:val="%4."/>
      <w:lvlJc w:val="left"/>
      <w:pPr>
        <w:ind w:left="3731" w:hanging="360"/>
      </w:pPr>
    </w:lvl>
    <w:lvl w:ilvl="4" w:tplc="04060019" w:tentative="1">
      <w:start w:val="1"/>
      <w:numFmt w:val="lowerLetter"/>
      <w:lvlText w:val="%5."/>
      <w:lvlJc w:val="left"/>
      <w:pPr>
        <w:ind w:left="4451" w:hanging="360"/>
      </w:pPr>
    </w:lvl>
    <w:lvl w:ilvl="5" w:tplc="0406001B" w:tentative="1">
      <w:start w:val="1"/>
      <w:numFmt w:val="lowerRoman"/>
      <w:lvlText w:val="%6."/>
      <w:lvlJc w:val="right"/>
      <w:pPr>
        <w:ind w:left="5171" w:hanging="180"/>
      </w:pPr>
    </w:lvl>
    <w:lvl w:ilvl="6" w:tplc="0406000F" w:tentative="1">
      <w:start w:val="1"/>
      <w:numFmt w:val="decimal"/>
      <w:lvlText w:val="%7."/>
      <w:lvlJc w:val="left"/>
      <w:pPr>
        <w:ind w:left="5891" w:hanging="360"/>
      </w:pPr>
    </w:lvl>
    <w:lvl w:ilvl="7" w:tplc="04060019" w:tentative="1">
      <w:start w:val="1"/>
      <w:numFmt w:val="lowerLetter"/>
      <w:lvlText w:val="%8."/>
      <w:lvlJc w:val="left"/>
      <w:pPr>
        <w:ind w:left="6611" w:hanging="360"/>
      </w:pPr>
    </w:lvl>
    <w:lvl w:ilvl="8" w:tplc="0406001B" w:tentative="1">
      <w:start w:val="1"/>
      <w:numFmt w:val="lowerRoman"/>
      <w:lvlText w:val="%9."/>
      <w:lvlJc w:val="right"/>
      <w:pPr>
        <w:ind w:left="7331" w:hanging="180"/>
      </w:pPr>
    </w:lvl>
  </w:abstractNum>
  <w:abstractNum w:abstractNumId="18" w15:restartNumberingAfterBreak="0">
    <w:nsid w:val="1BC51770"/>
    <w:multiLevelType w:val="hybridMultilevel"/>
    <w:tmpl w:val="B0E2790E"/>
    <w:lvl w:ilvl="0" w:tplc="16AE76CA">
      <w:start w:val="1"/>
      <w:numFmt w:val="bullet"/>
      <w:pStyle w:val="Opstilmedprikmfyld"/>
      <w:lvlText w:val=""/>
      <w:lvlJc w:val="left"/>
      <w:pPr>
        <w:tabs>
          <w:tab w:val="num" w:pos="851"/>
        </w:tabs>
        <w:ind w:left="851" w:hanging="85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10E3EC7"/>
    <w:multiLevelType w:val="singleLevel"/>
    <w:tmpl w:val="4442172C"/>
    <w:lvl w:ilvl="0">
      <w:start w:val="1"/>
      <w:numFmt w:val="decimal"/>
      <w:pStyle w:val="Opstilmtal"/>
      <w:lvlText w:val="%1."/>
      <w:legacy w:legacy="1" w:legacySpace="0" w:legacyIndent="567"/>
      <w:lvlJc w:val="left"/>
      <w:pPr>
        <w:ind w:left="567" w:hanging="567"/>
      </w:pPr>
    </w:lvl>
  </w:abstractNum>
  <w:abstractNum w:abstractNumId="20" w15:restartNumberingAfterBreak="0">
    <w:nsid w:val="236E7963"/>
    <w:multiLevelType w:val="singleLevel"/>
    <w:tmpl w:val="FEACBB4E"/>
    <w:lvl w:ilvl="0">
      <w:start w:val="1"/>
      <w:numFmt w:val="lowerLetter"/>
      <w:lvlText w:val="%1)"/>
      <w:legacy w:legacy="1" w:legacySpace="0" w:legacyIndent="567"/>
      <w:lvlJc w:val="left"/>
      <w:pPr>
        <w:ind w:left="567" w:hanging="567"/>
      </w:pPr>
    </w:lvl>
  </w:abstractNum>
  <w:abstractNum w:abstractNumId="21" w15:restartNumberingAfterBreak="0">
    <w:nsid w:val="27995AC2"/>
    <w:multiLevelType w:val="singleLevel"/>
    <w:tmpl w:val="FEACBB4E"/>
    <w:lvl w:ilvl="0">
      <w:start w:val="1"/>
      <w:numFmt w:val="lowerLetter"/>
      <w:lvlText w:val="%1)"/>
      <w:legacy w:legacy="1" w:legacySpace="0" w:legacyIndent="567"/>
      <w:lvlJc w:val="left"/>
      <w:pPr>
        <w:ind w:left="567" w:hanging="567"/>
      </w:pPr>
    </w:lvl>
  </w:abstractNum>
  <w:abstractNum w:abstractNumId="22" w15:restartNumberingAfterBreak="0">
    <w:nsid w:val="288B0662"/>
    <w:multiLevelType w:val="singleLevel"/>
    <w:tmpl w:val="6226CAFE"/>
    <w:lvl w:ilvl="0">
      <w:start w:val="1"/>
      <w:numFmt w:val="bullet"/>
      <w:pStyle w:val="Opstilmpunkt-"/>
      <w:lvlText w:val="–"/>
      <w:lvlJc w:val="left"/>
      <w:pPr>
        <w:tabs>
          <w:tab w:val="num" w:pos="851"/>
        </w:tabs>
        <w:ind w:left="851" w:hanging="851"/>
      </w:pPr>
      <w:rPr>
        <w:rFonts w:ascii="Times New Roman" w:hAnsi="Times New Roman" w:cs="Times New Roman" w:hint="default"/>
      </w:rPr>
    </w:lvl>
  </w:abstractNum>
  <w:abstractNum w:abstractNumId="23" w15:restartNumberingAfterBreak="0">
    <w:nsid w:val="292A6DBA"/>
    <w:multiLevelType w:val="hybridMultilevel"/>
    <w:tmpl w:val="3B8E2580"/>
    <w:lvl w:ilvl="0" w:tplc="CC98638A">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4" w15:restartNumberingAfterBreak="0">
    <w:nsid w:val="2C1B51BD"/>
    <w:multiLevelType w:val="hybridMultilevel"/>
    <w:tmpl w:val="C4BE6344"/>
    <w:lvl w:ilvl="0" w:tplc="54DE1A14">
      <w:start w:val="1"/>
      <w:numFmt w:val="lowerRoman"/>
      <w:lvlText w:val="(%1)"/>
      <w:lvlJc w:val="left"/>
      <w:pPr>
        <w:ind w:left="108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5" w15:restartNumberingAfterBreak="0">
    <w:nsid w:val="2EC036BC"/>
    <w:multiLevelType w:val="singleLevel"/>
    <w:tmpl w:val="31865D8A"/>
    <w:lvl w:ilvl="0">
      <w:start w:val="1"/>
      <w:numFmt w:val="none"/>
      <w:pStyle w:val="Opstilmat"/>
      <w:lvlText w:val="at"/>
      <w:legacy w:legacy="1" w:legacySpace="0" w:legacyIndent="567"/>
      <w:lvlJc w:val="left"/>
      <w:pPr>
        <w:ind w:left="567" w:hanging="567"/>
      </w:pPr>
      <w:rPr>
        <w:u w:val="single"/>
      </w:rPr>
    </w:lvl>
  </w:abstractNum>
  <w:abstractNum w:abstractNumId="26" w15:restartNumberingAfterBreak="0">
    <w:nsid w:val="34B412D6"/>
    <w:multiLevelType w:val="singleLevel"/>
    <w:tmpl w:val="C4A6B432"/>
    <w:lvl w:ilvl="0">
      <w:start w:val="1"/>
      <w:numFmt w:val="none"/>
      <w:lvlText w:val="at"/>
      <w:legacy w:legacy="1" w:legacySpace="0" w:legacyIndent="567"/>
      <w:lvlJc w:val="left"/>
      <w:pPr>
        <w:ind w:left="567" w:hanging="567"/>
      </w:pPr>
      <w:rPr>
        <w:u w:val="single"/>
      </w:rPr>
    </w:lvl>
  </w:abstractNum>
  <w:abstractNum w:abstractNumId="27" w15:restartNumberingAfterBreak="0">
    <w:nsid w:val="3FC656CF"/>
    <w:multiLevelType w:val="multilevel"/>
    <w:tmpl w:val="040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44DC6CAD"/>
    <w:multiLevelType w:val="singleLevel"/>
    <w:tmpl w:val="C4A6B432"/>
    <w:lvl w:ilvl="0">
      <w:start w:val="1"/>
      <w:numFmt w:val="none"/>
      <w:lvlText w:val="at"/>
      <w:legacy w:legacy="1" w:legacySpace="0" w:legacyIndent="567"/>
      <w:lvlJc w:val="left"/>
      <w:pPr>
        <w:ind w:left="567" w:hanging="567"/>
      </w:pPr>
      <w:rPr>
        <w:u w:val="single"/>
      </w:rPr>
    </w:lvl>
  </w:abstractNum>
  <w:abstractNum w:abstractNumId="29" w15:restartNumberingAfterBreak="0">
    <w:nsid w:val="475E1D64"/>
    <w:multiLevelType w:val="hybridMultilevel"/>
    <w:tmpl w:val="FC7CA490"/>
    <w:lvl w:ilvl="0" w:tplc="D2CEBE78">
      <w:start w:val="1"/>
      <w:numFmt w:val="bullet"/>
      <w:pStyle w:val="Opstilmedfirkant"/>
      <w:lvlText w:val=""/>
      <w:lvlJc w:val="left"/>
      <w:pPr>
        <w:tabs>
          <w:tab w:val="num" w:pos="851"/>
        </w:tabs>
        <w:ind w:left="851" w:hanging="851"/>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7EF65EF"/>
    <w:multiLevelType w:val="singleLevel"/>
    <w:tmpl w:val="A9EA293E"/>
    <w:lvl w:ilvl="0">
      <w:start w:val="1"/>
      <w:numFmt w:val="decimal"/>
      <w:lvlText w:val="%1."/>
      <w:legacy w:legacy="1" w:legacySpace="0" w:legacyIndent="567"/>
      <w:lvlJc w:val="left"/>
      <w:pPr>
        <w:ind w:left="567" w:hanging="567"/>
      </w:pPr>
    </w:lvl>
  </w:abstractNum>
  <w:abstractNum w:abstractNumId="31" w15:restartNumberingAfterBreak="0">
    <w:nsid w:val="4A0E34BA"/>
    <w:multiLevelType w:val="hybridMultilevel"/>
    <w:tmpl w:val="C4BE6344"/>
    <w:lvl w:ilvl="0" w:tplc="FFFFFFFF">
      <w:start w:val="1"/>
      <w:numFmt w:val="lowerRoman"/>
      <w:lvlText w:val="(%1)"/>
      <w:lvlJc w:val="left"/>
      <w:pPr>
        <w:ind w:left="1713" w:hanging="720"/>
      </w:pPr>
      <w:rPr>
        <w:rFonts w:hint="default"/>
      </w:r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32" w15:restartNumberingAfterBreak="0">
    <w:nsid w:val="4C970836"/>
    <w:multiLevelType w:val="singleLevel"/>
    <w:tmpl w:val="A9EA293E"/>
    <w:lvl w:ilvl="0">
      <w:start w:val="1"/>
      <w:numFmt w:val="decimal"/>
      <w:lvlText w:val="%1."/>
      <w:legacy w:legacy="1" w:legacySpace="0" w:legacyIndent="567"/>
      <w:lvlJc w:val="left"/>
      <w:pPr>
        <w:ind w:left="567" w:hanging="567"/>
      </w:pPr>
    </w:lvl>
  </w:abstractNum>
  <w:abstractNum w:abstractNumId="33" w15:restartNumberingAfterBreak="0">
    <w:nsid w:val="4D9D48F7"/>
    <w:multiLevelType w:val="hybridMultilevel"/>
    <w:tmpl w:val="C4BE6344"/>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F593F93"/>
    <w:multiLevelType w:val="singleLevel"/>
    <w:tmpl w:val="C4A6B432"/>
    <w:lvl w:ilvl="0">
      <w:start w:val="1"/>
      <w:numFmt w:val="none"/>
      <w:lvlText w:val="at"/>
      <w:legacy w:legacy="1" w:legacySpace="0" w:legacyIndent="567"/>
      <w:lvlJc w:val="left"/>
      <w:pPr>
        <w:ind w:left="567" w:hanging="567"/>
      </w:pPr>
      <w:rPr>
        <w:u w:val="single"/>
      </w:rPr>
    </w:lvl>
  </w:abstractNum>
  <w:abstractNum w:abstractNumId="35" w15:restartNumberingAfterBreak="0">
    <w:nsid w:val="51206DB4"/>
    <w:multiLevelType w:val="hybridMultilevel"/>
    <w:tmpl w:val="577EFA48"/>
    <w:lvl w:ilvl="0" w:tplc="646C06CE">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6" w15:restartNumberingAfterBreak="0">
    <w:nsid w:val="528C1C18"/>
    <w:multiLevelType w:val="multilevel"/>
    <w:tmpl w:val="1086596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7" w15:restartNumberingAfterBreak="0">
    <w:nsid w:val="547E39B9"/>
    <w:multiLevelType w:val="hybridMultilevel"/>
    <w:tmpl w:val="6E564E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82D7D65"/>
    <w:multiLevelType w:val="singleLevel"/>
    <w:tmpl w:val="FEACBB4E"/>
    <w:lvl w:ilvl="0">
      <w:start w:val="1"/>
      <w:numFmt w:val="lowerLetter"/>
      <w:lvlText w:val="%1)"/>
      <w:lvlJc w:val="left"/>
      <w:pPr>
        <w:tabs>
          <w:tab w:val="num" w:pos="567"/>
        </w:tabs>
        <w:ind w:left="567" w:hanging="567"/>
      </w:pPr>
    </w:lvl>
  </w:abstractNum>
  <w:abstractNum w:abstractNumId="39" w15:restartNumberingAfterBreak="0">
    <w:nsid w:val="5D100968"/>
    <w:multiLevelType w:val="multilevel"/>
    <w:tmpl w:val="0406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5D5017E9"/>
    <w:multiLevelType w:val="hybridMultilevel"/>
    <w:tmpl w:val="C4BE6344"/>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5DF84A3D"/>
    <w:multiLevelType w:val="multilevel"/>
    <w:tmpl w:val="06D44A50"/>
    <w:lvl w:ilvl="0">
      <w:start w:val="1"/>
      <w:numFmt w:val="decimal"/>
      <w:lvlText w:val="%1."/>
      <w:lvlJc w:val="left"/>
      <w:pPr>
        <w:tabs>
          <w:tab w:val="num" w:pos="360"/>
        </w:tabs>
        <w:ind w:left="360" w:hanging="360"/>
      </w:pPr>
    </w:lvl>
    <w:lvl w:ilvl="1">
      <w:start w:val="1"/>
      <w:numFmt w:val="decimal"/>
      <w:lvlText w:val="%1.%2."/>
      <w:lvlJc w:val="left"/>
      <w:pPr>
        <w:tabs>
          <w:tab w:val="num" w:pos="709"/>
        </w:tabs>
        <w:ind w:left="709" w:hanging="567"/>
      </w:pPr>
    </w:lvl>
    <w:lvl w:ilvl="2">
      <w:start w:val="1"/>
      <w:numFmt w:val="decimal"/>
      <w:lvlText w:val="%1.%2.%3."/>
      <w:lvlJc w:val="left"/>
      <w:pPr>
        <w:tabs>
          <w:tab w:val="num" w:pos="1134"/>
        </w:tabs>
        <w:ind w:left="1134" w:hanging="709"/>
      </w:pPr>
    </w:lvl>
    <w:lvl w:ilvl="3">
      <w:start w:val="1"/>
      <w:numFmt w:val="decimal"/>
      <w:lvlText w:val="%1.%2.%3.%4."/>
      <w:lvlJc w:val="left"/>
      <w:pPr>
        <w:tabs>
          <w:tab w:val="num" w:pos="1843"/>
        </w:tabs>
        <w:ind w:left="1843" w:hanging="992"/>
      </w:pPr>
    </w:lvl>
    <w:lvl w:ilvl="4">
      <w:start w:val="1"/>
      <w:numFmt w:val="decimal"/>
      <w:lvlText w:val="%1.%2.%3.%4.%5."/>
      <w:lvlJc w:val="left"/>
      <w:pPr>
        <w:tabs>
          <w:tab w:val="num" w:pos="2693"/>
        </w:tabs>
        <w:ind w:left="2693" w:hanging="1134"/>
      </w:pPr>
    </w:lvl>
    <w:lvl w:ilvl="5">
      <w:start w:val="1"/>
      <w:numFmt w:val="decimal"/>
      <w:lvlText w:val="%1.%2.%3.%4.%5.%6."/>
      <w:lvlJc w:val="left"/>
      <w:pPr>
        <w:tabs>
          <w:tab w:val="num" w:pos="3686"/>
        </w:tabs>
        <w:ind w:left="3686" w:hanging="1276"/>
      </w:pPr>
    </w:lvl>
    <w:lvl w:ilvl="6">
      <w:start w:val="1"/>
      <w:numFmt w:val="decimal"/>
      <w:lvlText w:val="%1.%2.%3.%4.%5.%6.%7."/>
      <w:lvlJc w:val="left"/>
      <w:pPr>
        <w:tabs>
          <w:tab w:val="num" w:pos="4961"/>
        </w:tabs>
        <w:ind w:left="4961" w:hanging="1559"/>
      </w:pPr>
    </w:lvl>
    <w:lvl w:ilvl="7">
      <w:start w:val="1"/>
      <w:numFmt w:val="decimal"/>
      <w:lvlText w:val="%1.%2.%3.%4.%5.%6.%7.%8."/>
      <w:lvlJc w:val="left"/>
      <w:pPr>
        <w:tabs>
          <w:tab w:val="num" w:pos="6379"/>
        </w:tabs>
        <w:ind w:left="6379" w:hanging="1701"/>
      </w:pPr>
    </w:lvl>
    <w:lvl w:ilvl="8">
      <w:start w:val="1"/>
      <w:numFmt w:val="decimal"/>
      <w:lvlText w:val="%1.%2.%3.%4.%5.%6.%7.%8.%9."/>
      <w:lvlJc w:val="left"/>
      <w:pPr>
        <w:tabs>
          <w:tab w:val="num" w:pos="7938"/>
        </w:tabs>
        <w:ind w:left="7938" w:hanging="1843"/>
      </w:pPr>
    </w:lvl>
  </w:abstractNum>
  <w:abstractNum w:abstractNumId="42" w15:restartNumberingAfterBreak="0">
    <w:nsid w:val="61971CC1"/>
    <w:multiLevelType w:val="hybridMultilevel"/>
    <w:tmpl w:val="B942B1E6"/>
    <w:lvl w:ilvl="0" w:tplc="B4943460">
      <w:start w:val="1"/>
      <w:numFmt w:val="decimal"/>
      <w:pStyle w:val="Heading1"/>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3" w15:restartNumberingAfterBreak="0">
    <w:nsid w:val="660C1BF9"/>
    <w:multiLevelType w:val="singleLevel"/>
    <w:tmpl w:val="A9EA293E"/>
    <w:lvl w:ilvl="0">
      <w:start w:val="1"/>
      <w:numFmt w:val="decimal"/>
      <w:lvlText w:val="%1."/>
      <w:legacy w:legacy="1" w:legacySpace="0" w:legacyIndent="567"/>
      <w:lvlJc w:val="left"/>
      <w:pPr>
        <w:ind w:left="567" w:hanging="567"/>
      </w:pPr>
    </w:lvl>
  </w:abstractNum>
  <w:abstractNum w:abstractNumId="44" w15:restartNumberingAfterBreak="0">
    <w:nsid w:val="73765000"/>
    <w:multiLevelType w:val="singleLevel"/>
    <w:tmpl w:val="FEACBB4E"/>
    <w:lvl w:ilvl="0">
      <w:start w:val="1"/>
      <w:numFmt w:val="lowerLetter"/>
      <w:lvlText w:val="%1)"/>
      <w:legacy w:legacy="1" w:legacySpace="0" w:legacyIndent="567"/>
      <w:lvlJc w:val="left"/>
      <w:pPr>
        <w:ind w:left="567" w:hanging="567"/>
      </w:pPr>
    </w:lvl>
  </w:abstractNum>
  <w:abstractNum w:abstractNumId="45" w15:restartNumberingAfterBreak="0">
    <w:nsid w:val="76C95E48"/>
    <w:multiLevelType w:val="singleLevel"/>
    <w:tmpl w:val="382E9460"/>
    <w:lvl w:ilvl="0">
      <w:start w:val="1"/>
      <w:numFmt w:val="bullet"/>
      <w:lvlText w:val="–"/>
      <w:lvlJc w:val="left"/>
      <w:pPr>
        <w:tabs>
          <w:tab w:val="num" w:pos="567"/>
        </w:tabs>
        <w:ind w:left="567" w:hanging="567"/>
      </w:pPr>
      <w:rPr>
        <w:rFonts w:ascii="Times New Roman" w:hAnsi="Times New Roman" w:hint="default"/>
        <w:sz w:val="16"/>
      </w:rPr>
    </w:lvl>
  </w:abstractNum>
  <w:abstractNum w:abstractNumId="46" w15:restartNumberingAfterBreak="0">
    <w:nsid w:val="791A37C9"/>
    <w:multiLevelType w:val="singleLevel"/>
    <w:tmpl w:val="C4A6B432"/>
    <w:lvl w:ilvl="0">
      <w:start w:val="1"/>
      <w:numFmt w:val="none"/>
      <w:lvlText w:val="at"/>
      <w:legacy w:legacy="1" w:legacySpace="0" w:legacyIndent="567"/>
      <w:lvlJc w:val="left"/>
      <w:pPr>
        <w:ind w:left="567" w:hanging="567"/>
      </w:pPr>
      <w:rPr>
        <w:u w:val="single"/>
      </w:rPr>
    </w:lvl>
  </w:abstractNum>
  <w:abstractNum w:abstractNumId="47" w15:restartNumberingAfterBreak="0">
    <w:nsid w:val="7A1078C6"/>
    <w:multiLevelType w:val="hybridMultilevel"/>
    <w:tmpl w:val="3B8E25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DEA605A"/>
    <w:multiLevelType w:val="singleLevel"/>
    <w:tmpl w:val="58DC6FBC"/>
    <w:lvl w:ilvl="0">
      <w:start w:val="1"/>
      <w:numFmt w:val="none"/>
      <w:lvlText w:val="at"/>
      <w:lvlJc w:val="left"/>
      <w:pPr>
        <w:tabs>
          <w:tab w:val="num" w:pos="567"/>
        </w:tabs>
        <w:ind w:left="567" w:hanging="567"/>
      </w:pPr>
      <w:rPr>
        <w:rFonts w:ascii="Times New Roman" w:hAnsi="Times New Roman" w:hint="default"/>
        <w:b w:val="0"/>
        <w:i w:val="0"/>
        <w:sz w:val="24"/>
      </w:rPr>
    </w:lvl>
  </w:abstractNum>
  <w:abstractNum w:abstractNumId="49" w15:restartNumberingAfterBreak="0">
    <w:nsid w:val="7F0B0E39"/>
    <w:multiLevelType w:val="singleLevel"/>
    <w:tmpl w:val="0406000F"/>
    <w:lvl w:ilvl="0">
      <w:start w:val="1"/>
      <w:numFmt w:val="decimal"/>
      <w:lvlText w:val="%1."/>
      <w:lvlJc w:val="left"/>
      <w:pPr>
        <w:tabs>
          <w:tab w:val="num" w:pos="360"/>
        </w:tabs>
        <w:ind w:left="360" w:hanging="360"/>
      </w:pPr>
    </w:lvl>
  </w:abstractNum>
  <w:num w:numId="1" w16cid:durableId="1105686120">
    <w:abstractNumId w:val="48"/>
  </w:num>
  <w:num w:numId="2" w16cid:durableId="1449469033">
    <w:abstractNumId w:val="38"/>
  </w:num>
  <w:num w:numId="3" w16cid:durableId="467817162">
    <w:abstractNumId w:val="16"/>
  </w:num>
  <w:num w:numId="4" w16cid:durableId="200362244">
    <w:abstractNumId w:val="45"/>
  </w:num>
  <w:num w:numId="5" w16cid:durableId="863204571">
    <w:abstractNumId w:val="41"/>
  </w:num>
  <w:num w:numId="6" w16cid:durableId="2117021832">
    <w:abstractNumId w:val="22"/>
  </w:num>
  <w:num w:numId="7" w16cid:durableId="1601647679">
    <w:abstractNumId w:val="29"/>
  </w:num>
  <w:num w:numId="8" w16cid:durableId="2082486623">
    <w:abstractNumId w:val="18"/>
  </w:num>
  <w:num w:numId="9" w16cid:durableId="1002003377">
    <w:abstractNumId w:val="10"/>
  </w:num>
  <w:num w:numId="10" w16cid:durableId="1352873797">
    <w:abstractNumId w:val="49"/>
  </w:num>
  <w:num w:numId="11" w16cid:durableId="264777366">
    <w:abstractNumId w:val="27"/>
  </w:num>
  <w:num w:numId="12" w16cid:durableId="1988780478">
    <w:abstractNumId w:val="15"/>
  </w:num>
  <w:num w:numId="13" w16cid:durableId="1996756171">
    <w:abstractNumId w:val="9"/>
  </w:num>
  <w:num w:numId="14" w16cid:durableId="1110128806">
    <w:abstractNumId w:val="7"/>
  </w:num>
  <w:num w:numId="15" w16cid:durableId="1223171753">
    <w:abstractNumId w:val="6"/>
  </w:num>
  <w:num w:numId="16" w16cid:durableId="246966465">
    <w:abstractNumId w:val="5"/>
  </w:num>
  <w:num w:numId="17" w16cid:durableId="1919943333">
    <w:abstractNumId w:val="4"/>
  </w:num>
  <w:num w:numId="18" w16cid:durableId="1924222795">
    <w:abstractNumId w:val="8"/>
  </w:num>
  <w:num w:numId="19" w16cid:durableId="999653277">
    <w:abstractNumId w:val="3"/>
  </w:num>
  <w:num w:numId="20" w16cid:durableId="1523976896">
    <w:abstractNumId w:val="2"/>
  </w:num>
  <w:num w:numId="21" w16cid:durableId="1047609716">
    <w:abstractNumId w:val="1"/>
  </w:num>
  <w:num w:numId="22" w16cid:durableId="333458425">
    <w:abstractNumId w:val="0"/>
  </w:num>
  <w:num w:numId="23" w16cid:durableId="99491506">
    <w:abstractNumId w:val="36"/>
  </w:num>
  <w:num w:numId="24" w16cid:durableId="1831016589">
    <w:abstractNumId w:val="26"/>
  </w:num>
  <w:num w:numId="25" w16cid:durableId="1403016975">
    <w:abstractNumId w:val="28"/>
  </w:num>
  <w:num w:numId="26" w16cid:durableId="180168031">
    <w:abstractNumId w:val="46"/>
  </w:num>
  <w:num w:numId="27" w16cid:durableId="1599605626">
    <w:abstractNumId w:val="34"/>
  </w:num>
  <w:num w:numId="28" w16cid:durableId="1756126996">
    <w:abstractNumId w:val="21"/>
  </w:num>
  <w:num w:numId="29" w16cid:durableId="965696554">
    <w:abstractNumId w:val="44"/>
  </w:num>
  <w:num w:numId="30" w16cid:durableId="600334059">
    <w:abstractNumId w:val="20"/>
  </w:num>
  <w:num w:numId="31" w16cid:durableId="228615663">
    <w:abstractNumId w:val="43"/>
  </w:num>
  <w:num w:numId="32" w16cid:durableId="337775632">
    <w:abstractNumId w:val="30"/>
  </w:num>
  <w:num w:numId="33" w16cid:durableId="336078336">
    <w:abstractNumId w:val="32"/>
  </w:num>
  <w:num w:numId="34" w16cid:durableId="558785000">
    <w:abstractNumId w:val="12"/>
  </w:num>
  <w:num w:numId="35" w16cid:durableId="1418475466">
    <w:abstractNumId w:val="19"/>
  </w:num>
  <w:num w:numId="36" w16cid:durableId="760881574">
    <w:abstractNumId w:val="25"/>
  </w:num>
  <w:num w:numId="37" w16cid:durableId="635187735">
    <w:abstractNumId w:val="14"/>
  </w:num>
  <w:num w:numId="38" w16cid:durableId="1343312311">
    <w:abstractNumId w:val="39"/>
  </w:num>
  <w:num w:numId="39" w16cid:durableId="1433013781">
    <w:abstractNumId w:val="42"/>
  </w:num>
  <w:num w:numId="40" w16cid:durableId="1173496510">
    <w:abstractNumId w:val="17"/>
  </w:num>
  <w:num w:numId="41" w16cid:durableId="734552724">
    <w:abstractNumId w:val="13"/>
  </w:num>
  <w:num w:numId="42" w16cid:durableId="97458046">
    <w:abstractNumId w:val="23"/>
  </w:num>
  <w:num w:numId="43" w16cid:durableId="889347319">
    <w:abstractNumId w:val="24"/>
  </w:num>
  <w:num w:numId="44" w16cid:durableId="1750466583">
    <w:abstractNumId w:val="40"/>
  </w:num>
  <w:num w:numId="45" w16cid:durableId="233862408">
    <w:abstractNumId w:val="31"/>
  </w:num>
  <w:num w:numId="46" w16cid:durableId="1835561155">
    <w:abstractNumId w:val="35"/>
  </w:num>
  <w:num w:numId="47" w16cid:durableId="380249092">
    <w:abstractNumId w:val="47"/>
  </w:num>
  <w:num w:numId="48" w16cid:durableId="2121946658">
    <w:abstractNumId w:val="33"/>
  </w:num>
  <w:num w:numId="49" w16cid:durableId="1057243572">
    <w:abstractNumId w:val="37"/>
  </w:num>
  <w:num w:numId="50" w16cid:durableId="465515449">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textFile"/>
    <w:query w:val="SELECT * FROM S:\Dokumenter\11123\999022\data_000535.doc"/>
  </w:mailMerge>
  <w:trackRevisions/>
  <w:defaultTabStop w:val="851"/>
  <w:autoHyphenation/>
  <w:hyphenationZone w:val="142"/>
  <w:displayHorizontalDrawingGridEvery w:val="0"/>
  <w:displayVerticalDrawingGridEvery w:val="0"/>
  <w:doNotUseMarginsForDrawingGridOrigin/>
  <w:noPunctuationKerning/>
  <w:characterSpacingControl w:val="doNotCompress"/>
  <w:hdrShapeDefaults>
    <o:shapedefaults v:ext="edit" spidmax="870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E2A"/>
    <w:rsid w:val="00003F2D"/>
    <w:rsid w:val="00017F3A"/>
    <w:rsid w:val="00043CFE"/>
    <w:rsid w:val="0004468D"/>
    <w:rsid w:val="000542FA"/>
    <w:rsid w:val="0006130E"/>
    <w:rsid w:val="00062A8D"/>
    <w:rsid w:val="00066EF2"/>
    <w:rsid w:val="000675C3"/>
    <w:rsid w:val="00075CC6"/>
    <w:rsid w:val="000841A0"/>
    <w:rsid w:val="00087F4E"/>
    <w:rsid w:val="000930CF"/>
    <w:rsid w:val="00094998"/>
    <w:rsid w:val="000A5B84"/>
    <w:rsid w:val="000B15C4"/>
    <w:rsid w:val="000C1E4A"/>
    <w:rsid w:val="000D38D9"/>
    <w:rsid w:val="000D79B1"/>
    <w:rsid w:val="000E79FA"/>
    <w:rsid w:val="000F3FF6"/>
    <w:rsid w:val="000F4114"/>
    <w:rsid w:val="001036C9"/>
    <w:rsid w:val="00112EEC"/>
    <w:rsid w:val="0011303B"/>
    <w:rsid w:val="001140A6"/>
    <w:rsid w:val="00116298"/>
    <w:rsid w:val="00127820"/>
    <w:rsid w:val="001547ED"/>
    <w:rsid w:val="00184C6C"/>
    <w:rsid w:val="001C4A16"/>
    <w:rsid w:val="001C4BA5"/>
    <w:rsid w:val="001C580D"/>
    <w:rsid w:val="001E3EE1"/>
    <w:rsid w:val="00220C28"/>
    <w:rsid w:val="00241F02"/>
    <w:rsid w:val="00245BAF"/>
    <w:rsid w:val="00256567"/>
    <w:rsid w:val="00261766"/>
    <w:rsid w:val="00270DEF"/>
    <w:rsid w:val="002747D7"/>
    <w:rsid w:val="002760C6"/>
    <w:rsid w:val="002906C3"/>
    <w:rsid w:val="00293221"/>
    <w:rsid w:val="002A4696"/>
    <w:rsid w:val="002A7191"/>
    <w:rsid w:val="002B0169"/>
    <w:rsid w:val="002C1847"/>
    <w:rsid w:val="002C2132"/>
    <w:rsid w:val="002C2605"/>
    <w:rsid w:val="002C28ED"/>
    <w:rsid w:val="002C5703"/>
    <w:rsid w:val="002E1D01"/>
    <w:rsid w:val="002E50E6"/>
    <w:rsid w:val="002E641A"/>
    <w:rsid w:val="002F1473"/>
    <w:rsid w:val="003041A4"/>
    <w:rsid w:val="00320527"/>
    <w:rsid w:val="00325A67"/>
    <w:rsid w:val="0034002D"/>
    <w:rsid w:val="00346A26"/>
    <w:rsid w:val="00346D72"/>
    <w:rsid w:val="00355333"/>
    <w:rsid w:val="0035653B"/>
    <w:rsid w:val="0035691B"/>
    <w:rsid w:val="00357A22"/>
    <w:rsid w:val="00363E6C"/>
    <w:rsid w:val="00365EA5"/>
    <w:rsid w:val="00367284"/>
    <w:rsid w:val="003A0B36"/>
    <w:rsid w:val="003B2FB9"/>
    <w:rsid w:val="003B53CD"/>
    <w:rsid w:val="003E1CF7"/>
    <w:rsid w:val="003E2085"/>
    <w:rsid w:val="003E240F"/>
    <w:rsid w:val="004048AB"/>
    <w:rsid w:val="00405A67"/>
    <w:rsid w:val="0040696A"/>
    <w:rsid w:val="00412A88"/>
    <w:rsid w:val="0042409D"/>
    <w:rsid w:val="00430961"/>
    <w:rsid w:val="00437E54"/>
    <w:rsid w:val="00455EA7"/>
    <w:rsid w:val="004D47A8"/>
    <w:rsid w:val="004E08B8"/>
    <w:rsid w:val="004E5A75"/>
    <w:rsid w:val="004F0DB9"/>
    <w:rsid w:val="005174E0"/>
    <w:rsid w:val="00522804"/>
    <w:rsid w:val="00524F4D"/>
    <w:rsid w:val="005302B9"/>
    <w:rsid w:val="00541710"/>
    <w:rsid w:val="00550961"/>
    <w:rsid w:val="00564F9B"/>
    <w:rsid w:val="00587305"/>
    <w:rsid w:val="005B6B41"/>
    <w:rsid w:val="005C360A"/>
    <w:rsid w:val="005D08D2"/>
    <w:rsid w:val="005D3F46"/>
    <w:rsid w:val="005E13EC"/>
    <w:rsid w:val="005E43F3"/>
    <w:rsid w:val="005F4FA2"/>
    <w:rsid w:val="00602087"/>
    <w:rsid w:val="00602C73"/>
    <w:rsid w:val="00605FE8"/>
    <w:rsid w:val="006247CF"/>
    <w:rsid w:val="00634938"/>
    <w:rsid w:val="006349D3"/>
    <w:rsid w:val="00636686"/>
    <w:rsid w:val="00647B24"/>
    <w:rsid w:val="00652120"/>
    <w:rsid w:val="006574E0"/>
    <w:rsid w:val="006644E0"/>
    <w:rsid w:val="00685B31"/>
    <w:rsid w:val="00687E77"/>
    <w:rsid w:val="00694D67"/>
    <w:rsid w:val="006B1EA2"/>
    <w:rsid w:val="006B24A8"/>
    <w:rsid w:val="006F6D24"/>
    <w:rsid w:val="007035B6"/>
    <w:rsid w:val="007234F0"/>
    <w:rsid w:val="007274D8"/>
    <w:rsid w:val="00735754"/>
    <w:rsid w:val="0073734E"/>
    <w:rsid w:val="007419A1"/>
    <w:rsid w:val="00743204"/>
    <w:rsid w:val="007502CD"/>
    <w:rsid w:val="0075221A"/>
    <w:rsid w:val="00752C88"/>
    <w:rsid w:val="00771921"/>
    <w:rsid w:val="007736A5"/>
    <w:rsid w:val="00784E2A"/>
    <w:rsid w:val="007867A2"/>
    <w:rsid w:val="007B2052"/>
    <w:rsid w:val="007C2747"/>
    <w:rsid w:val="007C2F8C"/>
    <w:rsid w:val="007C4EC2"/>
    <w:rsid w:val="007D205C"/>
    <w:rsid w:val="007D30F1"/>
    <w:rsid w:val="007E0B23"/>
    <w:rsid w:val="007F034D"/>
    <w:rsid w:val="007F1AD7"/>
    <w:rsid w:val="007F42A1"/>
    <w:rsid w:val="007F7A69"/>
    <w:rsid w:val="008141D1"/>
    <w:rsid w:val="00832E11"/>
    <w:rsid w:val="00851221"/>
    <w:rsid w:val="00854026"/>
    <w:rsid w:val="00856D50"/>
    <w:rsid w:val="00861234"/>
    <w:rsid w:val="00883DAC"/>
    <w:rsid w:val="00884F67"/>
    <w:rsid w:val="008A5127"/>
    <w:rsid w:val="008B4B7E"/>
    <w:rsid w:val="008E67EA"/>
    <w:rsid w:val="008F2202"/>
    <w:rsid w:val="008F6E19"/>
    <w:rsid w:val="009115C6"/>
    <w:rsid w:val="009174BF"/>
    <w:rsid w:val="00917D35"/>
    <w:rsid w:val="00921B52"/>
    <w:rsid w:val="00922BEE"/>
    <w:rsid w:val="00955624"/>
    <w:rsid w:val="0096568D"/>
    <w:rsid w:val="00972938"/>
    <w:rsid w:val="009756D8"/>
    <w:rsid w:val="00990933"/>
    <w:rsid w:val="00994A66"/>
    <w:rsid w:val="00995589"/>
    <w:rsid w:val="009A0B44"/>
    <w:rsid w:val="009A2D79"/>
    <w:rsid w:val="009C04BC"/>
    <w:rsid w:val="009C72E7"/>
    <w:rsid w:val="00A14B68"/>
    <w:rsid w:val="00A42F27"/>
    <w:rsid w:val="00A462FE"/>
    <w:rsid w:val="00A55CEC"/>
    <w:rsid w:val="00A6703E"/>
    <w:rsid w:val="00A71BF6"/>
    <w:rsid w:val="00A7364F"/>
    <w:rsid w:val="00A909EE"/>
    <w:rsid w:val="00A92216"/>
    <w:rsid w:val="00A934EC"/>
    <w:rsid w:val="00A93CD8"/>
    <w:rsid w:val="00A96B74"/>
    <w:rsid w:val="00AA363F"/>
    <w:rsid w:val="00AA7D3F"/>
    <w:rsid w:val="00AB2B60"/>
    <w:rsid w:val="00AB5058"/>
    <w:rsid w:val="00AC65E1"/>
    <w:rsid w:val="00AD45C0"/>
    <w:rsid w:val="00AD7653"/>
    <w:rsid w:val="00AE28F6"/>
    <w:rsid w:val="00AF5ED0"/>
    <w:rsid w:val="00B002B1"/>
    <w:rsid w:val="00B02136"/>
    <w:rsid w:val="00B15372"/>
    <w:rsid w:val="00B22E17"/>
    <w:rsid w:val="00B25F37"/>
    <w:rsid w:val="00B33100"/>
    <w:rsid w:val="00B45A3A"/>
    <w:rsid w:val="00B47E5B"/>
    <w:rsid w:val="00B56721"/>
    <w:rsid w:val="00B64FC3"/>
    <w:rsid w:val="00B70D59"/>
    <w:rsid w:val="00B75FA0"/>
    <w:rsid w:val="00BB2FEC"/>
    <w:rsid w:val="00BC6869"/>
    <w:rsid w:val="00BC7909"/>
    <w:rsid w:val="00BF0642"/>
    <w:rsid w:val="00BF7743"/>
    <w:rsid w:val="00C15031"/>
    <w:rsid w:val="00C23F3B"/>
    <w:rsid w:val="00C250DF"/>
    <w:rsid w:val="00C31535"/>
    <w:rsid w:val="00C3210F"/>
    <w:rsid w:val="00C43903"/>
    <w:rsid w:val="00C45EC2"/>
    <w:rsid w:val="00C4630C"/>
    <w:rsid w:val="00C470C2"/>
    <w:rsid w:val="00C50F87"/>
    <w:rsid w:val="00C54518"/>
    <w:rsid w:val="00C71CA4"/>
    <w:rsid w:val="00C7251C"/>
    <w:rsid w:val="00C730CD"/>
    <w:rsid w:val="00C733A5"/>
    <w:rsid w:val="00C819CB"/>
    <w:rsid w:val="00CA0877"/>
    <w:rsid w:val="00CA4D22"/>
    <w:rsid w:val="00CB376A"/>
    <w:rsid w:val="00CD52BE"/>
    <w:rsid w:val="00CE5A87"/>
    <w:rsid w:val="00CE788B"/>
    <w:rsid w:val="00CF34A4"/>
    <w:rsid w:val="00CF64D6"/>
    <w:rsid w:val="00D041FD"/>
    <w:rsid w:val="00D11A0E"/>
    <w:rsid w:val="00D21A8A"/>
    <w:rsid w:val="00D31273"/>
    <w:rsid w:val="00D3307F"/>
    <w:rsid w:val="00D45DF4"/>
    <w:rsid w:val="00D460D6"/>
    <w:rsid w:val="00D507BE"/>
    <w:rsid w:val="00D613BA"/>
    <w:rsid w:val="00D649E5"/>
    <w:rsid w:val="00D72395"/>
    <w:rsid w:val="00D73849"/>
    <w:rsid w:val="00D86EDE"/>
    <w:rsid w:val="00D92D0F"/>
    <w:rsid w:val="00D93CC4"/>
    <w:rsid w:val="00D962CA"/>
    <w:rsid w:val="00DA0B12"/>
    <w:rsid w:val="00DB0617"/>
    <w:rsid w:val="00DD0619"/>
    <w:rsid w:val="00E14BEB"/>
    <w:rsid w:val="00E22BD7"/>
    <w:rsid w:val="00E24F52"/>
    <w:rsid w:val="00E254E9"/>
    <w:rsid w:val="00E44881"/>
    <w:rsid w:val="00E5298B"/>
    <w:rsid w:val="00E54D3E"/>
    <w:rsid w:val="00E556B2"/>
    <w:rsid w:val="00E769F7"/>
    <w:rsid w:val="00E903F2"/>
    <w:rsid w:val="00EB09F5"/>
    <w:rsid w:val="00EB4E63"/>
    <w:rsid w:val="00EC75DF"/>
    <w:rsid w:val="00EC7EAB"/>
    <w:rsid w:val="00ED0933"/>
    <w:rsid w:val="00ED67A3"/>
    <w:rsid w:val="00EE6560"/>
    <w:rsid w:val="00F12848"/>
    <w:rsid w:val="00F13A00"/>
    <w:rsid w:val="00F21D4E"/>
    <w:rsid w:val="00F21FB8"/>
    <w:rsid w:val="00F30A00"/>
    <w:rsid w:val="00F315B3"/>
    <w:rsid w:val="00F44F24"/>
    <w:rsid w:val="00F47FDF"/>
    <w:rsid w:val="00F5376E"/>
    <w:rsid w:val="00F5778C"/>
    <w:rsid w:val="00F84680"/>
    <w:rsid w:val="00F93C1F"/>
    <w:rsid w:val="00FB34F6"/>
    <w:rsid w:val="00FB4ACF"/>
    <w:rsid w:val="00FC66E1"/>
    <w:rsid w:val="00FE0199"/>
    <w:rsid w:val="00FE0565"/>
    <w:rsid w:val="00FE4E7D"/>
    <w:rsid w:val="00FE5D1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7041"/>
    <o:shapelayout v:ext="edit">
      <o:idmap v:ext="edit" data="1"/>
    </o:shapelayout>
  </w:shapeDefaults>
  <w:decimalSymbol w:val=","/>
  <w:listSeparator w:val=","/>
  <w14:docId w14:val="7DB3989B"/>
  <w15:chartTrackingRefBased/>
  <w15:docId w15:val="{299DFFAE-4722-46E1-A48C-FE26106AD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47ED"/>
    <w:pPr>
      <w:tabs>
        <w:tab w:val="left" w:pos="851"/>
        <w:tab w:val="left" w:pos="1701"/>
        <w:tab w:val="left" w:pos="2552"/>
        <w:tab w:val="left" w:pos="3402"/>
        <w:tab w:val="left" w:pos="4253"/>
        <w:tab w:val="left" w:pos="5103"/>
        <w:tab w:val="left" w:pos="5954"/>
        <w:tab w:val="left" w:pos="6804"/>
        <w:tab w:val="left" w:pos="7655"/>
        <w:tab w:val="left" w:pos="8505"/>
      </w:tabs>
      <w:spacing w:line="320" w:lineRule="atLeast"/>
      <w:jc w:val="both"/>
    </w:pPr>
    <w:rPr>
      <w:sz w:val="22"/>
      <w:lang w:val="en-GB"/>
    </w:rPr>
  </w:style>
  <w:style w:type="paragraph" w:styleId="Heading1">
    <w:name w:val="heading 1"/>
    <w:basedOn w:val="Normal"/>
    <w:next w:val="Normal"/>
    <w:qFormat/>
    <w:rsid w:val="001C580D"/>
    <w:pPr>
      <w:keepNext/>
      <w:numPr>
        <w:numId w:val="39"/>
      </w:numPr>
      <w:spacing w:before="640" w:after="320"/>
      <w:ind w:left="714" w:hanging="357"/>
      <w:outlineLvl w:val="0"/>
    </w:pPr>
    <w:rPr>
      <w:b/>
      <w:kern w:val="28"/>
    </w:rPr>
  </w:style>
  <w:style w:type="paragraph" w:styleId="Heading2">
    <w:name w:val="heading 2"/>
    <w:basedOn w:val="Normal"/>
    <w:next w:val="Normal"/>
    <w:qFormat/>
    <w:rsid w:val="001C580D"/>
    <w:pPr>
      <w:keepNext/>
      <w:numPr>
        <w:numId w:val="40"/>
      </w:numPr>
      <w:spacing w:before="120" w:after="120"/>
      <w:outlineLvl w:val="1"/>
    </w:pPr>
    <w:rPr>
      <w:u w:val="single"/>
    </w:rPr>
  </w:style>
  <w:style w:type="paragraph" w:styleId="Heading3">
    <w:name w:val="heading 3"/>
    <w:basedOn w:val="Normal"/>
    <w:next w:val="Normal"/>
    <w:qFormat/>
    <w:rsid w:val="001C580D"/>
    <w:pPr>
      <w:keepNext/>
      <w:spacing w:before="240" w:after="60"/>
      <w:outlineLvl w:val="2"/>
    </w:pPr>
    <w:rPr>
      <w:rFonts w:ascii="Arial" w:hAnsi="Arial"/>
    </w:rPr>
  </w:style>
  <w:style w:type="paragraph" w:styleId="Heading4">
    <w:name w:val="heading 4"/>
    <w:basedOn w:val="Normal"/>
    <w:next w:val="Normal"/>
    <w:qFormat/>
    <w:rsid w:val="00367284"/>
    <w:pPr>
      <w:keepNext/>
      <w:tabs>
        <w:tab w:val="num" w:pos="0"/>
      </w:tabs>
      <w:autoSpaceDE w:val="0"/>
      <w:autoSpaceDN w:val="0"/>
      <w:spacing w:after="60"/>
      <w:outlineLvl w:val="3"/>
    </w:pPr>
    <w:rPr>
      <w:b/>
      <w:bCs/>
      <w:szCs w:val="22"/>
      <w:lang w:eastAsia="en-US"/>
    </w:rPr>
  </w:style>
  <w:style w:type="paragraph" w:styleId="Heading5">
    <w:name w:val="heading 5"/>
    <w:aliases w:val="Level 3 - i,h5,Lev 5,s,H5,5,Heading 5 StGeorge,(A),A,Heading 5(unused),1.1.1.1.1,Level 3 - (i),Para5,Para51,h51,h52,L5,Document Title 2,Dot GS,level5,H51,H52,H53,H54,H55,H56,H57,H58,H59,H510,H511,H512,H513,H514,H515,H516,H517,H518,H519,FMH1"/>
    <w:basedOn w:val="Heading1"/>
    <w:next w:val="NormalIndent"/>
    <w:qFormat/>
    <w:rsid w:val="001C580D"/>
    <w:pPr>
      <w:keepLines/>
      <w:numPr>
        <w:ilvl w:val="4"/>
        <w:numId w:val="9"/>
      </w:numPr>
      <w:tabs>
        <w:tab w:val="clear" w:pos="851"/>
      </w:tabs>
      <w:jc w:val="left"/>
      <w:outlineLvl w:val="4"/>
    </w:pPr>
    <w:rPr>
      <w:szCs w:val="22"/>
    </w:rPr>
  </w:style>
  <w:style w:type="paragraph" w:styleId="Heading6">
    <w:name w:val="heading 6"/>
    <w:aliases w:val="Legal Level 1.,h6,H6,a.,dash GS,level6,L1 PIP,Name of Org,Body Text 5,as Char,Heading 6(unused),Points in Text,(I),6,as,a.1,Lev 6,Heading 6 Interstar,a,Sub5Para,Appendix,T1,level 6,Square Bullet list,Heading 6  Appendix Y &amp; Z,not Kinhill"/>
    <w:basedOn w:val="Normal"/>
    <w:link w:val="Heading6Char"/>
    <w:qFormat/>
    <w:rsid w:val="001C580D"/>
    <w:pPr>
      <w:numPr>
        <w:ilvl w:val="5"/>
        <w:numId w:val="9"/>
      </w:numPr>
      <w:spacing w:after="320"/>
      <w:outlineLvl w:val="5"/>
    </w:pPr>
  </w:style>
  <w:style w:type="paragraph" w:styleId="Heading7">
    <w:name w:val="heading 7"/>
    <w:aliases w:val="Legal Level 1.1."/>
    <w:basedOn w:val="Normal"/>
    <w:qFormat/>
    <w:rsid w:val="001C580D"/>
    <w:pPr>
      <w:numPr>
        <w:ilvl w:val="6"/>
        <w:numId w:val="9"/>
      </w:numPr>
      <w:tabs>
        <w:tab w:val="clear" w:pos="851"/>
      </w:tabs>
      <w:spacing w:after="320"/>
      <w:outlineLvl w:val="6"/>
    </w:pPr>
  </w:style>
  <w:style w:type="paragraph" w:styleId="Heading8">
    <w:name w:val="heading 8"/>
    <w:aliases w:val="Legal Level 1.1.1."/>
    <w:basedOn w:val="Normal"/>
    <w:qFormat/>
    <w:rsid w:val="001C580D"/>
    <w:pPr>
      <w:numPr>
        <w:ilvl w:val="7"/>
        <w:numId w:val="9"/>
      </w:numPr>
      <w:tabs>
        <w:tab w:val="clear" w:pos="851"/>
      </w:tabs>
      <w:spacing w:after="320"/>
      <w:outlineLvl w:val="7"/>
    </w:pPr>
  </w:style>
  <w:style w:type="paragraph" w:styleId="Heading9">
    <w:name w:val="heading 9"/>
    <w:aliases w:val="Legal Level 1.1.1.1."/>
    <w:basedOn w:val="Normal"/>
    <w:qFormat/>
    <w:rsid w:val="001C580D"/>
    <w:pPr>
      <w:numPr>
        <w:ilvl w:val="8"/>
        <w:numId w:val="9"/>
      </w:numPr>
      <w:tabs>
        <w:tab w:val="clear" w:pos="851"/>
      </w:tabs>
      <w:spacing w:after="32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rsid w:val="001C580D"/>
    <w:pPr>
      <w:ind w:left="851"/>
    </w:pPr>
  </w:style>
  <w:style w:type="paragraph" w:styleId="Header">
    <w:name w:val="header"/>
    <w:basedOn w:val="Normal"/>
    <w:link w:val="HeaderChar"/>
    <w:uiPriority w:val="99"/>
    <w:rsid w:val="001C580D"/>
    <w:pPr>
      <w:tabs>
        <w:tab w:val="center" w:pos="4819"/>
        <w:tab w:val="right" w:pos="9638"/>
      </w:tabs>
    </w:pPr>
    <w:rPr>
      <w:noProof/>
      <w:sz w:val="20"/>
    </w:rPr>
  </w:style>
  <w:style w:type="paragraph" w:styleId="Footer">
    <w:name w:val="footer"/>
    <w:basedOn w:val="Normal"/>
    <w:rsid w:val="001C580D"/>
    <w:pPr>
      <w:tabs>
        <w:tab w:val="center" w:pos="4819"/>
        <w:tab w:val="right" w:pos="9638"/>
      </w:tabs>
    </w:pPr>
    <w:rPr>
      <w:noProof/>
      <w:sz w:val="20"/>
    </w:rPr>
  </w:style>
  <w:style w:type="paragraph" w:styleId="BodyText">
    <w:name w:val="Body Text"/>
    <w:basedOn w:val="Normal"/>
    <w:rsid w:val="001C580D"/>
    <w:pPr>
      <w:tabs>
        <w:tab w:val="left" w:pos="7371"/>
        <w:tab w:val="right" w:pos="9639"/>
      </w:tabs>
      <w:ind w:right="3117"/>
    </w:pPr>
  </w:style>
  <w:style w:type="paragraph" w:customStyle="1" w:styleId="Vedr">
    <w:name w:val="Vedr"/>
    <w:basedOn w:val="Normal"/>
    <w:rsid w:val="00184C6C"/>
    <w:pPr>
      <w:pBdr>
        <w:bottom w:val="single" w:sz="6" w:space="2" w:color="auto"/>
      </w:pBdr>
      <w:ind w:left="851" w:hanging="851"/>
    </w:pPr>
    <w:rPr>
      <w:b/>
    </w:rPr>
  </w:style>
  <w:style w:type="paragraph" w:customStyle="1" w:styleId="Modtager">
    <w:name w:val="Modtager"/>
    <w:basedOn w:val="Normal"/>
    <w:rsid w:val="00184C6C"/>
    <w:pPr>
      <w:spacing w:line="240" w:lineRule="auto"/>
    </w:pPr>
  </w:style>
  <w:style w:type="paragraph" w:customStyle="1" w:styleId="Opstilmat">
    <w:name w:val="Opstil m. at"/>
    <w:basedOn w:val="Normal"/>
    <w:rsid w:val="001C580D"/>
    <w:pPr>
      <w:numPr>
        <w:numId w:val="36"/>
      </w:numPr>
    </w:pPr>
    <w:rPr>
      <w:szCs w:val="22"/>
    </w:rPr>
  </w:style>
  <w:style w:type="paragraph" w:customStyle="1" w:styleId="Datoogjnr">
    <w:name w:val="Dato og j.nr."/>
    <w:basedOn w:val="Normal"/>
    <w:semiHidden/>
    <w:rsid w:val="00367284"/>
    <w:pPr>
      <w:framePr w:w="2268" w:vSpace="181" w:wrap="around" w:vAnchor="page" w:hAnchor="page" w:x="9016" w:y="5784"/>
      <w:spacing w:line="280" w:lineRule="atLeast"/>
    </w:pPr>
    <w:rPr>
      <w:spacing w:val="3"/>
      <w:sz w:val="12"/>
      <w:szCs w:val="12"/>
      <w:lang w:eastAsia="en-US"/>
    </w:rPr>
  </w:style>
  <w:style w:type="paragraph" w:customStyle="1" w:styleId="Advokat">
    <w:name w:val="Advokat"/>
    <w:basedOn w:val="Normal"/>
    <w:semiHidden/>
    <w:rsid w:val="00367284"/>
    <w:pPr>
      <w:framePr w:w="2552" w:vSpace="181" w:wrap="around" w:vAnchor="page" w:hAnchor="page" w:x="9016" w:y="6578"/>
      <w:spacing w:line="280" w:lineRule="atLeast"/>
    </w:pPr>
    <w:rPr>
      <w:spacing w:val="3"/>
      <w:sz w:val="12"/>
      <w:szCs w:val="12"/>
      <w:lang w:eastAsia="en-US"/>
    </w:rPr>
  </w:style>
  <w:style w:type="paragraph" w:customStyle="1" w:styleId="tabulator">
    <w:name w:val="tabulator"/>
    <w:basedOn w:val="Normal"/>
    <w:rsid w:val="001C580D"/>
    <w:pPr>
      <w:tabs>
        <w:tab w:val="right" w:pos="8789"/>
      </w:tabs>
      <w:ind w:right="3402"/>
    </w:pPr>
  </w:style>
  <w:style w:type="table" w:styleId="TableGrid">
    <w:name w:val="Table Grid"/>
    <w:basedOn w:val="TableNormal"/>
    <w:rsid w:val="00367284"/>
    <w:pPr>
      <w:spacing w:line="320" w:lineRule="atLeast"/>
      <w:jc w:val="both"/>
    </w:pPr>
    <w:tblPr/>
  </w:style>
  <w:style w:type="paragraph" w:customStyle="1" w:styleId="Nysidetal">
    <w:name w:val="Nysidetal"/>
    <w:basedOn w:val="Normal"/>
    <w:semiHidden/>
    <w:rsid w:val="00367284"/>
    <w:pPr>
      <w:framePr w:w="1418" w:vSpace="181" w:wrap="around" w:vAnchor="page" w:hAnchor="page" w:x="9016" w:y="15792"/>
      <w:tabs>
        <w:tab w:val="center" w:pos="4819"/>
        <w:tab w:val="right" w:pos="9638"/>
      </w:tabs>
      <w:spacing w:line="280" w:lineRule="atLeast"/>
      <w:jc w:val="right"/>
    </w:pPr>
    <w:rPr>
      <w:b/>
      <w:sz w:val="12"/>
      <w:szCs w:val="12"/>
      <w:lang w:eastAsia="en-US"/>
    </w:rPr>
  </w:style>
  <w:style w:type="character" w:styleId="PageNumber">
    <w:name w:val="page number"/>
    <w:basedOn w:val="DefaultParagraphFont"/>
    <w:semiHidden/>
    <w:rsid w:val="00367284"/>
  </w:style>
  <w:style w:type="paragraph" w:customStyle="1" w:styleId="Opstilmbogstav">
    <w:name w:val="Opstil m. bogstav"/>
    <w:basedOn w:val="Normal"/>
    <w:rsid w:val="001C580D"/>
    <w:pPr>
      <w:numPr>
        <w:numId w:val="34"/>
      </w:numPr>
      <w:tabs>
        <w:tab w:val="left" w:pos="2268"/>
      </w:tabs>
      <w:ind w:left="1702" w:hanging="851"/>
    </w:pPr>
    <w:rPr>
      <w:szCs w:val="22"/>
    </w:rPr>
  </w:style>
  <w:style w:type="paragraph" w:customStyle="1" w:styleId="Opstilmpunkt-">
    <w:name w:val="Opstil m. punkt -"/>
    <w:basedOn w:val="Normal"/>
    <w:rsid w:val="001C580D"/>
    <w:pPr>
      <w:numPr>
        <w:numId w:val="6"/>
      </w:numPr>
      <w:ind w:left="1702"/>
    </w:pPr>
    <w:rPr>
      <w:szCs w:val="22"/>
    </w:rPr>
  </w:style>
  <w:style w:type="paragraph" w:customStyle="1" w:styleId="Opstilmtal">
    <w:name w:val="Opstil m. tal"/>
    <w:basedOn w:val="Normal"/>
    <w:rsid w:val="001C580D"/>
    <w:pPr>
      <w:numPr>
        <w:numId w:val="35"/>
      </w:numPr>
      <w:tabs>
        <w:tab w:val="left" w:pos="6521"/>
      </w:tabs>
      <w:ind w:left="1702" w:hanging="851"/>
    </w:pPr>
    <w:rPr>
      <w:szCs w:val="22"/>
    </w:rPr>
  </w:style>
  <w:style w:type="paragraph" w:customStyle="1" w:styleId="Opstilmedfirkant">
    <w:name w:val="Opstil med firkant"/>
    <w:basedOn w:val="Normal"/>
    <w:rsid w:val="001C580D"/>
    <w:pPr>
      <w:numPr>
        <w:numId w:val="7"/>
      </w:numPr>
      <w:autoSpaceDE w:val="0"/>
      <w:autoSpaceDN w:val="0"/>
    </w:pPr>
    <w:rPr>
      <w:szCs w:val="22"/>
      <w:lang w:eastAsia="en-US"/>
    </w:rPr>
  </w:style>
  <w:style w:type="paragraph" w:customStyle="1" w:styleId="Opstilmedprikmfyld">
    <w:name w:val="Opstil med prik m/fyld"/>
    <w:basedOn w:val="Opstilmpunkt-"/>
    <w:rsid w:val="001C580D"/>
    <w:pPr>
      <w:numPr>
        <w:numId w:val="8"/>
      </w:numPr>
    </w:pPr>
  </w:style>
  <w:style w:type="paragraph" w:customStyle="1" w:styleId="dokumentoverskrift">
    <w:name w:val="dokumentoverskrift"/>
    <w:basedOn w:val="Normal"/>
    <w:next w:val="Normal"/>
    <w:rsid w:val="001C580D"/>
    <w:pPr>
      <w:keepNext/>
      <w:spacing w:after="640"/>
      <w:jc w:val="left"/>
    </w:pPr>
    <w:rPr>
      <w:b/>
      <w:caps/>
      <w:spacing w:val="26"/>
      <w:sz w:val="24"/>
    </w:rPr>
  </w:style>
  <w:style w:type="paragraph" w:styleId="TOC1">
    <w:name w:val="toc 1"/>
    <w:basedOn w:val="Normal"/>
    <w:next w:val="Normal"/>
    <w:autoRedefine/>
    <w:semiHidden/>
    <w:rsid w:val="001C580D"/>
    <w:pPr>
      <w:tabs>
        <w:tab w:val="clear" w:pos="1701"/>
        <w:tab w:val="clear" w:pos="2552"/>
        <w:tab w:val="clear" w:pos="3402"/>
        <w:tab w:val="clear" w:pos="4253"/>
        <w:tab w:val="clear" w:pos="5103"/>
        <w:tab w:val="clear" w:pos="5954"/>
        <w:tab w:val="clear" w:pos="6804"/>
        <w:tab w:val="clear" w:pos="7655"/>
        <w:tab w:val="clear" w:pos="8505"/>
        <w:tab w:val="right" w:leader="dot" w:pos="7938"/>
      </w:tabs>
    </w:pPr>
  </w:style>
  <w:style w:type="character" w:styleId="CommentReference">
    <w:name w:val="annotation reference"/>
    <w:semiHidden/>
    <w:rsid w:val="00BC6869"/>
    <w:rPr>
      <w:sz w:val="16"/>
      <w:szCs w:val="16"/>
    </w:rPr>
  </w:style>
  <w:style w:type="paragraph" w:styleId="CommentText">
    <w:name w:val="annotation text"/>
    <w:basedOn w:val="Normal"/>
    <w:semiHidden/>
    <w:rsid w:val="00BC6869"/>
    <w:rPr>
      <w:sz w:val="20"/>
    </w:rPr>
  </w:style>
  <w:style w:type="paragraph" w:styleId="CommentSubject">
    <w:name w:val="annotation subject"/>
    <w:basedOn w:val="CommentText"/>
    <w:next w:val="CommentText"/>
    <w:semiHidden/>
    <w:rsid w:val="00BC6869"/>
    <w:rPr>
      <w:b/>
      <w:bCs/>
    </w:rPr>
  </w:style>
  <w:style w:type="paragraph" w:styleId="BalloonText">
    <w:name w:val="Balloon Text"/>
    <w:basedOn w:val="Normal"/>
    <w:semiHidden/>
    <w:rsid w:val="00BC6869"/>
    <w:rPr>
      <w:rFonts w:ascii="Tahoma" w:hAnsi="Tahoma" w:cs="Tahoma"/>
      <w:sz w:val="16"/>
      <w:szCs w:val="16"/>
    </w:rPr>
  </w:style>
  <w:style w:type="character" w:styleId="FootnoteReference">
    <w:name w:val="footnote reference"/>
    <w:basedOn w:val="DefaultParagraphFont"/>
    <w:rsid w:val="001C580D"/>
    <w:rPr>
      <w:rFonts w:ascii="Times New Roman" w:hAnsi="Times New Roman"/>
      <w:sz w:val="20"/>
      <w:vertAlign w:val="superscript"/>
    </w:rPr>
  </w:style>
  <w:style w:type="paragraph" w:styleId="FootnoteText">
    <w:name w:val="footnote text"/>
    <w:basedOn w:val="Normal"/>
    <w:link w:val="FootnoteTextChar"/>
    <w:rsid w:val="001C580D"/>
    <w:pPr>
      <w:spacing w:line="240" w:lineRule="auto"/>
    </w:pPr>
    <w:rPr>
      <w:sz w:val="20"/>
    </w:rPr>
  </w:style>
  <w:style w:type="character" w:customStyle="1" w:styleId="FootnoteTextChar">
    <w:name w:val="Footnote Text Char"/>
    <w:basedOn w:val="DefaultParagraphFont"/>
    <w:link w:val="FootnoteText"/>
    <w:rsid w:val="001C580D"/>
    <w:rPr>
      <w:lang w:val="en-GB"/>
    </w:rPr>
  </w:style>
  <w:style w:type="character" w:customStyle="1" w:styleId="Heading6Char">
    <w:name w:val="Heading 6 Char"/>
    <w:aliases w:val="Legal Level 1. Char,h6 Char,H6 Char,a. Char,dash GS Char,level6 Char,L1 PIP Char,Name of Org Char,Body Text 5 Char,as Char Char,Heading 6(unused) Char,Points in Text Char,(I) Char,6 Char,as Char1,a.1 Char,Lev 6 Char,a Char,Sub5Para Char"/>
    <w:basedOn w:val="DefaultParagraphFont"/>
    <w:link w:val="Heading6"/>
    <w:rsid w:val="001C580D"/>
    <w:rPr>
      <w:sz w:val="22"/>
      <w:lang w:val="en-GB"/>
    </w:rPr>
  </w:style>
  <w:style w:type="paragraph" w:styleId="Revision">
    <w:name w:val="Revision"/>
    <w:hidden/>
    <w:uiPriority w:val="99"/>
    <w:semiHidden/>
    <w:rsid w:val="009115C6"/>
    <w:rPr>
      <w:sz w:val="22"/>
      <w:lang w:val="en-GB"/>
    </w:rPr>
  </w:style>
  <w:style w:type="character" w:styleId="Hyperlink">
    <w:name w:val="Hyperlink"/>
    <w:basedOn w:val="DefaultParagraphFont"/>
    <w:uiPriority w:val="99"/>
    <w:rsid w:val="005B6B41"/>
    <w:rPr>
      <w:color w:val="0563C1" w:themeColor="hyperlink"/>
      <w:u w:val="single"/>
    </w:rPr>
  </w:style>
  <w:style w:type="character" w:styleId="UnresolvedMention">
    <w:name w:val="Unresolved Mention"/>
    <w:basedOn w:val="DefaultParagraphFont"/>
    <w:uiPriority w:val="99"/>
    <w:semiHidden/>
    <w:unhideWhenUsed/>
    <w:rsid w:val="005B6B41"/>
    <w:rPr>
      <w:color w:val="605E5C"/>
      <w:shd w:val="clear" w:color="auto" w:fill="E1DFDD"/>
    </w:rPr>
  </w:style>
  <w:style w:type="character" w:customStyle="1" w:styleId="HeaderChar">
    <w:name w:val="Header Char"/>
    <w:basedOn w:val="DefaultParagraphFont"/>
    <w:link w:val="Header"/>
    <w:uiPriority w:val="99"/>
    <w:rsid w:val="00C54518"/>
    <w:rPr>
      <w:noProof/>
      <w:lang w:val="en-GB"/>
    </w:rPr>
  </w:style>
  <w:style w:type="paragraph" w:styleId="ListParagraph">
    <w:name w:val="List Paragraph"/>
    <w:basedOn w:val="Normal"/>
    <w:uiPriority w:val="34"/>
    <w:qFormat/>
    <w:rsid w:val="00A55CEC"/>
    <w:pPr>
      <w:ind w:left="720"/>
      <w:contextualSpacing/>
    </w:pPr>
  </w:style>
  <w:style w:type="character" w:styleId="FollowedHyperlink">
    <w:name w:val="FollowedHyperlink"/>
    <w:basedOn w:val="DefaultParagraphFont"/>
    <w:rsid w:val="00B45A3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595115">
      <w:bodyDiv w:val="1"/>
      <w:marLeft w:val="0"/>
      <w:marRight w:val="0"/>
      <w:marTop w:val="0"/>
      <w:marBottom w:val="0"/>
      <w:divBdr>
        <w:top w:val="none" w:sz="0" w:space="0" w:color="auto"/>
        <w:left w:val="none" w:sz="0" w:space="0" w:color="auto"/>
        <w:bottom w:val="none" w:sz="0" w:space="0" w:color="auto"/>
        <w:right w:val="none" w:sz="0" w:space="0" w:color="auto"/>
      </w:divBdr>
    </w:div>
    <w:div w:id="266083479">
      <w:bodyDiv w:val="1"/>
      <w:marLeft w:val="0"/>
      <w:marRight w:val="0"/>
      <w:marTop w:val="0"/>
      <w:marBottom w:val="0"/>
      <w:divBdr>
        <w:top w:val="none" w:sz="0" w:space="0" w:color="auto"/>
        <w:left w:val="none" w:sz="0" w:space="0" w:color="auto"/>
        <w:bottom w:val="none" w:sz="0" w:space="0" w:color="auto"/>
        <w:right w:val="none" w:sz="0" w:space="0" w:color="auto"/>
      </w:divBdr>
    </w:div>
    <w:div w:id="303002798">
      <w:bodyDiv w:val="1"/>
      <w:marLeft w:val="0"/>
      <w:marRight w:val="0"/>
      <w:marTop w:val="0"/>
      <w:marBottom w:val="0"/>
      <w:divBdr>
        <w:top w:val="none" w:sz="0" w:space="0" w:color="auto"/>
        <w:left w:val="none" w:sz="0" w:space="0" w:color="auto"/>
        <w:bottom w:val="none" w:sz="0" w:space="0" w:color="auto"/>
        <w:right w:val="none" w:sz="0" w:space="0" w:color="auto"/>
      </w:divBdr>
    </w:div>
    <w:div w:id="331224796">
      <w:bodyDiv w:val="1"/>
      <w:marLeft w:val="0"/>
      <w:marRight w:val="0"/>
      <w:marTop w:val="0"/>
      <w:marBottom w:val="0"/>
      <w:divBdr>
        <w:top w:val="none" w:sz="0" w:space="0" w:color="auto"/>
        <w:left w:val="none" w:sz="0" w:space="0" w:color="auto"/>
        <w:bottom w:val="none" w:sz="0" w:space="0" w:color="auto"/>
        <w:right w:val="none" w:sz="0" w:space="0" w:color="auto"/>
      </w:divBdr>
    </w:div>
    <w:div w:id="354699039">
      <w:bodyDiv w:val="1"/>
      <w:marLeft w:val="0"/>
      <w:marRight w:val="0"/>
      <w:marTop w:val="0"/>
      <w:marBottom w:val="0"/>
      <w:divBdr>
        <w:top w:val="none" w:sz="0" w:space="0" w:color="auto"/>
        <w:left w:val="none" w:sz="0" w:space="0" w:color="auto"/>
        <w:bottom w:val="none" w:sz="0" w:space="0" w:color="auto"/>
        <w:right w:val="none" w:sz="0" w:space="0" w:color="auto"/>
      </w:divBdr>
    </w:div>
    <w:div w:id="433288426">
      <w:bodyDiv w:val="1"/>
      <w:marLeft w:val="0"/>
      <w:marRight w:val="0"/>
      <w:marTop w:val="0"/>
      <w:marBottom w:val="0"/>
      <w:divBdr>
        <w:top w:val="none" w:sz="0" w:space="0" w:color="auto"/>
        <w:left w:val="none" w:sz="0" w:space="0" w:color="auto"/>
        <w:bottom w:val="none" w:sz="0" w:space="0" w:color="auto"/>
        <w:right w:val="none" w:sz="0" w:space="0" w:color="auto"/>
      </w:divBdr>
    </w:div>
    <w:div w:id="507402986">
      <w:bodyDiv w:val="1"/>
      <w:marLeft w:val="0"/>
      <w:marRight w:val="0"/>
      <w:marTop w:val="0"/>
      <w:marBottom w:val="0"/>
      <w:divBdr>
        <w:top w:val="none" w:sz="0" w:space="0" w:color="auto"/>
        <w:left w:val="none" w:sz="0" w:space="0" w:color="auto"/>
        <w:bottom w:val="none" w:sz="0" w:space="0" w:color="auto"/>
        <w:right w:val="none" w:sz="0" w:space="0" w:color="auto"/>
      </w:divBdr>
    </w:div>
    <w:div w:id="570506498">
      <w:bodyDiv w:val="1"/>
      <w:marLeft w:val="0"/>
      <w:marRight w:val="0"/>
      <w:marTop w:val="0"/>
      <w:marBottom w:val="0"/>
      <w:divBdr>
        <w:top w:val="none" w:sz="0" w:space="0" w:color="auto"/>
        <w:left w:val="none" w:sz="0" w:space="0" w:color="auto"/>
        <w:bottom w:val="none" w:sz="0" w:space="0" w:color="auto"/>
        <w:right w:val="none" w:sz="0" w:space="0" w:color="auto"/>
      </w:divBdr>
    </w:div>
    <w:div w:id="666983769">
      <w:bodyDiv w:val="1"/>
      <w:marLeft w:val="0"/>
      <w:marRight w:val="0"/>
      <w:marTop w:val="0"/>
      <w:marBottom w:val="0"/>
      <w:divBdr>
        <w:top w:val="none" w:sz="0" w:space="0" w:color="auto"/>
        <w:left w:val="none" w:sz="0" w:space="0" w:color="auto"/>
        <w:bottom w:val="none" w:sz="0" w:space="0" w:color="auto"/>
        <w:right w:val="none" w:sz="0" w:space="0" w:color="auto"/>
      </w:divBdr>
    </w:div>
    <w:div w:id="669257441">
      <w:bodyDiv w:val="1"/>
      <w:marLeft w:val="0"/>
      <w:marRight w:val="0"/>
      <w:marTop w:val="0"/>
      <w:marBottom w:val="0"/>
      <w:divBdr>
        <w:top w:val="none" w:sz="0" w:space="0" w:color="auto"/>
        <w:left w:val="none" w:sz="0" w:space="0" w:color="auto"/>
        <w:bottom w:val="none" w:sz="0" w:space="0" w:color="auto"/>
        <w:right w:val="none" w:sz="0" w:space="0" w:color="auto"/>
      </w:divBdr>
    </w:div>
    <w:div w:id="688608887">
      <w:bodyDiv w:val="1"/>
      <w:marLeft w:val="0"/>
      <w:marRight w:val="0"/>
      <w:marTop w:val="0"/>
      <w:marBottom w:val="0"/>
      <w:divBdr>
        <w:top w:val="none" w:sz="0" w:space="0" w:color="auto"/>
        <w:left w:val="none" w:sz="0" w:space="0" w:color="auto"/>
        <w:bottom w:val="none" w:sz="0" w:space="0" w:color="auto"/>
        <w:right w:val="none" w:sz="0" w:space="0" w:color="auto"/>
      </w:divBdr>
    </w:div>
    <w:div w:id="691153292">
      <w:bodyDiv w:val="1"/>
      <w:marLeft w:val="0"/>
      <w:marRight w:val="0"/>
      <w:marTop w:val="0"/>
      <w:marBottom w:val="0"/>
      <w:divBdr>
        <w:top w:val="none" w:sz="0" w:space="0" w:color="auto"/>
        <w:left w:val="none" w:sz="0" w:space="0" w:color="auto"/>
        <w:bottom w:val="none" w:sz="0" w:space="0" w:color="auto"/>
        <w:right w:val="none" w:sz="0" w:space="0" w:color="auto"/>
      </w:divBdr>
    </w:div>
    <w:div w:id="805200473">
      <w:bodyDiv w:val="1"/>
      <w:marLeft w:val="0"/>
      <w:marRight w:val="0"/>
      <w:marTop w:val="0"/>
      <w:marBottom w:val="0"/>
      <w:divBdr>
        <w:top w:val="none" w:sz="0" w:space="0" w:color="auto"/>
        <w:left w:val="none" w:sz="0" w:space="0" w:color="auto"/>
        <w:bottom w:val="none" w:sz="0" w:space="0" w:color="auto"/>
        <w:right w:val="none" w:sz="0" w:space="0" w:color="auto"/>
      </w:divBdr>
    </w:div>
    <w:div w:id="827089444">
      <w:bodyDiv w:val="1"/>
      <w:marLeft w:val="0"/>
      <w:marRight w:val="0"/>
      <w:marTop w:val="0"/>
      <w:marBottom w:val="0"/>
      <w:divBdr>
        <w:top w:val="none" w:sz="0" w:space="0" w:color="auto"/>
        <w:left w:val="none" w:sz="0" w:space="0" w:color="auto"/>
        <w:bottom w:val="none" w:sz="0" w:space="0" w:color="auto"/>
        <w:right w:val="none" w:sz="0" w:space="0" w:color="auto"/>
      </w:divBdr>
    </w:div>
    <w:div w:id="1062871705">
      <w:bodyDiv w:val="1"/>
      <w:marLeft w:val="0"/>
      <w:marRight w:val="0"/>
      <w:marTop w:val="0"/>
      <w:marBottom w:val="0"/>
      <w:divBdr>
        <w:top w:val="none" w:sz="0" w:space="0" w:color="auto"/>
        <w:left w:val="none" w:sz="0" w:space="0" w:color="auto"/>
        <w:bottom w:val="none" w:sz="0" w:space="0" w:color="auto"/>
        <w:right w:val="none" w:sz="0" w:space="0" w:color="auto"/>
      </w:divBdr>
    </w:div>
    <w:div w:id="1141845363">
      <w:bodyDiv w:val="1"/>
      <w:marLeft w:val="0"/>
      <w:marRight w:val="0"/>
      <w:marTop w:val="0"/>
      <w:marBottom w:val="0"/>
      <w:divBdr>
        <w:top w:val="none" w:sz="0" w:space="0" w:color="auto"/>
        <w:left w:val="none" w:sz="0" w:space="0" w:color="auto"/>
        <w:bottom w:val="none" w:sz="0" w:space="0" w:color="auto"/>
        <w:right w:val="none" w:sz="0" w:space="0" w:color="auto"/>
      </w:divBdr>
    </w:div>
    <w:div w:id="1148741013">
      <w:bodyDiv w:val="1"/>
      <w:marLeft w:val="0"/>
      <w:marRight w:val="0"/>
      <w:marTop w:val="0"/>
      <w:marBottom w:val="0"/>
      <w:divBdr>
        <w:top w:val="none" w:sz="0" w:space="0" w:color="auto"/>
        <w:left w:val="none" w:sz="0" w:space="0" w:color="auto"/>
        <w:bottom w:val="none" w:sz="0" w:space="0" w:color="auto"/>
        <w:right w:val="none" w:sz="0" w:space="0" w:color="auto"/>
      </w:divBdr>
    </w:div>
    <w:div w:id="1163743619">
      <w:bodyDiv w:val="1"/>
      <w:marLeft w:val="0"/>
      <w:marRight w:val="0"/>
      <w:marTop w:val="0"/>
      <w:marBottom w:val="0"/>
      <w:divBdr>
        <w:top w:val="none" w:sz="0" w:space="0" w:color="auto"/>
        <w:left w:val="none" w:sz="0" w:space="0" w:color="auto"/>
        <w:bottom w:val="none" w:sz="0" w:space="0" w:color="auto"/>
        <w:right w:val="none" w:sz="0" w:space="0" w:color="auto"/>
      </w:divBdr>
    </w:div>
    <w:div w:id="1184319222">
      <w:bodyDiv w:val="1"/>
      <w:marLeft w:val="0"/>
      <w:marRight w:val="0"/>
      <w:marTop w:val="0"/>
      <w:marBottom w:val="0"/>
      <w:divBdr>
        <w:top w:val="none" w:sz="0" w:space="0" w:color="auto"/>
        <w:left w:val="none" w:sz="0" w:space="0" w:color="auto"/>
        <w:bottom w:val="none" w:sz="0" w:space="0" w:color="auto"/>
        <w:right w:val="none" w:sz="0" w:space="0" w:color="auto"/>
      </w:divBdr>
    </w:div>
    <w:div w:id="1214000911">
      <w:bodyDiv w:val="1"/>
      <w:marLeft w:val="0"/>
      <w:marRight w:val="0"/>
      <w:marTop w:val="0"/>
      <w:marBottom w:val="0"/>
      <w:divBdr>
        <w:top w:val="none" w:sz="0" w:space="0" w:color="auto"/>
        <w:left w:val="none" w:sz="0" w:space="0" w:color="auto"/>
        <w:bottom w:val="none" w:sz="0" w:space="0" w:color="auto"/>
        <w:right w:val="none" w:sz="0" w:space="0" w:color="auto"/>
      </w:divBdr>
    </w:div>
    <w:div w:id="1228301191">
      <w:bodyDiv w:val="1"/>
      <w:marLeft w:val="0"/>
      <w:marRight w:val="0"/>
      <w:marTop w:val="0"/>
      <w:marBottom w:val="0"/>
      <w:divBdr>
        <w:top w:val="none" w:sz="0" w:space="0" w:color="auto"/>
        <w:left w:val="none" w:sz="0" w:space="0" w:color="auto"/>
        <w:bottom w:val="none" w:sz="0" w:space="0" w:color="auto"/>
        <w:right w:val="none" w:sz="0" w:space="0" w:color="auto"/>
      </w:divBdr>
    </w:div>
    <w:div w:id="1786079156">
      <w:bodyDiv w:val="1"/>
      <w:marLeft w:val="0"/>
      <w:marRight w:val="0"/>
      <w:marTop w:val="0"/>
      <w:marBottom w:val="0"/>
      <w:divBdr>
        <w:top w:val="none" w:sz="0" w:space="0" w:color="auto"/>
        <w:left w:val="none" w:sz="0" w:space="0" w:color="auto"/>
        <w:bottom w:val="none" w:sz="0" w:space="0" w:color="auto"/>
        <w:right w:val="none" w:sz="0" w:space="0" w:color="auto"/>
      </w:divBdr>
    </w:div>
    <w:div w:id="1842550072">
      <w:bodyDiv w:val="1"/>
      <w:marLeft w:val="0"/>
      <w:marRight w:val="0"/>
      <w:marTop w:val="0"/>
      <w:marBottom w:val="0"/>
      <w:divBdr>
        <w:top w:val="none" w:sz="0" w:space="0" w:color="auto"/>
        <w:left w:val="none" w:sz="0" w:space="0" w:color="auto"/>
        <w:bottom w:val="none" w:sz="0" w:space="0" w:color="auto"/>
        <w:right w:val="none" w:sz="0" w:space="0" w:color="auto"/>
      </w:divBdr>
    </w:div>
    <w:div w:id="2071493674">
      <w:bodyDiv w:val="1"/>
      <w:marLeft w:val="0"/>
      <w:marRight w:val="0"/>
      <w:marTop w:val="0"/>
      <w:marBottom w:val="0"/>
      <w:divBdr>
        <w:top w:val="none" w:sz="0" w:space="0" w:color="auto"/>
        <w:left w:val="none" w:sz="0" w:space="0" w:color="auto"/>
        <w:bottom w:val="none" w:sz="0" w:space="0" w:color="auto"/>
        <w:right w:val="none" w:sz="0" w:space="0" w:color="auto"/>
      </w:divBdr>
    </w:div>
    <w:div w:id="2097708992">
      <w:bodyDiv w:val="1"/>
      <w:marLeft w:val="0"/>
      <w:marRight w:val="0"/>
      <w:marTop w:val="0"/>
      <w:marBottom w:val="0"/>
      <w:divBdr>
        <w:top w:val="none" w:sz="0" w:space="0" w:color="auto"/>
        <w:left w:val="none" w:sz="0" w:space="0" w:color="auto"/>
        <w:bottom w:val="none" w:sz="0" w:space="0" w:color="auto"/>
        <w:right w:val="none" w:sz="0" w:space="0" w:color="auto"/>
      </w:divBdr>
    </w:div>
    <w:div w:id="2118987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reudenberg.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freudenberg.com/en/documentsforoffer"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freudenberg.com/en/documentsforoffe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pl@reliance.dk"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ichael.scheuer@freudenberg.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Skabelon\System\DokumentBasisUK.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kument" ma:contentTypeID="0x010100F412243B4E0383428C1CE8BD017DD362" ma:contentTypeVersion="3" ma:contentTypeDescription="Opret et nyt dokument." ma:contentTypeScope="" ma:versionID="515045a19a8860b3f87e2ebc763ecfce">
  <xsd:schema xmlns:xsd="http://www.w3.org/2001/XMLSchema" xmlns:xs="http://www.w3.org/2001/XMLSchema" xmlns:p="http://schemas.microsoft.com/office/2006/metadata/properties" xmlns:ns2="266a33ad-9bb2-4321-bbb2-14894cf73052" targetNamespace="http://schemas.microsoft.com/office/2006/metadata/properties" ma:root="true" ma:fieldsID="901734f3579a4a0ea460564e904b753b" ns2:_="">
    <xsd:import namespace="266a33ad-9bb2-4321-bbb2-14894cf7305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6a33ad-9bb2-4321-bbb2-14894cf730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629483-DFA4-4880-A657-4397891285A1}">
  <ds:schemaRefs>
    <ds:schemaRef ds:uri="http://schemas.microsoft.com/office/2006/metadata/longProperties"/>
  </ds:schemaRefs>
</ds:datastoreItem>
</file>

<file path=customXml/itemProps2.xml><?xml version="1.0" encoding="utf-8"?>
<ds:datastoreItem xmlns:ds="http://schemas.openxmlformats.org/officeDocument/2006/customXml" ds:itemID="{5D406DBE-77A8-40B6-959A-F7741C0944C1}">
  <ds:schemaRefs>
    <ds:schemaRef ds:uri="http://schemas.openxmlformats.org/package/2006/metadata/core-properties"/>
    <ds:schemaRef ds:uri="http://schemas.microsoft.com/office/2006/documentManagement/types"/>
    <ds:schemaRef ds:uri="http://schemas.microsoft.com/office/2006/metadata/properties"/>
    <ds:schemaRef ds:uri="http://schemas.microsoft.com/office/infopath/2007/PartnerControls"/>
    <ds:schemaRef ds:uri="http://purl.org/dc/elements/1.1/"/>
    <ds:schemaRef ds:uri="http://purl.org/dc/terms/"/>
    <ds:schemaRef ds:uri="http://www.w3.org/XML/1998/namespace"/>
    <ds:schemaRef ds:uri="http://purl.org/dc/dcmitype/"/>
    <ds:schemaRef ds:uri="266a33ad-9bb2-4321-bbb2-14894cf73052"/>
  </ds:schemaRefs>
</ds:datastoreItem>
</file>

<file path=customXml/itemProps3.xml><?xml version="1.0" encoding="utf-8"?>
<ds:datastoreItem xmlns:ds="http://schemas.openxmlformats.org/officeDocument/2006/customXml" ds:itemID="{736A888F-C1D4-4C83-982D-2CAB8631FFA1}">
  <ds:schemaRefs>
    <ds:schemaRef ds:uri="http://schemas.microsoft.com/sharepoint/v3/contenttype/forms"/>
  </ds:schemaRefs>
</ds:datastoreItem>
</file>

<file path=customXml/itemProps4.xml><?xml version="1.0" encoding="utf-8"?>
<ds:datastoreItem xmlns:ds="http://schemas.openxmlformats.org/officeDocument/2006/customXml" ds:itemID="{B55E0B3D-D254-488B-A849-033CC9BE2398}">
  <ds:schemaRefs>
    <ds:schemaRef ds:uri="http://schemas.openxmlformats.org/officeDocument/2006/bibliography"/>
  </ds:schemaRefs>
</ds:datastoreItem>
</file>

<file path=customXml/itemProps5.xml><?xml version="1.0" encoding="utf-8"?>
<ds:datastoreItem xmlns:ds="http://schemas.openxmlformats.org/officeDocument/2006/customXml" ds:itemID="{F56737E4-7D38-44D0-A2C5-E002B68A63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6a33ad-9bb2-4321-bbb2-14894cf730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DokumentBasisUK</Template>
  <TotalTime>11</TotalTime>
  <Pages>1</Pages>
  <Words>3605</Words>
  <Characters>20658</Characters>
  <Application>Microsoft Office Word</Application>
  <DocSecurity>0</DocSecurity>
  <Lines>172</Lines>
  <Paragraphs>48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3 1 Notice of termination - ikke fritstilling-suspension - UK</vt:lpstr>
      <vt:lpstr>3 1 Notice of termination - ikke fritstilling-suspension - UK</vt:lpstr>
    </vt:vector>
  </TitlesOfParts>
  <Company>Moalem Weitemeyer Bendtsen Advokatpartnerselskab</Company>
  <LinksUpToDate>false</LinksUpToDate>
  <CharactersWithSpaces>24215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 1 Notice of termination - ikke fritstilling-suspension - UK</dc:title>
  <dc:subject/>
  <dc:creator>MWB</dc:creator>
  <cp:keywords/>
  <dc:description/>
  <cp:lastModifiedBy>Sumar A. Adely</cp:lastModifiedBy>
  <cp:revision>3</cp:revision>
  <cp:lastPrinted>2008-09-01T09:21:00Z</cp:lastPrinted>
  <dcterms:created xsi:type="dcterms:W3CDTF">2026-01-06T15:22:00Z</dcterms:created>
  <dcterms:modified xsi:type="dcterms:W3CDTF">2026-01-06T16:21:00Z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gFAA9xAl/vizjZhWL2g6umP4azxxNnyWgtGgHMFD8epJoKIBeYqjvQyb8A32G+a7nSk53BXJ9uAVhOJX_x000d_
hFx4hv1qBkHtFUiEMQ45i1JlWwXUFyjxZ3nnwTz2aC2+5c8oPQGP/lpXWPfNJba8AA/IF5a2Yb4i_x000d_
mvMhFSTJveoMHEKMceQteaYjII0X+PweYldvT1SahwB+6mZSH6u7le/6AfGya75ZopAjyUo51s/Z_x000d_
CxKV+e7sTBKQWLvrM</vt:lpwstr>
  </property>
  <property fmtid="{D5CDD505-2E9C-101B-9397-08002B2CF9AE}" pid="3" name="MAIL_MSG_ID2">
    <vt:lpwstr>H277JJR5CRCm+Iq6ZMIUBI37v+SGEZ9uLI4POYuzx4sig5lauV/6LtzCJUO_x000d_
s+ARA+r+SmBMlU+C8ZAYmri5unJrYP5pH7sDjQ==</vt:lpwstr>
  </property>
  <property fmtid="{D5CDD505-2E9C-101B-9397-08002B2CF9AE}" pid="4" name="RESPONSE_SENDER_NAME">
    <vt:lpwstr>gAAAJ+PfKkF/6hjVoeqmkmq+x54hvVJPzBgH</vt:lpwstr>
  </property>
  <property fmtid="{D5CDD505-2E9C-101B-9397-08002B2CF9AE}" pid="5" name="EMAIL_OWNER_ADDRESS">
    <vt:lpwstr>sAAA4E8dREqJqIqv1a674gQ+nx5Wyb/68fBCR/d1eRMKYNg=</vt:lpwstr>
  </property>
  <property fmtid="{D5CDD505-2E9C-101B-9397-08002B2CF9AE}" pid="6" name="ContentType">
    <vt:lpwstr>Dokument</vt:lpwstr>
  </property>
  <property fmtid="{D5CDD505-2E9C-101B-9397-08002B2CF9AE}" pid="7" name="_dlc_DocId">
    <vt:lpwstr>2P2VU67DSCMU-29-3890</vt:lpwstr>
  </property>
  <property fmtid="{D5CDD505-2E9C-101B-9397-08002B2CF9AE}" pid="8" name="_dlc_DocIdItemGuid">
    <vt:lpwstr>c3ce06bc-7664-4f4b-9554-2d52f4f263d9</vt:lpwstr>
  </property>
  <property fmtid="{D5CDD505-2E9C-101B-9397-08002B2CF9AE}" pid="9" name="_dlc_DocIdUrl">
    <vt:lpwstr>http://intra02.mwblaw.local/paradigma/_layouts/DocIdRedir.aspx?ID=2P2VU67DSCMU-29-3890, 2P2VU67DSCMU-29-3890</vt:lpwstr>
  </property>
  <property fmtid="{D5CDD505-2E9C-101B-9397-08002B2CF9AE}" pid="10" name="ContentTypeId">
    <vt:lpwstr>0x010100F412243B4E0383428C1CE8BD017DD362</vt:lpwstr>
  </property>
  <property fmtid="{D5CDD505-2E9C-101B-9397-08002B2CF9AE}" pid="11" name="iManageFooter">
    <vt:lpwstr>1726342v5</vt:lpwstr>
  </property>
  <property fmtid="{D5CDD505-2E9C-101B-9397-08002B2CF9AE}" pid="12" name="docLang">
    <vt:lpwstr>en</vt:lpwstr>
  </property>
</Properties>
</file>