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1F86" w14:textId="4C0312B1" w:rsidR="0014799A" w:rsidRPr="00595546" w:rsidRDefault="00C409D1" w:rsidP="00C409D1">
      <w:r w:rsidRPr="00595546">
        <w:t xml:space="preserve">Bilag til selskabsmeddelelse </w:t>
      </w:r>
      <w:r w:rsidR="00E36DD6" w:rsidRPr="00595546">
        <w:t xml:space="preserve">nr. </w:t>
      </w:r>
      <w:r w:rsidR="00C62B6E" w:rsidRPr="00595546">
        <w:t>2/2026</w:t>
      </w:r>
    </w:p>
    <w:p w14:paraId="3C188807" w14:textId="77777777" w:rsidR="00C409D1" w:rsidRPr="00595546" w:rsidRDefault="00C409D1" w:rsidP="00C409D1"/>
    <w:p w14:paraId="60CE1D83" w14:textId="62959659" w:rsidR="0014799A" w:rsidRPr="00595546" w:rsidRDefault="00595546" w:rsidP="0014799A">
      <w:pPr>
        <w:rPr>
          <w:i/>
          <w:iCs/>
        </w:rPr>
      </w:pPr>
      <w:bookmarkStart w:id="0" w:name="bmStart"/>
      <w:bookmarkEnd w:id="0"/>
      <w:r w:rsidRPr="00595546">
        <w:rPr>
          <w:i/>
          <w:iCs/>
        </w:rPr>
        <w:t>MÅ IKKE OFFENTLIGGØRES, PUBLICERES ELLER UDLEVERES DIREKTE ELLER INDIREKTE I ELLER TIL NOGEN JURISDIKTION, HVOR DETTE VILLE UDGØRE EN OVERTRÆDELSE AF GÆLDENDE LOVGIVNING ELLER REGLER I DEN PÅGÆLDENDE JURISDIKTION.</w:t>
      </w:r>
    </w:p>
    <w:p w14:paraId="14674D7D" w14:textId="77777777" w:rsidR="00C409D1" w:rsidRPr="00595546" w:rsidRDefault="00C409D1" w:rsidP="0014799A"/>
    <w:p w14:paraId="3FC88D62" w14:textId="7145F3F6" w:rsidR="00C409D1" w:rsidRPr="00595546" w:rsidRDefault="00763A55" w:rsidP="00C409D1">
      <w:pPr>
        <w:rPr>
          <w:rFonts w:asciiTheme="majorHAnsi" w:eastAsiaTheme="majorEastAsia" w:hAnsiTheme="majorHAnsi" w:cstheme="majorBidi"/>
          <w:b/>
          <w:bCs/>
          <w:caps/>
          <w:spacing w:val="5"/>
          <w:szCs w:val="32"/>
        </w:rPr>
      </w:pPr>
      <w:r w:rsidRPr="00595546">
        <w:rPr>
          <w:rFonts w:asciiTheme="majorHAnsi" w:eastAsiaTheme="majorEastAsia" w:hAnsiTheme="majorHAnsi" w:cstheme="majorBidi"/>
          <w:b/>
          <w:bCs/>
          <w:caps/>
          <w:spacing w:val="5"/>
          <w:szCs w:val="32"/>
        </w:rPr>
        <w:t xml:space="preserve">Redegørelse </w:t>
      </w:r>
      <w:r w:rsidR="00C409D1" w:rsidRPr="00595546">
        <w:rPr>
          <w:rFonts w:asciiTheme="majorHAnsi" w:eastAsiaTheme="majorEastAsia" w:hAnsiTheme="majorHAnsi" w:cstheme="majorBidi"/>
          <w:b/>
          <w:bCs/>
          <w:caps/>
          <w:spacing w:val="5"/>
          <w:szCs w:val="32"/>
        </w:rPr>
        <w:t xml:space="preserve">AF </w:t>
      </w:r>
      <w:r w:rsidR="00C0302B" w:rsidRPr="00595546">
        <w:rPr>
          <w:rFonts w:asciiTheme="majorHAnsi" w:eastAsiaTheme="majorEastAsia" w:hAnsiTheme="majorHAnsi" w:cstheme="majorBidi"/>
          <w:b/>
          <w:bCs/>
          <w:caps/>
          <w:spacing w:val="5"/>
          <w:szCs w:val="32"/>
        </w:rPr>
        <w:t>7. januar 2026</w:t>
      </w:r>
      <w:r w:rsidR="00B643F0" w:rsidRPr="00595546">
        <w:rPr>
          <w:rFonts w:asciiTheme="majorHAnsi" w:eastAsiaTheme="majorEastAsia" w:hAnsiTheme="majorHAnsi" w:cstheme="majorBidi"/>
          <w:b/>
          <w:bCs/>
          <w:caps/>
          <w:spacing w:val="5"/>
          <w:szCs w:val="32"/>
        </w:rPr>
        <w:t xml:space="preserve"> </w:t>
      </w:r>
      <w:r w:rsidR="007F18C9" w:rsidRPr="00595546">
        <w:rPr>
          <w:rFonts w:asciiTheme="majorHAnsi" w:eastAsiaTheme="majorEastAsia" w:hAnsiTheme="majorHAnsi" w:cstheme="majorBidi"/>
          <w:b/>
          <w:bCs/>
          <w:caps/>
          <w:spacing w:val="5"/>
          <w:szCs w:val="32"/>
        </w:rPr>
        <w:t xml:space="preserve">FRA </w:t>
      </w:r>
      <w:r w:rsidR="00B86488" w:rsidRPr="00595546">
        <w:rPr>
          <w:rFonts w:asciiTheme="majorHAnsi" w:eastAsiaTheme="majorEastAsia" w:hAnsiTheme="majorHAnsi" w:cstheme="majorBidi"/>
          <w:b/>
          <w:bCs/>
          <w:caps/>
          <w:spacing w:val="5"/>
          <w:szCs w:val="32"/>
        </w:rPr>
        <w:t xml:space="preserve">BESTYRELSEN </w:t>
      </w:r>
      <w:r w:rsidR="00C409D1" w:rsidRPr="00595546">
        <w:rPr>
          <w:rFonts w:asciiTheme="majorHAnsi" w:eastAsiaTheme="majorEastAsia" w:hAnsiTheme="majorHAnsi" w:cstheme="majorBidi"/>
          <w:b/>
          <w:bCs/>
          <w:caps/>
          <w:spacing w:val="5"/>
          <w:szCs w:val="32"/>
        </w:rPr>
        <w:t xml:space="preserve">FOR </w:t>
      </w:r>
      <w:r w:rsidR="00347260" w:rsidRPr="00595546">
        <w:rPr>
          <w:rFonts w:asciiTheme="majorHAnsi" w:eastAsiaTheme="majorEastAsia" w:hAnsiTheme="majorHAnsi" w:cstheme="majorBidi"/>
          <w:b/>
          <w:bCs/>
          <w:caps/>
          <w:spacing w:val="5"/>
          <w:szCs w:val="32"/>
        </w:rPr>
        <w:t xml:space="preserve">Nilfisk Holding </w:t>
      </w:r>
      <w:r w:rsidR="00C409D1" w:rsidRPr="00595546">
        <w:rPr>
          <w:rFonts w:asciiTheme="majorHAnsi" w:eastAsiaTheme="majorEastAsia" w:hAnsiTheme="majorHAnsi" w:cstheme="majorBidi"/>
          <w:b/>
          <w:bCs/>
          <w:caps/>
          <w:spacing w:val="5"/>
          <w:szCs w:val="32"/>
        </w:rPr>
        <w:t>A/S</w:t>
      </w:r>
    </w:p>
    <w:p w14:paraId="0BE4B81B" w14:textId="1D28DDE3" w:rsidR="00C409D1" w:rsidRPr="00595546" w:rsidRDefault="00C409D1" w:rsidP="00212396">
      <w:pPr>
        <w:pStyle w:val="DSBodyTextIndent1"/>
        <w:ind w:left="0"/>
        <w:jc w:val="both"/>
      </w:pPr>
      <w:r w:rsidRPr="00595546">
        <w:rPr>
          <w:lang w:bidi="en-GB"/>
        </w:rPr>
        <w:t xml:space="preserve">vedrørende det frivillige </w:t>
      </w:r>
      <w:r w:rsidR="0012325A" w:rsidRPr="00595546">
        <w:rPr>
          <w:lang w:bidi="en-GB"/>
        </w:rPr>
        <w:t xml:space="preserve">offentlige </w:t>
      </w:r>
      <w:r w:rsidRPr="00595546">
        <w:rPr>
          <w:lang w:bidi="en-GB"/>
        </w:rPr>
        <w:t xml:space="preserve">overtagelsestilbud fremsat af </w:t>
      </w:r>
      <w:proofErr w:type="spellStart"/>
      <w:r w:rsidR="00BF0392" w:rsidRPr="00595546">
        <w:t>Freudenberg</w:t>
      </w:r>
      <w:proofErr w:type="spellEnd"/>
      <w:r w:rsidR="00BF0392" w:rsidRPr="00595546">
        <w:t xml:space="preserve"> Home and </w:t>
      </w:r>
      <w:proofErr w:type="spellStart"/>
      <w:r w:rsidR="00BF0392" w:rsidRPr="00595546">
        <w:t>Cleaning</w:t>
      </w:r>
      <w:proofErr w:type="spellEnd"/>
      <w:r w:rsidR="00BF0392" w:rsidRPr="00595546">
        <w:t xml:space="preserve"> Solutions GmbH </w:t>
      </w:r>
      <w:r w:rsidRPr="00595546">
        <w:rPr>
          <w:lang w:bidi="en-GB"/>
        </w:rPr>
        <w:t xml:space="preserve">den </w:t>
      </w:r>
      <w:r w:rsidR="00C0302B" w:rsidRPr="00595546">
        <w:rPr>
          <w:rFonts w:cstheme="majorHAnsi"/>
        </w:rPr>
        <w:t>7. januar 2026</w:t>
      </w:r>
      <w:r w:rsidR="00FD2A03" w:rsidRPr="00595546">
        <w:rPr>
          <w:rFonts w:cstheme="majorHAnsi"/>
        </w:rPr>
        <w:t>.</w:t>
      </w:r>
    </w:p>
    <w:p w14:paraId="5C4F7C39" w14:textId="3D088458" w:rsidR="00C409D1" w:rsidRPr="00595546" w:rsidRDefault="00C409D1" w:rsidP="0014799A"/>
    <w:p w14:paraId="296C3903" w14:textId="28164048" w:rsidR="00D335F6" w:rsidRPr="00595546" w:rsidRDefault="005C4573" w:rsidP="005C4573">
      <w:pPr>
        <w:tabs>
          <w:tab w:val="left" w:pos="3887"/>
          <w:tab w:val="center" w:pos="4960"/>
        </w:tabs>
        <w:spacing w:after="160" w:line="259" w:lineRule="auto"/>
      </w:pPr>
      <w:r w:rsidRPr="00595546">
        <w:tab/>
      </w:r>
      <w:r w:rsidRPr="00595546">
        <w:tab/>
      </w:r>
    </w:p>
    <w:p w14:paraId="0388D08B" w14:textId="2A52113E" w:rsidR="00C409D1" w:rsidRPr="00595546" w:rsidRDefault="00C409D1" w:rsidP="00D335F6">
      <w:pPr>
        <w:tabs>
          <w:tab w:val="center" w:pos="4960"/>
        </w:tabs>
        <w:spacing w:after="160" w:line="259" w:lineRule="auto"/>
      </w:pPr>
      <w:r w:rsidRPr="00595546">
        <w:br w:type="page"/>
      </w:r>
      <w:r w:rsidR="00D335F6" w:rsidRPr="00595546">
        <w:lastRenderedPageBreak/>
        <w:tab/>
      </w:r>
    </w:p>
    <w:p w14:paraId="4697FA2A" w14:textId="676450C8" w:rsidR="00385A4C" w:rsidRPr="00385A4C" w:rsidRDefault="00C409D1">
      <w:pPr>
        <w:pStyle w:val="TOC1"/>
        <w:rPr>
          <w:rFonts w:asciiTheme="minorHAnsi" w:eastAsiaTheme="minorEastAsia" w:hAnsiTheme="minorHAnsi"/>
          <w:b w:val="0"/>
          <w:caps w:val="0"/>
          <w:kern w:val="2"/>
          <w:sz w:val="24"/>
          <w:szCs w:val="24"/>
          <w:lang w:eastAsia="en-GB"/>
          <w14:ligatures w14:val="standardContextual"/>
        </w:rPr>
      </w:pPr>
      <w:r w:rsidRPr="00595546">
        <w:rPr>
          <w:noProof w:val="0"/>
        </w:rPr>
        <w:fldChar w:fldCharType="begin"/>
      </w:r>
      <w:r w:rsidRPr="00595546">
        <w:rPr>
          <w:noProof w:val="0"/>
        </w:rPr>
        <w:instrText xml:space="preserve"> TOC \o "1-5" \u </w:instrText>
      </w:r>
      <w:r w:rsidRPr="00595546">
        <w:rPr>
          <w:noProof w:val="0"/>
        </w:rPr>
        <w:fldChar w:fldCharType="separate"/>
      </w:r>
      <w:r w:rsidR="00385A4C">
        <w:t>1.</w:t>
      </w:r>
      <w:r w:rsidR="00385A4C" w:rsidRPr="00385A4C">
        <w:rPr>
          <w:rFonts w:asciiTheme="minorHAnsi" w:eastAsiaTheme="minorEastAsia" w:hAnsiTheme="minorHAnsi"/>
          <w:b w:val="0"/>
          <w:caps w:val="0"/>
          <w:kern w:val="2"/>
          <w:sz w:val="24"/>
          <w:szCs w:val="24"/>
          <w:lang w:eastAsia="en-GB"/>
          <w14:ligatures w14:val="standardContextual"/>
        </w:rPr>
        <w:tab/>
      </w:r>
      <w:r w:rsidR="00385A4C">
        <w:rPr>
          <w:lang w:bidi="en-GB"/>
        </w:rPr>
        <w:t>Indledning</w:t>
      </w:r>
      <w:r w:rsidR="00385A4C">
        <w:tab/>
      </w:r>
      <w:r w:rsidR="00385A4C">
        <w:fldChar w:fldCharType="begin"/>
      </w:r>
      <w:r w:rsidR="00385A4C">
        <w:instrText xml:space="preserve"> PAGEREF _Toc218590498 \h </w:instrText>
      </w:r>
      <w:r w:rsidR="00385A4C">
        <w:fldChar w:fldCharType="separate"/>
      </w:r>
      <w:r w:rsidR="00433DF7">
        <w:t>4</w:t>
      </w:r>
      <w:r w:rsidR="00385A4C">
        <w:fldChar w:fldCharType="end"/>
      </w:r>
    </w:p>
    <w:p w14:paraId="4F64E9C2" w14:textId="43817EBB" w:rsidR="00385A4C" w:rsidRPr="00385A4C" w:rsidRDefault="00385A4C">
      <w:pPr>
        <w:pStyle w:val="TOC2"/>
        <w:rPr>
          <w:rFonts w:asciiTheme="minorHAnsi" w:eastAsiaTheme="minorEastAsia" w:hAnsiTheme="minorHAnsi"/>
          <w:kern w:val="2"/>
          <w:sz w:val="24"/>
          <w:szCs w:val="24"/>
          <w:lang w:eastAsia="en-GB"/>
          <w14:ligatures w14:val="standardContextual"/>
        </w:rPr>
      </w:pPr>
      <w:r>
        <w:t>1.1</w:t>
      </w:r>
      <w:r w:rsidRPr="00385A4C">
        <w:rPr>
          <w:rFonts w:asciiTheme="minorHAnsi" w:eastAsiaTheme="minorEastAsia" w:hAnsiTheme="minorHAnsi"/>
          <w:kern w:val="2"/>
          <w:sz w:val="24"/>
          <w:szCs w:val="24"/>
          <w:lang w:eastAsia="en-GB"/>
          <w14:ligatures w14:val="standardContextual"/>
        </w:rPr>
        <w:tab/>
      </w:r>
      <w:r>
        <w:rPr>
          <w:lang w:bidi="en-GB"/>
        </w:rPr>
        <w:t>Resumé af Tilbuddet</w:t>
      </w:r>
      <w:r>
        <w:tab/>
      </w:r>
      <w:r>
        <w:fldChar w:fldCharType="begin"/>
      </w:r>
      <w:r>
        <w:instrText xml:space="preserve"> PAGEREF _Toc218590499 \h </w:instrText>
      </w:r>
      <w:r>
        <w:fldChar w:fldCharType="separate"/>
      </w:r>
      <w:r w:rsidR="00433DF7">
        <w:t>4</w:t>
      </w:r>
      <w:r>
        <w:fldChar w:fldCharType="end"/>
      </w:r>
    </w:p>
    <w:p w14:paraId="6D68A2C5" w14:textId="23CFF122" w:rsidR="00385A4C" w:rsidRPr="00385A4C" w:rsidRDefault="00385A4C">
      <w:pPr>
        <w:pStyle w:val="TOC2"/>
        <w:rPr>
          <w:rFonts w:asciiTheme="minorHAnsi" w:eastAsiaTheme="minorEastAsia" w:hAnsiTheme="minorHAnsi"/>
          <w:kern w:val="2"/>
          <w:sz w:val="24"/>
          <w:szCs w:val="24"/>
          <w:lang w:eastAsia="en-GB"/>
          <w14:ligatures w14:val="standardContextual"/>
        </w:rPr>
      </w:pPr>
      <w:r>
        <w:t>1.2</w:t>
      </w:r>
      <w:r w:rsidRPr="00385A4C">
        <w:rPr>
          <w:rFonts w:asciiTheme="minorHAnsi" w:eastAsiaTheme="minorEastAsia" w:hAnsiTheme="minorHAnsi"/>
          <w:kern w:val="2"/>
          <w:sz w:val="24"/>
          <w:szCs w:val="24"/>
          <w:lang w:eastAsia="en-GB"/>
          <w14:ligatures w14:val="standardContextual"/>
        </w:rPr>
        <w:tab/>
      </w:r>
      <w:r>
        <w:rPr>
          <w:lang w:bidi="en-GB"/>
        </w:rPr>
        <w:t>Formålet med Redegørelsen</w:t>
      </w:r>
      <w:r>
        <w:tab/>
      </w:r>
      <w:r>
        <w:fldChar w:fldCharType="begin"/>
      </w:r>
      <w:r>
        <w:instrText xml:space="preserve"> PAGEREF _Toc218590500 \h </w:instrText>
      </w:r>
      <w:r>
        <w:fldChar w:fldCharType="separate"/>
      </w:r>
      <w:r w:rsidR="00433DF7">
        <w:t>5</w:t>
      </w:r>
      <w:r>
        <w:fldChar w:fldCharType="end"/>
      </w:r>
    </w:p>
    <w:p w14:paraId="623963F7" w14:textId="0AD08255" w:rsidR="00385A4C" w:rsidRPr="00385A4C" w:rsidRDefault="00385A4C">
      <w:pPr>
        <w:pStyle w:val="TOC1"/>
        <w:rPr>
          <w:rFonts w:asciiTheme="minorHAnsi" w:eastAsiaTheme="minorEastAsia" w:hAnsiTheme="minorHAnsi"/>
          <w:b w:val="0"/>
          <w:caps w:val="0"/>
          <w:kern w:val="2"/>
          <w:sz w:val="24"/>
          <w:szCs w:val="24"/>
          <w:lang w:eastAsia="en-GB"/>
          <w14:ligatures w14:val="standardContextual"/>
        </w:rPr>
      </w:pPr>
      <w:r>
        <w:rPr>
          <w:lang w:bidi="en-GB"/>
        </w:rPr>
        <w:t>2.</w:t>
      </w:r>
      <w:r w:rsidRPr="00385A4C">
        <w:rPr>
          <w:rFonts w:asciiTheme="minorHAnsi" w:eastAsiaTheme="minorEastAsia" w:hAnsiTheme="minorHAnsi"/>
          <w:b w:val="0"/>
          <w:caps w:val="0"/>
          <w:kern w:val="2"/>
          <w:sz w:val="24"/>
          <w:szCs w:val="24"/>
          <w:lang w:eastAsia="en-GB"/>
          <w14:ligatures w14:val="standardContextual"/>
        </w:rPr>
        <w:tab/>
      </w:r>
      <w:r>
        <w:rPr>
          <w:lang w:bidi="en-GB"/>
        </w:rPr>
        <w:t>Konklusion</w:t>
      </w:r>
      <w:r>
        <w:tab/>
      </w:r>
      <w:r>
        <w:fldChar w:fldCharType="begin"/>
      </w:r>
      <w:r>
        <w:instrText xml:space="preserve"> PAGEREF _Toc218590501 \h </w:instrText>
      </w:r>
      <w:r>
        <w:fldChar w:fldCharType="separate"/>
      </w:r>
      <w:r w:rsidR="00433DF7">
        <w:t>6</w:t>
      </w:r>
      <w:r>
        <w:fldChar w:fldCharType="end"/>
      </w:r>
    </w:p>
    <w:p w14:paraId="4EBCD312" w14:textId="267CED2A" w:rsidR="00385A4C" w:rsidRPr="00385A4C" w:rsidRDefault="00385A4C">
      <w:pPr>
        <w:pStyle w:val="TOC1"/>
        <w:rPr>
          <w:rFonts w:asciiTheme="minorHAnsi" w:eastAsiaTheme="minorEastAsia" w:hAnsiTheme="minorHAnsi"/>
          <w:b w:val="0"/>
          <w:caps w:val="0"/>
          <w:kern w:val="2"/>
          <w:sz w:val="24"/>
          <w:szCs w:val="24"/>
          <w:lang w:eastAsia="en-GB"/>
          <w14:ligatures w14:val="standardContextual"/>
        </w:rPr>
      </w:pPr>
      <w:r>
        <w:t>3.</w:t>
      </w:r>
      <w:r w:rsidRPr="00385A4C">
        <w:rPr>
          <w:rFonts w:asciiTheme="minorHAnsi" w:eastAsiaTheme="minorEastAsia" w:hAnsiTheme="minorHAnsi"/>
          <w:b w:val="0"/>
          <w:caps w:val="0"/>
          <w:kern w:val="2"/>
          <w:sz w:val="24"/>
          <w:szCs w:val="24"/>
          <w:lang w:eastAsia="en-GB"/>
          <w14:ligatures w14:val="standardContextual"/>
        </w:rPr>
        <w:tab/>
      </w:r>
      <w:r>
        <w:t>Grundlag for Redegørelsen</w:t>
      </w:r>
      <w:r>
        <w:tab/>
      </w:r>
      <w:r>
        <w:fldChar w:fldCharType="begin"/>
      </w:r>
      <w:r>
        <w:instrText xml:space="preserve"> PAGEREF _Toc218590502 \h </w:instrText>
      </w:r>
      <w:r>
        <w:fldChar w:fldCharType="separate"/>
      </w:r>
      <w:r w:rsidR="00433DF7">
        <w:t>8</w:t>
      </w:r>
      <w:r>
        <w:fldChar w:fldCharType="end"/>
      </w:r>
    </w:p>
    <w:p w14:paraId="3CFA394C" w14:textId="090BD663" w:rsidR="00385A4C" w:rsidRPr="00385A4C" w:rsidRDefault="00385A4C">
      <w:pPr>
        <w:pStyle w:val="TOC1"/>
        <w:rPr>
          <w:rFonts w:asciiTheme="minorHAnsi" w:eastAsiaTheme="minorEastAsia" w:hAnsiTheme="minorHAnsi"/>
          <w:b w:val="0"/>
          <w:caps w:val="0"/>
          <w:kern w:val="2"/>
          <w:sz w:val="24"/>
          <w:szCs w:val="24"/>
          <w:lang w:eastAsia="en-GB"/>
          <w14:ligatures w14:val="standardContextual"/>
        </w:rPr>
      </w:pPr>
      <w:r>
        <w:rPr>
          <w:lang w:bidi="en-GB"/>
        </w:rPr>
        <w:t>4.</w:t>
      </w:r>
      <w:r w:rsidRPr="00385A4C">
        <w:rPr>
          <w:rFonts w:asciiTheme="minorHAnsi" w:eastAsiaTheme="minorEastAsia" w:hAnsiTheme="minorHAnsi"/>
          <w:b w:val="0"/>
          <w:caps w:val="0"/>
          <w:kern w:val="2"/>
          <w:sz w:val="24"/>
          <w:szCs w:val="24"/>
          <w:lang w:eastAsia="en-GB"/>
          <w14:ligatures w14:val="standardContextual"/>
        </w:rPr>
        <w:tab/>
      </w:r>
      <w:r>
        <w:rPr>
          <w:lang w:bidi="en-GB"/>
        </w:rPr>
        <w:t xml:space="preserve">baggrunden for </w:t>
      </w:r>
      <w:r>
        <w:t xml:space="preserve">bestyrelsens </w:t>
      </w:r>
      <w:r>
        <w:rPr>
          <w:lang w:bidi="en-GB"/>
        </w:rPr>
        <w:t>analyse af tilbuddet</w:t>
      </w:r>
      <w:r>
        <w:tab/>
      </w:r>
      <w:r>
        <w:fldChar w:fldCharType="begin"/>
      </w:r>
      <w:r>
        <w:instrText xml:space="preserve"> PAGEREF _Toc218590503 \h </w:instrText>
      </w:r>
      <w:r>
        <w:fldChar w:fldCharType="separate"/>
      </w:r>
      <w:r w:rsidR="00433DF7">
        <w:t>9</w:t>
      </w:r>
      <w:r>
        <w:fldChar w:fldCharType="end"/>
      </w:r>
    </w:p>
    <w:p w14:paraId="6674F7B1" w14:textId="0AD1D655" w:rsidR="00385A4C" w:rsidRPr="00385A4C" w:rsidRDefault="00385A4C">
      <w:pPr>
        <w:pStyle w:val="TOC2"/>
        <w:rPr>
          <w:rFonts w:asciiTheme="minorHAnsi" w:eastAsiaTheme="minorEastAsia" w:hAnsiTheme="minorHAnsi"/>
          <w:kern w:val="2"/>
          <w:sz w:val="24"/>
          <w:szCs w:val="24"/>
          <w:lang w:eastAsia="en-GB"/>
          <w14:ligatures w14:val="standardContextual"/>
        </w:rPr>
      </w:pPr>
      <w:r>
        <w:t>4.1</w:t>
      </w:r>
      <w:r w:rsidRPr="00385A4C">
        <w:rPr>
          <w:rFonts w:asciiTheme="minorHAnsi" w:eastAsiaTheme="minorEastAsia" w:hAnsiTheme="minorHAnsi"/>
          <w:kern w:val="2"/>
          <w:sz w:val="24"/>
          <w:szCs w:val="24"/>
          <w:lang w:eastAsia="en-GB"/>
          <w14:ligatures w14:val="standardContextual"/>
        </w:rPr>
        <w:tab/>
      </w:r>
      <w:r>
        <w:rPr>
          <w:lang w:bidi="en-GB"/>
        </w:rPr>
        <w:t>Selskabets aktiviteter og strategi</w:t>
      </w:r>
      <w:r>
        <w:tab/>
      </w:r>
      <w:r>
        <w:fldChar w:fldCharType="begin"/>
      </w:r>
      <w:r>
        <w:instrText xml:space="preserve"> PAGEREF _Toc218590504 \h </w:instrText>
      </w:r>
      <w:r>
        <w:fldChar w:fldCharType="separate"/>
      </w:r>
      <w:r w:rsidR="00433DF7">
        <w:t>9</w:t>
      </w:r>
      <w:r>
        <w:fldChar w:fldCharType="end"/>
      </w:r>
    </w:p>
    <w:p w14:paraId="304F2E66" w14:textId="4C8C382E" w:rsidR="00385A4C" w:rsidRPr="00385A4C" w:rsidRDefault="00385A4C">
      <w:pPr>
        <w:pStyle w:val="TOC2"/>
        <w:rPr>
          <w:rFonts w:asciiTheme="minorHAnsi" w:eastAsiaTheme="minorEastAsia" w:hAnsiTheme="minorHAnsi"/>
          <w:kern w:val="2"/>
          <w:sz w:val="24"/>
          <w:szCs w:val="24"/>
          <w:lang w:eastAsia="en-GB"/>
          <w14:ligatures w14:val="standardContextual"/>
        </w:rPr>
      </w:pPr>
      <w:r>
        <w:t>4.2</w:t>
      </w:r>
      <w:r w:rsidRPr="00385A4C">
        <w:rPr>
          <w:rFonts w:asciiTheme="minorHAnsi" w:eastAsiaTheme="minorEastAsia" w:hAnsiTheme="minorHAnsi"/>
          <w:kern w:val="2"/>
          <w:sz w:val="24"/>
          <w:szCs w:val="24"/>
          <w:lang w:eastAsia="en-GB"/>
          <w14:ligatures w14:val="standardContextual"/>
        </w:rPr>
        <w:tab/>
      </w:r>
      <w:r>
        <w:t>Aktiekapital og ejerstruktur</w:t>
      </w:r>
      <w:r>
        <w:tab/>
      </w:r>
      <w:r>
        <w:fldChar w:fldCharType="begin"/>
      </w:r>
      <w:r>
        <w:instrText xml:space="preserve"> PAGEREF _Toc218590505 \h </w:instrText>
      </w:r>
      <w:r>
        <w:fldChar w:fldCharType="separate"/>
      </w:r>
      <w:r w:rsidR="00433DF7">
        <w:t>9</w:t>
      </w:r>
      <w:r>
        <w:fldChar w:fldCharType="end"/>
      </w:r>
    </w:p>
    <w:p w14:paraId="68B3C483" w14:textId="47DDA64A" w:rsidR="00385A4C" w:rsidRPr="00385A4C" w:rsidRDefault="00385A4C">
      <w:pPr>
        <w:pStyle w:val="TOC2"/>
        <w:rPr>
          <w:rFonts w:asciiTheme="minorHAnsi" w:eastAsiaTheme="minorEastAsia" w:hAnsiTheme="minorHAnsi"/>
          <w:kern w:val="2"/>
          <w:sz w:val="24"/>
          <w:szCs w:val="24"/>
          <w:lang w:eastAsia="en-GB"/>
          <w14:ligatures w14:val="standardContextual"/>
        </w:rPr>
      </w:pPr>
      <w:r>
        <w:t>4.3</w:t>
      </w:r>
      <w:r w:rsidRPr="00385A4C">
        <w:rPr>
          <w:rFonts w:asciiTheme="minorHAnsi" w:eastAsiaTheme="minorEastAsia" w:hAnsiTheme="minorHAnsi"/>
          <w:kern w:val="2"/>
          <w:sz w:val="24"/>
          <w:szCs w:val="24"/>
          <w:lang w:eastAsia="en-GB"/>
          <w14:ligatures w14:val="standardContextual"/>
        </w:rPr>
        <w:tab/>
      </w:r>
      <w:r>
        <w:t>Finansielle oplysninger</w:t>
      </w:r>
      <w:r>
        <w:tab/>
      </w:r>
      <w:r>
        <w:fldChar w:fldCharType="begin"/>
      </w:r>
      <w:r>
        <w:instrText xml:space="preserve"> PAGEREF _Toc218590506 \h </w:instrText>
      </w:r>
      <w:r>
        <w:fldChar w:fldCharType="separate"/>
      </w:r>
      <w:r w:rsidR="00433DF7">
        <w:t>10</w:t>
      </w:r>
      <w:r>
        <w:fldChar w:fldCharType="end"/>
      </w:r>
    </w:p>
    <w:p w14:paraId="5386BE0A" w14:textId="6C1884FB" w:rsidR="00385A4C" w:rsidRPr="00385A4C" w:rsidRDefault="00385A4C">
      <w:pPr>
        <w:pStyle w:val="TOC3"/>
        <w:rPr>
          <w:rFonts w:asciiTheme="minorHAnsi" w:eastAsiaTheme="minorEastAsia" w:hAnsiTheme="minorHAnsi"/>
          <w:kern w:val="2"/>
          <w:sz w:val="24"/>
          <w:szCs w:val="24"/>
          <w:lang w:eastAsia="en-GB"/>
          <w14:ligatures w14:val="standardContextual"/>
        </w:rPr>
      </w:pPr>
      <w:r>
        <w:t>4.3.1</w:t>
      </w:r>
      <w:r w:rsidRPr="00385A4C">
        <w:rPr>
          <w:rFonts w:asciiTheme="minorHAnsi" w:eastAsiaTheme="minorEastAsia" w:hAnsiTheme="minorHAnsi"/>
          <w:kern w:val="2"/>
          <w:sz w:val="24"/>
          <w:szCs w:val="24"/>
          <w:lang w:eastAsia="en-GB"/>
          <w14:ligatures w14:val="standardContextual"/>
        </w:rPr>
        <w:tab/>
      </w:r>
      <w:r>
        <w:t>2024 Årsrapport</w:t>
      </w:r>
      <w:r>
        <w:tab/>
      </w:r>
      <w:r>
        <w:fldChar w:fldCharType="begin"/>
      </w:r>
      <w:r>
        <w:instrText xml:space="preserve"> PAGEREF _Toc218590507 \h </w:instrText>
      </w:r>
      <w:r>
        <w:fldChar w:fldCharType="separate"/>
      </w:r>
      <w:r w:rsidR="00433DF7">
        <w:t>10</w:t>
      </w:r>
      <w:r>
        <w:fldChar w:fldCharType="end"/>
      </w:r>
    </w:p>
    <w:p w14:paraId="73356769" w14:textId="6F5BCFF1" w:rsidR="00385A4C" w:rsidRPr="00385A4C" w:rsidRDefault="00385A4C">
      <w:pPr>
        <w:pStyle w:val="TOC3"/>
        <w:rPr>
          <w:rFonts w:asciiTheme="minorHAnsi" w:eastAsiaTheme="minorEastAsia" w:hAnsiTheme="minorHAnsi"/>
          <w:kern w:val="2"/>
          <w:sz w:val="24"/>
          <w:szCs w:val="24"/>
          <w:lang w:eastAsia="en-GB"/>
          <w14:ligatures w14:val="standardContextual"/>
        </w:rPr>
      </w:pPr>
      <w:r>
        <w:t>4.3.2</w:t>
      </w:r>
      <w:r w:rsidRPr="00385A4C">
        <w:rPr>
          <w:rFonts w:asciiTheme="minorHAnsi" w:eastAsiaTheme="minorEastAsia" w:hAnsiTheme="minorHAnsi"/>
          <w:kern w:val="2"/>
          <w:sz w:val="24"/>
          <w:szCs w:val="24"/>
          <w:lang w:eastAsia="en-GB"/>
          <w14:ligatures w14:val="standardContextual"/>
        </w:rPr>
        <w:tab/>
      </w:r>
      <w:r>
        <w:t>Kvartalsrapporten for 3. kvartal 2025</w:t>
      </w:r>
      <w:r>
        <w:tab/>
      </w:r>
      <w:r>
        <w:fldChar w:fldCharType="begin"/>
      </w:r>
      <w:r>
        <w:instrText xml:space="preserve"> PAGEREF _Toc218590508 \h </w:instrText>
      </w:r>
      <w:r>
        <w:fldChar w:fldCharType="separate"/>
      </w:r>
      <w:r w:rsidR="00433DF7">
        <w:t>11</w:t>
      </w:r>
      <w:r>
        <w:fldChar w:fldCharType="end"/>
      </w:r>
    </w:p>
    <w:p w14:paraId="62CD28EB" w14:textId="6A97578E" w:rsidR="00385A4C" w:rsidRPr="00385A4C" w:rsidRDefault="00385A4C">
      <w:pPr>
        <w:pStyle w:val="TOC3"/>
        <w:rPr>
          <w:rFonts w:asciiTheme="minorHAnsi" w:eastAsiaTheme="minorEastAsia" w:hAnsiTheme="minorHAnsi"/>
          <w:kern w:val="2"/>
          <w:sz w:val="24"/>
          <w:szCs w:val="24"/>
          <w:lang w:eastAsia="en-GB"/>
          <w14:ligatures w14:val="standardContextual"/>
        </w:rPr>
      </w:pPr>
      <w:r>
        <w:t>4.3.3</w:t>
      </w:r>
      <w:r w:rsidRPr="00385A4C">
        <w:rPr>
          <w:rFonts w:asciiTheme="minorHAnsi" w:eastAsiaTheme="minorEastAsia" w:hAnsiTheme="minorHAnsi"/>
          <w:kern w:val="2"/>
          <w:sz w:val="24"/>
          <w:szCs w:val="24"/>
          <w:lang w:eastAsia="en-GB"/>
          <w14:ligatures w14:val="standardContextual"/>
        </w:rPr>
        <w:tab/>
      </w:r>
      <w:r>
        <w:t>Finansielle forventninger for 2025</w:t>
      </w:r>
      <w:r>
        <w:tab/>
      </w:r>
      <w:r>
        <w:fldChar w:fldCharType="begin"/>
      </w:r>
      <w:r>
        <w:instrText xml:space="preserve"> PAGEREF _Toc218590509 \h </w:instrText>
      </w:r>
      <w:r>
        <w:fldChar w:fldCharType="separate"/>
      </w:r>
      <w:r w:rsidR="00433DF7">
        <w:t>11</w:t>
      </w:r>
      <w:r>
        <w:fldChar w:fldCharType="end"/>
      </w:r>
    </w:p>
    <w:p w14:paraId="73A7B049" w14:textId="606865E0" w:rsidR="00385A4C" w:rsidRPr="00385A4C" w:rsidRDefault="00385A4C">
      <w:pPr>
        <w:pStyle w:val="TOC2"/>
        <w:rPr>
          <w:rFonts w:asciiTheme="minorHAnsi" w:eastAsiaTheme="minorEastAsia" w:hAnsiTheme="minorHAnsi"/>
          <w:kern w:val="2"/>
          <w:sz w:val="24"/>
          <w:szCs w:val="24"/>
          <w:lang w:eastAsia="en-GB"/>
          <w14:ligatures w14:val="standardContextual"/>
        </w:rPr>
      </w:pPr>
      <w:r>
        <w:t>4.4</w:t>
      </w:r>
      <w:r w:rsidRPr="00385A4C">
        <w:rPr>
          <w:rFonts w:asciiTheme="minorHAnsi" w:eastAsiaTheme="minorEastAsia" w:hAnsiTheme="minorHAnsi"/>
          <w:kern w:val="2"/>
          <w:sz w:val="24"/>
          <w:szCs w:val="24"/>
          <w:lang w:eastAsia="en-GB"/>
          <w14:ligatures w14:val="standardContextual"/>
        </w:rPr>
        <w:tab/>
      </w:r>
      <w:r>
        <w:rPr>
          <w:lang w:bidi="en-GB"/>
        </w:rPr>
        <w:t>Kontrolskifte</w:t>
      </w:r>
      <w:r>
        <w:tab/>
      </w:r>
      <w:r>
        <w:fldChar w:fldCharType="begin"/>
      </w:r>
      <w:r>
        <w:instrText xml:space="preserve"> PAGEREF _Toc218590510 \h </w:instrText>
      </w:r>
      <w:r>
        <w:fldChar w:fldCharType="separate"/>
      </w:r>
      <w:r w:rsidR="00433DF7">
        <w:t>12</w:t>
      </w:r>
      <w:r>
        <w:fldChar w:fldCharType="end"/>
      </w:r>
    </w:p>
    <w:p w14:paraId="0322D676" w14:textId="7FFD08E5" w:rsidR="00385A4C" w:rsidRPr="00385A4C" w:rsidRDefault="00385A4C">
      <w:pPr>
        <w:pStyle w:val="TOC2"/>
        <w:rPr>
          <w:rFonts w:asciiTheme="minorHAnsi" w:eastAsiaTheme="minorEastAsia" w:hAnsiTheme="minorHAnsi"/>
          <w:kern w:val="2"/>
          <w:sz w:val="24"/>
          <w:szCs w:val="24"/>
          <w:lang w:eastAsia="en-GB"/>
          <w14:ligatures w14:val="standardContextual"/>
        </w:rPr>
      </w:pPr>
      <w:r>
        <w:rPr>
          <w:lang w:bidi="en-GB"/>
        </w:rPr>
        <w:t>4.5</w:t>
      </w:r>
      <w:r w:rsidRPr="00385A4C">
        <w:rPr>
          <w:rFonts w:asciiTheme="minorHAnsi" w:eastAsiaTheme="minorEastAsia" w:hAnsiTheme="minorHAnsi"/>
          <w:kern w:val="2"/>
          <w:sz w:val="24"/>
          <w:szCs w:val="24"/>
          <w:lang w:eastAsia="en-GB"/>
          <w14:ligatures w14:val="standardContextual"/>
        </w:rPr>
        <w:tab/>
      </w:r>
      <w:r>
        <w:rPr>
          <w:lang w:bidi="en-GB"/>
        </w:rPr>
        <w:t>Fairness Opinion</w:t>
      </w:r>
      <w:r>
        <w:tab/>
      </w:r>
      <w:r>
        <w:fldChar w:fldCharType="begin"/>
      </w:r>
      <w:r>
        <w:instrText xml:space="preserve"> PAGEREF _Toc218590511 \h </w:instrText>
      </w:r>
      <w:r>
        <w:fldChar w:fldCharType="separate"/>
      </w:r>
      <w:r w:rsidR="00433DF7">
        <w:t>13</w:t>
      </w:r>
      <w:r>
        <w:fldChar w:fldCharType="end"/>
      </w:r>
    </w:p>
    <w:p w14:paraId="6A8A1CBE" w14:textId="48442E3A" w:rsidR="00385A4C" w:rsidRPr="00385A4C" w:rsidRDefault="00385A4C">
      <w:pPr>
        <w:pStyle w:val="TOC1"/>
        <w:rPr>
          <w:rFonts w:asciiTheme="minorHAnsi" w:eastAsiaTheme="minorEastAsia" w:hAnsiTheme="minorHAnsi"/>
          <w:b w:val="0"/>
          <w:caps w:val="0"/>
          <w:kern w:val="2"/>
          <w:sz w:val="24"/>
          <w:szCs w:val="24"/>
          <w:lang w:eastAsia="en-GB"/>
          <w14:ligatures w14:val="standardContextual"/>
        </w:rPr>
      </w:pPr>
      <w:r>
        <w:t>5.</w:t>
      </w:r>
      <w:r w:rsidRPr="00385A4C">
        <w:rPr>
          <w:rFonts w:asciiTheme="minorHAnsi" w:eastAsiaTheme="minorEastAsia" w:hAnsiTheme="minorHAnsi"/>
          <w:b w:val="0"/>
          <w:caps w:val="0"/>
          <w:kern w:val="2"/>
          <w:sz w:val="24"/>
          <w:szCs w:val="24"/>
          <w:lang w:eastAsia="en-GB"/>
          <w14:ligatures w14:val="standardContextual"/>
        </w:rPr>
        <w:tab/>
      </w:r>
      <w:r>
        <w:t>Incitamentsprogrammer</w:t>
      </w:r>
      <w:r>
        <w:tab/>
      </w:r>
      <w:r>
        <w:fldChar w:fldCharType="begin"/>
      </w:r>
      <w:r>
        <w:instrText xml:space="preserve"> PAGEREF _Toc218590512 \h </w:instrText>
      </w:r>
      <w:r>
        <w:fldChar w:fldCharType="separate"/>
      </w:r>
      <w:r w:rsidR="00433DF7">
        <w:t>13</w:t>
      </w:r>
      <w:r>
        <w:fldChar w:fldCharType="end"/>
      </w:r>
    </w:p>
    <w:p w14:paraId="4F7DA7DA" w14:textId="082E3124" w:rsidR="00385A4C" w:rsidRPr="00385A4C" w:rsidRDefault="00385A4C">
      <w:pPr>
        <w:pStyle w:val="TOC1"/>
        <w:rPr>
          <w:rFonts w:asciiTheme="minorHAnsi" w:eastAsiaTheme="minorEastAsia" w:hAnsiTheme="minorHAnsi"/>
          <w:b w:val="0"/>
          <w:caps w:val="0"/>
          <w:kern w:val="2"/>
          <w:sz w:val="24"/>
          <w:szCs w:val="24"/>
          <w:lang w:eastAsia="en-GB"/>
          <w14:ligatures w14:val="standardContextual"/>
        </w:rPr>
      </w:pPr>
      <w:r>
        <w:t>6.</w:t>
      </w:r>
      <w:r w:rsidRPr="00385A4C">
        <w:rPr>
          <w:rFonts w:asciiTheme="minorHAnsi" w:eastAsiaTheme="minorEastAsia" w:hAnsiTheme="minorHAnsi"/>
          <w:b w:val="0"/>
          <w:caps w:val="0"/>
          <w:kern w:val="2"/>
          <w:sz w:val="24"/>
          <w:szCs w:val="24"/>
          <w:lang w:eastAsia="en-GB"/>
          <w14:ligatures w14:val="standardContextual"/>
        </w:rPr>
        <w:tab/>
      </w:r>
      <w:r>
        <w:t>Offentliggørelsesaftalen</w:t>
      </w:r>
      <w:r>
        <w:tab/>
      </w:r>
      <w:r>
        <w:fldChar w:fldCharType="begin"/>
      </w:r>
      <w:r>
        <w:instrText xml:space="preserve"> PAGEREF _Toc218590513 \h </w:instrText>
      </w:r>
      <w:r>
        <w:fldChar w:fldCharType="separate"/>
      </w:r>
      <w:r w:rsidR="00433DF7">
        <w:t>14</w:t>
      </w:r>
      <w:r>
        <w:fldChar w:fldCharType="end"/>
      </w:r>
    </w:p>
    <w:p w14:paraId="229D2639" w14:textId="3759F761" w:rsidR="00385A4C" w:rsidRPr="00385A4C" w:rsidRDefault="00385A4C">
      <w:pPr>
        <w:pStyle w:val="TOC1"/>
        <w:rPr>
          <w:rFonts w:asciiTheme="minorHAnsi" w:eastAsiaTheme="minorEastAsia" w:hAnsiTheme="minorHAnsi"/>
          <w:b w:val="0"/>
          <w:caps w:val="0"/>
          <w:kern w:val="2"/>
          <w:sz w:val="24"/>
          <w:szCs w:val="24"/>
          <w:lang w:eastAsia="en-GB"/>
          <w14:ligatures w14:val="standardContextual"/>
        </w:rPr>
      </w:pPr>
      <w:r>
        <w:rPr>
          <w:lang w:bidi="en-GB"/>
        </w:rPr>
        <w:t>7.</w:t>
      </w:r>
      <w:r w:rsidRPr="00385A4C">
        <w:rPr>
          <w:rFonts w:asciiTheme="minorHAnsi" w:eastAsiaTheme="minorEastAsia" w:hAnsiTheme="minorHAnsi"/>
          <w:b w:val="0"/>
          <w:caps w:val="0"/>
          <w:kern w:val="2"/>
          <w:sz w:val="24"/>
          <w:szCs w:val="24"/>
          <w:lang w:eastAsia="en-GB"/>
          <w14:ligatures w14:val="standardContextual"/>
        </w:rPr>
        <w:tab/>
      </w:r>
      <w:r>
        <w:rPr>
          <w:lang w:bidi="en-GB"/>
        </w:rPr>
        <w:t>Begivenheder og proces, der førte til tilbuddet</w:t>
      </w:r>
      <w:r>
        <w:tab/>
      </w:r>
      <w:r>
        <w:fldChar w:fldCharType="begin"/>
      </w:r>
      <w:r>
        <w:instrText xml:space="preserve"> PAGEREF _Toc218590514 \h </w:instrText>
      </w:r>
      <w:r>
        <w:fldChar w:fldCharType="separate"/>
      </w:r>
      <w:r w:rsidR="00433DF7">
        <w:t>17</w:t>
      </w:r>
      <w:r>
        <w:fldChar w:fldCharType="end"/>
      </w:r>
    </w:p>
    <w:p w14:paraId="01D00BE3" w14:textId="2AB364FB" w:rsidR="00385A4C" w:rsidRPr="00385A4C" w:rsidRDefault="00385A4C">
      <w:pPr>
        <w:pStyle w:val="TOC1"/>
        <w:rPr>
          <w:rFonts w:asciiTheme="minorHAnsi" w:eastAsiaTheme="minorEastAsia" w:hAnsiTheme="minorHAnsi"/>
          <w:b w:val="0"/>
          <w:caps w:val="0"/>
          <w:kern w:val="2"/>
          <w:sz w:val="24"/>
          <w:szCs w:val="24"/>
          <w:lang w:eastAsia="en-GB"/>
          <w14:ligatures w14:val="standardContextual"/>
        </w:rPr>
      </w:pPr>
      <w:r>
        <w:t>8.</w:t>
      </w:r>
      <w:r w:rsidRPr="00385A4C">
        <w:rPr>
          <w:rFonts w:asciiTheme="minorHAnsi" w:eastAsiaTheme="minorEastAsia" w:hAnsiTheme="minorHAnsi"/>
          <w:b w:val="0"/>
          <w:caps w:val="0"/>
          <w:kern w:val="2"/>
          <w:sz w:val="24"/>
          <w:szCs w:val="24"/>
          <w:lang w:eastAsia="en-GB"/>
          <w14:ligatures w14:val="standardContextual"/>
        </w:rPr>
        <w:tab/>
      </w:r>
      <w:r>
        <w:rPr>
          <w:lang w:bidi="en-GB"/>
        </w:rPr>
        <w:t>Bestyrelsens syn på visse faktorer vedrørende tilbuddet</w:t>
      </w:r>
      <w:r>
        <w:tab/>
      </w:r>
      <w:r>
        <w:fldChar w:fldCharType="begin"/>
      </w:r>
      <w:r>
        <w:instrText xml:space="preserve"> PAGEREF _Toc218590515 \h </w:instrText>
      </w:r>
      <w:r>
        <w:fldChar w:fldCharType="separate"/>
      </w:r>
      <w:r w:rsidR="00433DF7">
        <w:t>19</w:t>
      </w:r>
      <w:r>
        <w:fldChar w:fldCharType="end"/>
      </w:r>
    </w:p>
    <w:p w14:paraId="2564B944" w14:textId="094DE9CF" w:rsidR="00385A4C" w:rsidRPr="00385A4C" w:rsidRDefault="00385A4C">
      <w:pPr>
        <w:pStyle w:val="TOC2"/>
        <w:rPr>
          <w:rFonts w:asciiTheme="minorHAnsi" w:eastAsiaTheme="minorEastAsia" w:hAnsiTheme="minorHAnsi"/>
          <w:kern w:val="2"/>
          <w:sz w:val="24"/>
          <w:szCs w:val="24"/>
          <w:lang w:eastAsia="en-GB"/>
          <w14:ligatures w14:val="standardContextual"/>
        </w:rPr>
      </w:pPr>
      <w:r>
        <w:t>8.1</w:t>
      </w:r>
      <w:r w:rsidRPr="00385A4C">
        <w:rPr>
          <w:rFonts w:asciiTheme="minorHAnsi" w:eastAsiaTheme="minorEastAsia" w:hAnsiTheme="minorHAnsi"/>
          <w:kern w:val="2"/>
          <w:sz w:val="24"/>
          <w:szCs w:val="24"/>
          <w:lang w:eastAsia="en-GB"/>
          <w14:ligatures w14:val="standardContextual"/>
        </w:rPr>
        <w:tab/>
      </w:r>
      <w:r>
        <w:rPr>
          <w:lang w:bidi="en-GB"/>
        </w:rPr>
        <w:t>Indledning</w:t>
      </w:r>
      <w:r>
        <w:tab/>
      </w:r>
      <w:r>
        <w:fldChar w:fldCharType="begin"/>
      </w:r>
      <w:r>
        <w:instrText xml:space="preserve"> PAGEREF _Toc218590516 \h </w:instrText>
      </w:r>
      <w:r>
        <w:fldChar w:fldCharType="separate"/>
      </w:r>
      <w:r w:rsidR="00433DF7">
        <w:t>19</w:t>
      </w:r>
      <w:r>
        <w:fldChar w:fldCharType="end"/>
      </w:r>
    </w:p>
    <w:p w14:paraId="24242938" w14:textId="235572D4" w:rsidR="00385A4C" w:rsidRPr="00385A4C" w:rsidRDefault="00385A4C">
      <w:pPr>
        <w:pStyle w:val="TOC2"/>
        <w:rPr>
          <w:rFonts w:asciiTheme="minorHAnsi" w:eastAsiaTheme="minorEastAsia" w:hAnsiTheme="minorHAnsi"/>
          <w:kern w:val="2"/>
          <w:sz w:val="24"/>
          <w:szCs w:val="24"/>
          <w:lang w:eastAsia="en-GB"/>
          <w14:ligatures w14:val="standardContextual"/>
        </w:rPr>
      </w:pPr>
      <w:r>
        <w:t>8.2</w:t>
      </w:r>
      <w:r w:rsidRPr="00385A4C">
        <w:rPr>
          <w:rFonts w:asciiTheme="minorHAnsi" w:eastAsiaTheme="minorEastAsia" w:hAnsiTheme="minorHAnsi"/>
          <w:kern w:val="2"/>
          <w:sz w:val="24"/>
          <w:szCs w:val="24"/>
          <w:lang w:eastAsia="en-GB"/>
          <w14:ligatures w14:val="standardContextual"/>
        </w:rPr>
        <w:tab/>
      </w:r>
      <w:r>
        <w:rPr>
          <w:lang w:bidi="en-GB"/>
        </w:rPr>
        <w:t>Tilbudskursen</w:t>
      </w:r>
      <w:r>
        <w:tab/>
      </w:r>
      <w:r>
        <w:fldChar w:fldCharType="begin"/>
      </w:r>
      <w:r>
        <w:instrText xml:space="preserve"> PAGEREF _Toc218590517 \h </w:instrText>
      </w:r>
      <w:r>
        <w:fldChar w:fldCharType="separate"/>
      </w:r>
      <w:r w:rsidR="00433DF7">
        <w:t>19</w:t>
      </w:r>
      <w:r>
        <w:fldChar w:fldCharType="end"/>
      </w:r>
    </w:p>
    <w:p w14:paraId="1A4E06B6" w14:textId="79F2586B" w:rsidR="00385A4C" w:rsidRPr="00385A4C" w:rsidRDefault="00385A4C">
      <w:pPr>
        <w:pStyle w:val="TOC3"/>
        <w:rPr>
          <w:rFonts w:asciiTheme="minorHAnsi" w:eastAsiaTheme="minorEastAsia" w:hAnsiTheme="minorHAnsi"/>
          <w:kern w:val="2"/>
          <w:sz w:val="24"/>
          <w:szCs w:val="24"/>
          <w:lang w:eastAsia="en-GB"/>
          <w14:ligatures w14:val="standardContextual"/>
        </w:rPr>
      </w:pPr>
      <w:r>
        <w:t>8.2.1</w:t>
      </w:r>
      <w:r w:rsidRPr="00385A4C">
        <w:rPr>
          <w:rFonts w:asciiTheme="minorHAnsi" w:eastAsiaTheme="minorEastAsia" w:hAnsiTheme="minorHAnsi"/>
          <w:kern w:val="2"/>
          <w:sz w:val="24"/>
          <w:szCs w:val="24"/>
          <w:lang w:eastAsia="en-GB"/>
          <w14:ligatures w14:val="standardContextual"/>
        </w:rPr>
        <w:tab/>
      </w:r>
      <w:r>
        <w:rPr>
          <w:lang w:bidi="en-GB"/>
        </w:rPr>
        <w:t>Sammenligning med relevante historiske kurser</w:t>
      </w:r>
      <w:r>
        <w:tab/>
      </w:r>
      <w:r>
        <w:fldChar w:fldCharType="begin"/>
      </w:r>
      <w:r>
        <w:instrText xml:space="preserve"> PAGEREF _Toc218590518 \h </w:instrText>
      </w:r>
      <w:r>
        <w:fldChar w:fldCharType="separate"/>
      </w:r>
      <w:r w:rsidR="00433DF7">
        <w:t>19</w:t>
      </w:r>
      <w:r>
        <w:fldChar w:fldCharType="end"/>
      </w:r>
    </w:p>
    <w:p w14:paraId="3E6444E4" w14:textId="15E08B46" w:rsidR="00385A4C" w:rsidRPr="00385A4C" w:rsidRDefault="00385A4C">
      <w:pPr>
        <w:pStyle w:val="TOC2"/>
        <w:rPr>
          <w:rFonts w:asciiTheme="minorHAnsi" w:eastAsiaTheme="minorEastAsia" w:hAnsiTheme="minorHAnsi"/>
          <w:kern w:val="2"/>
          <w:sz w:val="24"/>
          <w:szCs w:val="24"/>
          <w:lang w:eastAsia="en-GB"/>
          <w14:ligatures w14:val="standardContextual"/>
        </w:rPr>
      </w:pPr>
      <w:r>
        <w:t>8.3</w:t>
      </w:r>
      <w:r w:rsidRPr="00385A4C">
        <w:rPr>
          <w:rFonts w:asciiTheme="minorHAnsi" w:eastAsiaTheme="minorEastAsia" w:hAnsiTheme="minorHAnsi"/>
          <w:kern w:val="2"/>
          <w:sz w:val="24"/>
          <w:szCs w:val="24"/>
          <w:lang w:eastAsia="en-GB"/>
          <w14:ligatures w14:val="standardContextual"/>
        </w:rPr>
        <w:tab/>
      </w:r>
      <w:r>
        <w:rPr>
          <w:lang w:bidi="en-GB"/>
        </w:rPr>
        <w:t>Tilbuddets indvirkning på Aktionærernes og Selskabets interesser, herunder på beskæftigelsen</w:t>
      </w:r>
      <w:r>
        <w:tab/>
      </w:r>
      <w:r>
        <w:fldChar w:fldCharType="begin"/>
      </w:r>
      <w:r>
        <w:instrText xml:space="preserve"> PAGEREF _Toc218590519 \h </w:instrText>
      </w:r>
      <w:r>
        <w:fldChar w:fldCharType="separate"/>
      </w:r>
      <w:r w:rsidR="00433DF7">
        <w:t>20</w:t>
      </w:r>
      <w:r>
        <w:fldChar w:fldCharType="end"/>
      </w:r>
    </w:p>
    <w:p w14:paraId="27B3B153" w14:textId="0DADBD30" w:rsidR="00385A4C" w:rsidRPr="00385A4C" w:rsidRDefault="00385A4C">
      <w:pPr>
        <w:pStyle w:val="TOC3"/>
        <w:rPr>
          <w:rFonts w:asciiTheme="minorHAnsi" w:eastAsiaTheme="minorEastAsia" w:hAnsiTheme="minorHAnsi"/>
          <w:kern w:val="2"/>
          <w:sz w:val="24"/>
          <w:szCs w:val="24"/>
          <w:lang w:eastAsia="en-GB"/>
          <w14:ligatures w14:val="standardContextual"/>
        </w:rPr>
      </w:pPr>
      <w:r>
        <w:rPr>
          <w:lang w:bidi="en-GB"/>
        </w:rPr>
        <w:t>8.3.1</w:t>
      </w:r>
      <w:r w:rsidRPr="00385A4C">
        <w:rPr>
          <w:rFonts w:asciiTheme="minorHAnsi" w:eastAsiaTheme="minorEastAsia" w:hAnsiTheme="minorHAnsi"/>
          <w:kern w:val="2"/>
          <w:sz w:val="24"/>
          <w:szCs w:val="24"/>
          <w:lang w:eastAsia="en-GB"/>
          <w14:ligatures w14:val="standardContextual"/>
        </w:rPr>
        <w:tab/>
      </w:r>
      <w:r>
        <w:rPr>
          <w:lang w:bidi="en-GB"/>
        </w:rPr>
        <w:t>Tilbudsgivers hensigter som udtrykt i Tilbudsdokumentet</w:t>
      </w:r>
      <w:r>
        <w:tab/>
      </w:r>
      <w:r>
        <w:fldChar w:fldCharType="begin"/>
      </w:r>
      <w:r>
        <w:instrText xml:space="preserve"> PAGEREF _Toc218590520 \h </w:instrText>
      </w:r>
      <w:r>
        <w:fldChar w:fldCharType="separate"/>
      </w:r>
      <w:r w:rsidR="00433DF7">
        <w:t>20</w:t>
      </w:r>
      <w:r>
        <w:fldChar w:fldCharType="end"/>
      </w:r>
    </w:p>
    <w:p w14:paraId="33A69678" w14:textId="6B6D6D95" w:rsidR="00385A4C" w:rsidRPr="00385A4C" w:rsidRDefault="00385A4C">
      <w:pPr>
        <w:pStyle w:val="TOC4"/>
        <w:rPr>
          <w:rFonts w:asciiTheme="minorHAnsi" w:eastAsiaTheme="minorEastAsia" w:hAnsiTheme="minorHAnsi"/>
          <w:noProof/>
          <w:kern w:val="2"/>
          <w:sz w:val="24"/>
          <w:szCs w:val="24"/>
          <w:lang w:eastAsia="en-GB"/>
          <w14:ligatures w14:val="standardContextual"/>
        </w:rPr>
      </w:pPr>
      <w:r>
        <w:rPr>
          <w:noProof/>
          <w:lang w:bidi="en-GB"/>
        </w:rPr>
        <w:t>8.3.1.1</w:t>
      </w:r>
      <w:r w:rsidRPr="00385A4C">
        <w:rPr>
          <w:rFonts w:asciiTheme="minorHAnsi" w:eastAsiaTheme="minorEastAsia" w:hAnsiTheme="minorHAnsi"/>
          <w:noProof/>
          <w:kern w:val="2"/>
          <w:sz w:val="24"/>
          <w:szCs w:val="24"/>
          <w:lang w:eastAsia="en-GB"/>
          <w14:ligatures w14:val="standardContextual"/>
        </w:rPr>
        <w:tab/>
      </w:r>
      <w:r>
        <w:rPr>
          <w:noProof/>
          <w:lang w:bidi="en-GB"/>
        </w:rPr>
        <w:t>Tilbudsgivers</w:t>
      </w:r>
      <w:r w:rsidRPr="007D3241">
        <w:rPr>
          <w:rFonts w:cs="Times New Roman"/>
          <w:noProof/>
        </w:rPr>
        <w:t xml:space="preserve"> baggrund for Tilbuddet og strategiske planer</w:t>
      </w:r>
      <w:r>
        <w:rPr>
          <w:noProof/>
        </w:rPr>
        <w:tab/>
      </w:r>
      <w:r>
        <w:rPr>
          <w:noProof/>
        </w:rPr>
        <w:fldChar w:fldCharType="begin"/>
      </w:r>
      <w:r>
        <w:rPr>
          <w:noProof/>
        </w:rPr>
        <w:instrText xml:space="preserve"> PAGEREF _Toc218590521 \h </w:instrText>
      </w:r>
      <w:r>
        <w:rPr>
          <w:noProof/>
        </w:rPr>
      </w:r>
      <w:r>
        <w:rPr>
          <w:noProof/>
        </w:rPr>
        <w:fldChar w:fldCharType="separate"/>
      </w:r>
      <w:r w:rsidR="00433DF7">
        <w:rPr>
          <w:noProof/>
        </w:rPr>
        <w:t>20</w:t>
      </w:r>
      <w:r>
        <w:rPr>
          <w:noProof/>
        </w:rPr>
        <w:fldChar w:fldCharType="end"/>
      </w:r>
    </w:p>
    <w:p w14:paraId="18E740DA" w14:textId="26A5F76C" w:rsidR="00385A4C" w:rsidRPr="00385A4C" w:rsidRDefault="00385A4C">
      <w:pPr>
        <w:pStyle w:val="TOC4"/>
        <w:rPr>
          <w:rFonts w:asciiTheme="minorHAnsi" w:eastAsiaTheme="minorEastAsia" w:hAnsiTheme="minorHAnsi"/>
          <w:noProof/>
          <w:kern w:val="2"/>
          <w:sz w:val="24"/>
          <w:szCs w:val="24"/>
          <w:lang w:eastAsia="en-GB"/>
          <w14:ligatures w14:val="standardContextual"/>
        </w:rPr>
      </w:pPr>
      <w:r>
        <w:rPr>
          <w:noProof/>
          <w:lang w:bidi="en-GB"/>
        </w:rPr>
        <w:t>8.3.1.2</w:t>
      </w:r>
      <w:r w:rsidRPr="00385A4C">
        <w:rPr>
          <w:rFonts w:asciiTheme="minorHAnsi" w:eastAsiaTheme="minorEastAsia" w:hAnsiTheme="minorHAnsi"/>
          <w:noProof/>
          <w:kern w:val="2"/>
          <w:sz w:val="24"/>
          <w:szCs w:val="24"/>
          <w:lang w:eastAsia="en-GB"/>
          <w14:ligatures w14:val="standardContextual"/>
        </w:rPr>
        <w:tab/>
      </w:r>
      <w:r>
        <w:rPr>
          <w:noProof/>
          <w:lang w:bidi="en-GB"/>
        </w:rPr>
        <w:t>Tilbudsgivers hensigter vedrørende Koncernens</w:t>
      </w:r>
      <w:r w:rsidRPr="007D3241">
        <w:rPr>
          <w:rFonts w:cs="Times New Roman"/>
          <w:noProof/>
        </w:rPr>
        <w:t xml:space="preserve"> medarbejdere og ansættelsesvilkår samt hjemsted og hovedaktiviteter</w:t>
      </w:r>
      <w:r>
        <w:rPr>
          <w:noProof/>
        </w:rPr>
        <w:tab/>
      </w:r>
      <w:r>
        <w:rPr>
          <w:noProof/>
        </w:rPr>
        <w:fldChar w:fldCharType="begin"/>
      </w:r>
      <w:r>
        <w:rPr>
          <w:noProof/>
        </w:rPr>
        <w:instrText xml:space="preserve"> PAGEREF _Toc218590522 \h </w:instrText>
      </w:r>
      <w:r>
        <w:rPr>
          <w:noProof/>
        </w:rPr>
      </w:r>
      <w:r>
        <w:rPr>
          <w:noProof/>
        </w:rPr>
        <w:fldChar w:fldCharType="separate"/>
      </w:r>
      <w:r w:rsidR="00433DF7">
        <w:rPr>
          <w:noProof/>
        </w:rPr>
        <w:t>22</w:t>
      </w:r>
      <w:r>
        <w:rPr>
          <w:noProof/>
        </w:rPr>
        <w:fldChar w:fldCharType="end"/>
      </w:r>
    </w:p>
    <w:p w14:paraId="7AAFBB11" w14:textId="6C8D7F38" w:rsidR="00385A4C" w:rsidRPr="00385A4C" w:rsidRDefault="00385A4C">
      <w:pPr>
        <w:pStyle w:val="TOC4"/>
        <w:rPr>
          <w:rFonts w:asciiTheme="minorHAnsi" w:eastAsiaTheme="minorEastAsia" w:hAnsiTheme="minorHAnsi"/>
          <w:noProof/>
          <w:kern w:val="2"/>
          <w:sz w:val="24"/>
          <w:szCs w:val="24"/>
          <w:lang w:eastAsia="en-GB"/>
          <w14:ligatures w14:val="standardContextual"/>
        </w:rPr>
      </w:pPr>
      <w:r>
        <w:rPr>
          <w:noProof/>
          <w:lang w:bidi="en-GB"/>
        </w:rPr>
        <w:t>8.3.1.3</w:t>
      </w:r>
      <w:r w:rsidRPr="00385A4C">
        <w:rPr>
          <w:rFonts w:asciiTheme="minorHAnsi" w:eastAsiaTheme="minorEastAsia" w:hAnsiTheme="minorHAnsi"/>
          <w:noProof/>
          <w:kern w:val="2"/>
          <w:sz w:val="24"/>
          <w:szCs w:val="24"/>
          <w:lang w:eastAsia="en-GB"/>
          <w14:ligatures w14:val="standardContextual"/>
        </w:rPr>
        <w:tab/>
      </w:r>
      <w:r>
        <w:rPr>
          <w:noProof/>
        </w:rPr>
        <w:t xml:space="preserve">Tilbudsgivers hensigter vedrørende </w:t>
      </w:r>
      <w:r>
        <w:rPr>
          <w:noProof/>
          <w:lang w:bidi="en-GB"/>
        </w:rPr>
        <w:t xml:space="preserve">ændringer </w:t>
      </w:r>
      <w:r w:rsidRPr="007D3241">
        <w:rPr>
          <w:rFonts w:cs="Times New Roman"/>
          <w:noProof/>
        </w:rPr>
        <w:t>i ledelsen og Bestyrelsen</w:t>
      </w:r>
      <w:r>
        <w:rPr>
          <w:noProof/>
        </w:rPr>
        <w:tab/>
      </w:r>
      <w:r>
        <w:rPr>
          <w:noProof/>
        </w:rPr>
        <w:fldChar w:fldCharType="begin"/>
      </w:r>
      <w:r>
        <w:rPr>
          <w:noProof/>
        </w:rPr>
        <w:instrText xml:space="preserve"> PAGEREF _Toc218590523 \h </w:instrText>
      </w:r>
      <w:r>
        <w:rPr>
          <w:noProof/>
        </w:rPr>
      </w:r>
      <w:r>
        <w:rPr>
          <w:noProof/>
        </w:rPr>
        <w:fldChar w:fldCharType="separate"/>
      </w:r>
      <w:r w:rsidR="00433DF7">
        <w:rPr>
          <w:noProof/>
        </w:rPr>
        <w:t>22</w:t>
      </w:r>
      <w:r>
        <w:rPr>
          <w:noProof/>
        </w:rPr>
        <w:fldChar w:fldCharType="end"/>
      </w:r>
    </w:p>
    <w:p w14:paraId="42A86D24" w14:textId="0EE056F6" w:rsidR="00385A4C" w:rsidRPr="00385A4C" w:rsidRDefault="00385A4C">
      <w:pPr>
        <w:pStyle w:val="TOC4"/>
        <w:rPr>
          <w:rFonts w:asciiTheme="minorHAnsi" w:eastAsiaTheme="minorEastAsia" w:hAnsiTheme="minorHAnsi"/>
          <w:noProof/>
          <w:kern w:val="2"/>
          <w:sz w:val="24"/>
          <w:szCs w:val="24"/>
          <w:lang w:eastAsia="en-GB"/>
          <w14:ligatures w14:val="standardContextual"/>
        </w:rPr>
      </w:pPr>
      <w:r>
        <w:rPr>
          <w:noProof/>
          <w:lang w:bidi="en-GB"/>
        </w:rPr>
        <w:t>8.3.1.4</w:t>
      </w:r>
      <w:r w:rsidRPr="00385A4C">
        <w:rPr>
          <w:rFonts w:asciiTheme="minorHAnsi" w:eastAsiaTheme="minorEastAsia" w:hAnsiTheme="minorHAnsi"/>
          <w:noProof/>
          <w:kern w:val="2"/>
          <w:sz w:val="24"/>
          <w:szCs w:val="24"/>
          <w:lang w:eastAsia="en-GB"/>
          <w14:ligatures w14:val="standardContextual"/>
        </w:rPr>
        <w:tab/>
      </w:r>
      <w:r>
        <w:rPr>
          <w:noProof/>
        </w:rPr>
        <w:t xml:space="preserve">Tilbudsgivers hensigter vedrørende </w:t>
      </w:r>
      <w:r>
        <w:rPr>
          <w:noProof/>
          <w:lang w:bidi="en-GB"/>
        </w:rPr>
        <w:t>udlodning af midler</w:t>
      </w:r>
      <w:r>
        <w:rPr>
          <w:noProof/>
        </w:rPr>
        <w:tab/>
      </w:r>
      <w:r>
        <w:rPr>
          <w:noProof/>
        </w:rPr>
        <w:fldChar w:fldCharType="begin"/>
      </w:r>
      <w:r>
        <w:rPr>
          <w:noProof/>
        </w:rPr>
        <w:instrText xml:space="preserve"> PAGEREF _Toc218590524 \h </w:instrText>
      </w:r>
      <w:r>
        <w:rPr>
          <w:noProof/>
        </w:rPr>
      </w:r>
      <w:r>
        <w:rPr>
          <w:noProof/>
        </w:rPr>
        <w:fldChar w:fldCharType="separate"/>
      </w:r>
      <w:r w:rsidR="00433DF7">
        <w:rPr>
          <w:noProof/>
        </w:rPr>
        <w:t>23</w:t>
      </w:r>
      <w:r>
        <w:rPr>
          <w:noProof/>
        </w:rPr>
        <w:fldChar w:fldCharType="end"/>
      </w:r>
    </w:p>
    <w:p w14:paraId="526FE28E" w14:textId="4FB72010" w:rsidR="00385A4C" w:rsidRPr="00385A4C" w:rsidRDefault="00385A4C">
      <w:pPr>
        <w:pStyle w:val="TOC4"/>
        <w:rPr>
          <w:rFonts w:asciiTheme="minorHAnsi" w:eastAsiaTheme="minorEastAsia" w:hAnsiTheme="minorHAnsi"/>
          <w:noProof/>
          <w:kern w:val="2"/>
          <w:sz w:val="24"/>
          <w:szCs w:val="24"/>
          <w:lang w:eastAsia="en-GB"/>
          <w14:ligatures w14:val="standardContextual"/>
        </w:rPr>
      </w:pPr>
      <w:r>
        <w:rPr>
          <w:noProof/>
        </w:rPr>
        <w:t>8.3.1.5</w:t>
      </w:r>
      <w:r w:rsidRPr="00385A4C">
        <w:rPr>
          <w:rFonts w:asciiTheme="minorHAnsi" w:eastAsiaTheme="minorEastAsia" w:hAnsiTheme="minorHAnsi"/>
          <w:noProof/>
          <w:kern w:val="2"/>
          <w:sz w:val="24"/>
          <w:szCs w:val="24"/>
          <w:lang w:eastAsia="en-GB"/>
          <w14:ligatures w14:val="standardContextual"/>
        </w:rPr>
        <w:tab/>
      </w:r>
      <w:r>
        <w:rPr>
          <w:noProof/>
        </w:rPr>
        <w:t>Tilbudsgivers hensigter vedrørende tvangsindløsning</w:t>
      </w:r>
      <w:r>
        <w:rPr>
          <w:noProof/>
        </w:rPr>
        <w:tab/>
      </w:r>
      <w:r>
        <w:rPr>
          <w:noProof/>
        </w:rPr>
        <w:fldChar w:fldCharType="begin"/>
      </w:r>
      <w:r>
        <w:rPr>
          <w:noProof/>
        </w:rPr>
        <w:instrText xml:space="preserve"> PAGEREF _Toc218590525 \h </w:instrText>
      </w:r>
      <w:r>
        <w:rPr>
          <w:noProof/>
        </w:rPr>
      </w:r>
      <w:r>
        <w:rPr>
          <w:noProof/>
        </w:rPr>
        <w:fldChar w:fldCharType="separate"/>
      </w:r>
      <w:r w:rsidR="00433DF7">
        <w:rPr>
          <w:noProof/>
        </w:rPr>
        <w:t>24</w:t>
      </w:r>
      <w:r>
        <w:rPr>
          <w:noProof/>
        </w:rPr>
        <w:fldChar w:fldCharType="end"/>
      </w:r>
    </w:p>
    <w:p w14:paraId="295351AE" w14:textId="5C18BF59" w:rsidR="00385A4C" w:rsidRPr="00385A4C" w:rsidRDefault="00385A4C">
      <w:pPr>
        <w:pStyle w:val="TOC4"/>
        <w:rPr>
          <w:rFonts w:asciiTheme="minorHAnsi" w:eastAsiaTheme="minorEastAsia" w:hAnsiTheme="minorHAnsi"/>
          <w:noProof/>
          <w:kern w:val="2"/>
          <w:sz w:val="24"/>
          <w:szCs w:val="24"/>
          <w:lang w:eastAsia="en-GB"/>
          <w14:ligatures w14:val="standardContextual"/>
        </w:rPr>
      </w:pPr>
      <w:r>
        <w:rPr>
          <w:noProof/>
        </w:rPr>
        <w:t>8.3.1.6</w:t>
      </w:r>
      <w:r w:rsidRPr="00385A4C">
        <w:rPr>
          <w:rFonts w:asciiTheme="minorHAnsi" w:eastAsiaTheme="minorEastAsia" w:hAnsiTheme="minorHAnsi"/>
          <w:noProof/>
          <w:kern w:val="2"/>
          <w:sz w:val="24"/>
          <w:szCs w:val="24"/>
          <w:lang w:eastAsia="en-GB"/>
          <w14:ligatures w14:val="standardContextual"/>
        </w:rPr>
        <w:tab/>
      </w:r>
      <w:r>
        <w:rPr>
          <w:noProof/>
        </w:rPr>
        <w:t>Tilbudsgivers hensigter vedrørende afnotering</w:t>
      </w:r>
      <w:r>
        <w:rPr>
          <w:noProof/>
        </w:rPr>
        <w:tab/>
      </w:r>
      <w:r>
        <w:rPr>
          <w:noProof/>
        </w:rPr>
        <w:fldChar w:fldCharType="begin"/>
      </w:r>
      <w:r>
        <w:rPr>
          <w:noProof/>
        </w:rPr>
        <w:instrText xml:space="preserve"> PAGEREF _Toc218590526 \h </w:instrText>
      </w:r>
      <w:r>
        <w:rPr>
          <w:noProof/>
        </w:rPr>
      </w:r>
      <w:r>
        <w:rPr>
          <w:noProof/>
        </w:rPr>
        <w:fldChar w:fldCharType="separate"/>
      </w:r>
      <w:r w:rsidR="00433DF7">
        <w:rPr>
          <w:noProof/>
        </w:rPr>
        <w:t>25</w:t>
      </w:r>
      <w:r>
        <w:rPr>
          <w:noProof/>
        </w:rPr>
        <w:fldChar w:fldCharType="end"/>
      </w:r>
    </w:p>
    <w:p w14:paraId="7C714FDB" w14:textId="6DFC5B93" w:rsidR="00385A4C" w:rsidRPr="00385A4C" w:rsidRDefault="00385A4C">
      <w:pPr>
        <w:pStyle w:val="TOC4"/>
        <w:rPr>
          <w:rFonts w:asciiTheme="minorHAnsi" w:eastAsiaTheme="minorEastAsia" w:hAnsiTheme="minorHAnsi"/>
          <w:noProof/>
          <w:kern w:val="2"/>
          <w:sz w:val="24"/>
          <w:szCs w:val="24"/>
          <w:lang w:eastAsia="en-GB"/>
          <w14:ligatures w14:val="standardContextual"/>
        </w:rPr>
      </w:pPr>
      <w:r>
        <w:rPr>
          <w:noProof/>
        </w:rPr>
        <w:t>8.3.1.7</w:t>
      </w:r>
      <w:r w:rsidRPr="00385A4C">
        <w:rPr>
          <w:rFonts w:asciiTheme="minorHAnsi" w:eastAsiaTheme="minorEastAsia" w:hAnsiTheme="minorHAnsi"/>
          <w:noProof/>
          <w:kern w:val="2"/>
          <w:sz w:val="24"/>
          <w:szCs w:val="24"/>
          <w:lang w:eastAsia="en-GB"/>
          <w14:ligatures w14:val="standardContextual"/>
        </w:rPr>
        <w:tab/>
      </w:r>
      <w:r>
        <w:rPr>
          <w:noProof/>
        </w:rPr>
        <w:t>Tilbudsgivers finansiering</w:t>
      </w:r>
      <w:r w:rsidRPr="007D3241">
        <w:rPr>
          <w:rFonts w:cs="Times New Roman"/>
          <w:noProof/>
        </w:rPr>
        <w:t xml:space="preserve"> af Tilbuddet</w:t>
      </w:r>
      <w:r>
        <w:rPr>
          <w:noProof/>
        </w:rPr>
        <w:tab/>
      </w:r>
      <w:r>
        <w:rPr>
          <w:noProof/>
        </w:rPr>
        <w:fldChar w:fldCharType="begin"/>
      </w:r>
      <w:r>
        <w:rPr>
          <w:noProof/>
        </w:rPr>
        <w:instrText xml:space="preserve"> PAGEREF _Toc218590527 \h </w:instrText>
      </w:r>
      <w:r>
        <w:rPr>
          <w:noProof/>
        </w:rPr>
      </w:r>
      <w:r>
        <w:rPr>
          <w:noProof/>
        </w:rPr>
        <w:fldChar w:fldCharType="separate"/>
      </w:r>
      <w:r w:rsidR="00433DF7">
        <w:rPr>
          <w:noProof/>
        </w:rPr>
        <w:t>25</w:t>
      </w:r>
      <w:r>
        <w:rPr>
          <w:noProof/>
        </w:rPr>
        <w:fldChar w:fldCharType="end"/>
      </w:r>
    </w:p>
    <w:p w14:paraId="221187FC" w14:textId="363A8C83" w:rsidR="00385A4C" w:rsidRPr="00385A4C" w:rsidRDefault="00385A4C">
      <w:pPr>
        <w:pStyle w:val="TOC2"/>
        <w:rPr>
          <w:rFonts w:asciiTheme="minorHAnsi" w:eastAsiaTheme="minorEastAsia" w:hAnsiTheme="minorHAnsi"/>
          <w:kern w:val="2"/>
          <w:sz w:val="24"/>
          <w:szCs w:val="24"/>
          <w:lang w:eastAsia="en-GB"/>
          <w14:ligatures w14:val="standardContextual"/>
        </w:rPr>
      </w:pPr>
      <w:r>
        <w:t>8.4</w:t>
      </w:r>
      <w:r w:rsidRPr="00385A4C">
        <w:rPr>
          <w:rFonts w:asciiTheme="minorHAnsi" w:eastAsiaTheme="minorEastAsia" w:hAnsiTheme="minorHAnsi"/>
          <w:kern w:val="2"/>
          <w:sz w:val="24"/>
          <w:szCs w:val="24"/>
          <w:lang w:eastAsia="en-GB"/>
          <w14:ligatures w14:val="standardContextual"/>
        </w:rPr>
        <w:tab/>
      </w:r>
      <w:r>
        <w:t>Betingelser og vilkår for Tilbuddet bortset fra Tilbudskursen</w:t>
      </w:r>
      <w:r>
        <w:tab/>
      </w:r>
      <w:r>
        <w:fldChar w:fldCharType="begin"/>
      </w:r>
      <w:r>
        <w:instrText xml:space="preserve"> PAGEREF _Toc218590528 \h </w:instrText>
      </w:r>
      <w:r>
        <w:fldChar w:fldCharType="separate"/>
      </w:r>
      <w:r w:rsidR="00433DF7">
        <w:t>26</w:t>
      </w:r>
      <w:r>
        <w:fldChar w:fldCharType="end"/>
      </w:r>
    </w:p>
    <w:p w14:paraId="159A991A" w14:textId="079A1E7E" w:rsidR="00385A4C" w:rsidRPr="00385A4C" w:rsidRDefault="00385A4C">
      <w:pPr>
        <w:pStyle w:val="TOC3"/>
        <w:rPr>
          <w:rFonts w:asciiTheme="minorHAnsi" w:eastAsiaTheme="minorEastAsia" w:hAnsiTheme="minorHAnsi"/>
          <w:kern w:val="2"/>
          <w:sz w:val="24"/>
          <w:szCs w:val="24"/>
          <w:lang w:eastAsia="en-GB"/>
          <w14:ligatures w14:val="standardContextual"/>
        </w:rPr>
      </w:pPr>
      <w:r>
        <w:t>8.4.1</w:t>
      </w:r>
      <w:r w:rsidRPr="00385A4C">
        <w:rPr>
          <w:rFonts w:asciiTheme="minorHAnsi" w:eastAsiaTheme="minorEastAsia" w:hAnsiTheme="minorHAnsi"/>
          <w:kern w:val="2"/>
          <w:sz w:val="24"/>
          <w:szCs w:val="24"/>
          <w:lang w:eastAsia="en-GB"/>
          <w14:ligatures w14:val="standardContextual"/>
        </w:rPr>
        <w:tab/>
      </w:r>
      <w:r>
        <w:t>Sikkerhed for Gennemførelse af Tilbuddet</w:t>
      </w:r>
      <w:r>
        <w:tab/>
      </w:r>
      <w:r>
        <w:fldChar w:fldCharType="begin"/>
      </w:r>
      <w:r>
        <w:instrText xml:space="preserve"> PAGEREF _Toc218590529 \h </w:instrText>
      </w:r>
      <w:r>
        <w:fldChar w:fldCharType="separate"/>
      </w:r>
      <w:r w:rsidR="00433DF7">
        <w:t>26</w:t>
      </w:r>
      <w:r>
        <w:fldChar w:fldCharType="end"/>
      </w:r>
    </w:p>
    <w:p w14:paraId="66F04A04" w14:textId="48A9CE5A" w:rsidR="00385A4C" w:rsidRPr="00385A4C" w:rsidRDefault="00385A4C">
      <w:pPr>
        <w:pStyle w:val="TOC2"/>
        <w:rPr>
          <w:rFonts w:asciiTheme="minorHAnsi" w:eastAsiaTheme="minorEastAsia" w:hAnsiTheme="minorHAnsi"/>
          <w:kern w:val="2"/>
          <w:sz w:val="24"/>
          <w:szCs w:val="24"/>
          <w:lang w:eastAsia="en-GB"/>
          <w14:ligatures w14:val="standardContextual"/>
        </w:rPr>
      </w:pPr>
      <w:r>
        <w:t>8.5</w:t>
      </w:r>
      <w:r w:rsidRPr="00385A4C">
        <w:rPr>
          <w:rFonts w:asciiTheme="minorHAnsi" w:eastAsiaTheme="minorEastAsia" w:hAnsiTheme="minorHAnsi"/>
          <w:kern w:val="2"/>
          <w:sz w:val="24"/>
          <w:szCs w:val="24"/>
          <w:lang w:eastAsia="en-GB"/>
          <w14:ligatures w14:val="standardContextual"/>
        </w:rPr>
        <w:tab/>
      </w:r>
      <w:r>
        <w:t>Mulighed for at reagere på konkurrerende tilbud eller alternative transaktioner</w:t>
      </w:r>
      <w:r>
        <w:tab/>
      </w:r>
      <w:r>
        <w:fldChar w:fldCharType="begin"/>
      </w:r>
      <w:r>
        <w:instrText xml:space="preserve"> PAGEREF _Toc218590530 \h </w:instrText>
      </w:r>
      <w:r>
        <w:fldChar w:fldCharType="separate"/>
      </w:r>
      <w:r w:rsidR="00433DF7">
        <w:t>28</w:t>
      </w:r>
      <w:r>
        <w:fldChar w:fldCharType="end"/>
      </w:r>
    </w:p>
    <w:p w14:paraId="2B5477E9" w14:textId="7918D2DA" w:rsidR="00385A4C" w:rsidRPr="001D1248" w:rsidRDefault="00385A4C">
      <w:pPr>
        <w:pStyle w:val="TOC2"/>
        <w:rPr>
          <w:rFonts w:asciiTheme="minorHAnsi" w:eastAsiaTheme="minorEastAsia" w:hAnsiTheme="minorHAnsi"/>
          <w:kern w:val="2"/>
          <w:sz w:val="24"/>
          <w:szCs w:val="24"/>
          <w:lang w:eastAsia="en-GB"/>
          <w14:ligatures w14:val="standardContextual"/>
        </w:rPr>
      </w:pPr>
      <w:r>
        <w:t>8.6</w:t>
      </w:r>
      <w:r w:rsidRPr="001D1248">
        <w:rPr>
          <w:rFonts w:asciiTheme="minorHAnsi" w:eastAsiaTheme="minorEastAsia" w:hAnsiTheme="minorHAnsi"/>
          <w:kern w:val="2"/>
          <w:sz w:val="24"/>
          <w:szCs w:val="24"/>
          <w:lang w:eastAsia="en-GB"/>
          <w14:ligatures w14:val="standardContextual"/>
        </w:rPr>
        <w:tab/>
      </w:r>
      <w:r>
        <w:rPr>
          <w:lang w:bidi="en-GB"/>
        </w:rPr>
        <w:t>Fordele og ulemper for Aktionærerne ved at acceptere Tilbuddet</w:t>
      </w:r>
      <w:r>
        <w:tab/>
      </w:r>
      <w:r>
        <w:fldChar w:fldCharType="begin"/>
      </w:r>
      <w:r>
        <w:instrText xml:space="preserve"> PAGEREF _Toc218590531 \h </w:instrText>
      </w:r>
      <w:r>
        <w:fldChar w:fldCharType="separate"/>
      </w:r>
      <w:r w:rsidR="00433DF7">
        <w:t>28</w:t>
      </w:r>
      <w:r>
        <w:fldChar w:fldCharType="end"/>
      </w:r>
    </w:p>
    <w:p w14:paraId="6288F42B" w14:textId="56B06668" w:rsidR="00385A4C" w:rsidRPr="001D1248" w:rsidRDefault="00385A4C">
      <w:pPr>
        <w:pStyle w:val="TOC3"/>
        <w:rPr>
          <w:rFonts w:asciiTheme="minorHAnsi" w:eastAsiaTheme="minorEastAsia" w:hAnsiTheme="minorHAnsi"/>
          <w:kern w:val="2"/>
          <w:sz w:val="24"/>
          <w:szCs w:val="24"/>
          <w:lang w:eastAsia="en-GB"/>
          <w14:ligatures w14:val="standardContextual"/>
        </w:rPr>
      </w:pPr>
      <w:r>
        <w:rPr>
          <w:lang w:bidi="en-GB"/>
        </w:rPr>
        <w:t>8.6.1</w:t>
      </w:r>
      <w:r w:rsidRPr="001D1248">
        <w:rPr>
          <w:rFonts w:asciiTheme="minorHAnsi" w:eastAsiaTheme="minorEastAsia" w:hAnsiTheme="minorHAnsi"/>
          <w:kern w:val="2"/>
          <w:sz w:val="24"/>
          <w:szCs w:val="24"/>
          <w:lang w:eastAsia="en-GB"/>
          <w14:ligatures w14:val="standardContextual"/>
        </w:rPr>
        <w:tab/>
      </w:r>
      <w:r>
        <w:rPr>
          <w:lang w:bidi="en-GB"/>
        </w:rPr>
        <w:t>Fordele for Aktionærerne</w:t>
      </w:r>
      <w:r>
        <w:tab/>
      </w:r>
      <w:r>
        <w:fldChar w:fldCharType="begin"/>
      </w:r>
      <w:r>
        <w:instrText xml:space="preserve"> PAGEREF _Toc218590532 \h </w:instrText>
      </w:r>
      <w:r>
        <w:fldChar w:fldCharType="separate"/>
      </w:r>
      <w:r w:rsidR="00433DF7">
        <w:t>28</w:t>
      </w:r>
      <w:r>
        <w:fldChar w:fldCharType="end"/>
      </w:r>
    </w:p>
    <w:p w14:paraId="3B0BFD3F" w14:textId="12A16FDC" w:rsidR="00385A4C" w:rsidRPr="001D1248" w:rsidRDefault="00385A4C">
      <w:pPr>
        <w:pStyle w:val="TOC3"/>
        <w:rPr>
          <w:rFonts w:asciiTheme="minorHAnsi" w:eastAsiaTheme="minorEastAsia" w:hAnsiTheme="minorHAnsi"/>
          <w:kern w:val="2"/>
          <w:sz w:val="24"/>
          <w:szCs w:val="24"/>
          <w:lang w:eastAsia="en-GB"/>
          <w14:ligatures w14:val="standardContextual"/>
        </w:rPr>
      </w:pPr>
      <w:r>
        <w:rPr>
          <w:lang w:bidi="en-GB"/>
        </w:rPr>
        <w:t>8.6.2</w:t>
      </w:r>
      <w:r w:rsidRPr="001D1248">
        <w:rPr>
          <w:rFonts w:asciiTheme="minorHAnsi" w:eastAsiaTheme="minorEastAsia" w:hAnsiTheme="minorHAnsi"/>
          <w:kern w:val="2"/>
          <w:sz w:val="24"/>
          <w:szCs w:val="24"/>
          <w:lang w:eastAsia="en-GB"/>
          <w14:ligatures w14:val="standardContextual"/>
        </w:rPr>
        <w:tab/>
      </w:r>
      <w:r>
        <w:rPr>
          <w:lang w:bidi="en-GB"/>
        </w:rPr>
        <w:t>Ulemper for Aktionærerne</w:t>
      </w:r>
      <w:r>
        <w:tab/>
      </w:r>
      <w:r>
        <w:fldChar w:fldCharType="begin"/>
      </w:r>
      <w:r>
        <w:instrText xml:space="preserve"> PAGEREF _Toc218590533 \h </w:instrText>
      </w:r>
      <w:r>
        <w:fldChar w:fldCharType="separate"/>
      </w:r>
      <w:r w:rsidR="00433DF7">
        <w:t>29</w:t>
      </w:r>
      <w:r>
        <w:fldChar w:fldCharType="end"/>
      </w:r>
    </w:p>
    <w:p w14:paraId="55FF3BBE" w14:textId="63C27579" w:rsidR="00385A4C" w:rsidRPr="001D1248" w:rsidRDefault="00385A4C">
      <w:pPr>
        <w:pStyle w:val="TOC2"/>
        <w:rPr>
          <w:rFonts w:asciiTheme="minorHAnsi" w:eastAsiaTheme="minorEastAsia" w:hAnsiTheme="minorHAnsi"/>
          <w:kern w:val="2"/>
          <w:sz w:val="24"/>
          <w:szCs w:val="24"/>
          <w:lang w:eastAsia="en-GB"/>
          <w14:ligatures w14:val="standardContextual"/>
        </w:rPr>
      </w:pPr>
      <w:r>
        <w:t>8.7</w:t>
      </w:r>
      <w:r w:rsidRPr="001D1248">
        <w:rPr>
          <w:rFonts w:asciiTheme="minorHAnsi" w:eastAsiaTheme="minorEastAsia" w:hAnsiTheme="minorHAnsi"/>
          <w:kern w:val="2"/>
          <w:sz w:val="24"/>
          <w:szCs w:val="24"/>
          <w:lang w:eastAsia="en-GB"/>
          <w14:ligatures w14:val="standardContextual"/>
        </w:rPr>
        <w:tab/>
      </w:r>
      <w:r>
        <w:t>Potentielle konsekvenser for Aktionærer, der ikke accepterer Tilbuddet</w:t>
      </w:r>
      <w:r>
        <w:tab/>
      </w:r>
      <w:r>
        <w:fldChar w:fldCharType="begin"/>
      </w:r>
      <w:r>
        <w:instrText xml:space="preserve"> PAGEREF _Toc218590534 \h </w:instrText>
      </w:r>
      <w:r>
        <w:fldChar w:fldCharType="separate"/>
      </w:r>
      <w:r w:rsidR="00433DF7">
        <w:t>29</w:t>
      </w:r>
      <w:r>
        <w:fldChar w:fldCharType="end"/>
      </w:r>
    </w:p>
    <w:p w14:paraId="3BA3CA68" w14:textId="416F253C" w:rsidR="00385A4C" w:rsidRPr="001D1248" w:rsidRDefault="00385A4C">
      <w:pPr>
        <w:pStyle w:val="TOC1"/>
        <w:rPr>
          <w:rFonts w:asciiTheme="minorHAnsi" w:eastAsiaTheme="minorEastAsia" w:hAnsiTheme="minorHAnsi"/>
          <w:b w:val="0"/>
          <w:caps w:val="0"/>
          <w:kern w:val="2"/>
          <w:sz w:val="24"/>
          <w:szCs w:val="24"/>
          <w:lang w:eastAsia="en-GB"/>
          <w14:ligatures w14:val="standardContextual"/>
        </w:rPr>
      </w:pPr>
      <w:r>
        <w:lastRenderedPageBreak/>
        <w:t>9.</w:t>
      </w:r>
      <w:r w:rsidRPr="001D1248">
        <w:rPr>
          <w:rFonts w:asciiTheme="minorHAnsi" w:eastAsiaTheme="minorEastAsia" w:hAnsiTheme="minorHAnsi"/>
          <w:b w:val="0"/>
          <w:caps w:val="0"/>
          <w:kern w:val="2"/>
          <w:sz w:val="24"/>
          <w:szCs w:val="24"/>
          <w:lang w:eastAsia="en-GB"/>
          <w14:ligatures w14:val="standardContextual"/>
        </w:rPr>
        <w:tab/>
      </w:r>
      <w:r>
        <w:rPr>
          <w:lang w:bidi="en-GB"/>
        </w:rPr>
        <w:t>Oplysninger om visse ejerandele osv.</w:t>
      </w:r>
      <w:r>
        <w:tab/>
      </w:r>
      <w:r>
        <w:fldChar w:fldCharType="begin"/>
      </w:r>
      <w:r>
        <w:instrText xml:space="preserve"> PAGEREF _Toc218590535 \h </w:instrText>
      </w:r>
      <w:r>
        <w:fldChar w:fldCharType="separate"/>
      </w:r>
      <w:r w:rsidR="00433DF7">
        <w:t>31</w:t>
      </w:r>
      <w:r>
        <w:fldChar w:fldCharType="end"/>
      </w:r>
    </w:p>
    <w:p w14:paraId="1598BE37" w14:textId="378B1E4C" w:rsidR="00385A4C" w:rsidRPr="001D1248" w:rsidRDefault="00385A4C">
      <w:pPr>
        <w:pStyle w:val="TOC2"/>
        <w:rPr>
          <w:rFonts w:asciiTheme="minorHAnsi" w:eastAsiaTheme="minorEastAsia" w:hAnsiTheme="minorHAnsi"/>
          <w:kern w:val="2"/>
          <w:sz w:val="24"/>
          <w:szCs w:val="24"/>
          <w:lang w:eastAsia="en-GB"/>
          <w14:ligatures w14:val="standardContextual"/>
        </w:rPr>
      </w:pPr>
      <w:r>
        <w:t>9.1</w:t>
      </w:r>
      <w:r w:rsidRPr="001D1248">
        <w:rPr>
          <w:rFonts w:asciiTheme="minorHAnsi" w:eastAsiaTheme="minorEastAsia" w:hAnsiTheme="minorHAnsi"/>
          <w:kern w:val="2"/>
          <w:sz w:val="24"/>
          <w:szCs w:val="24"/>
          <w:lang w:eastAsia="en-GB"/>
          <w14:ligatures w14:val="standardContextual"/>
        </w:rPr>
        <w:tab/>
      </w:r>
      <w:r>
        <w:rPr>
          <w:lang w:bidi="en-GB"/>
        </w:rPr>
        <w:t>Bestyrelsens og Direktionens ejerandele</w:t>
      </w:r>
      <w:r>
        <w:tab/>
      </w:r>
      <w:r>
        <w:fldChar w:fldCharType="begin"/>
      </w:r>
      <w:r>
        <w:instrText xml:space="preserve"> PAGEREF _Toc218590536 \h </w:instrText>
      </w:r>
      <w:r>
        <w:fldChar w:fldCharType="separate"/>
      </w:r>
      <w:r w:rsidR="00433DF7">
        <w:t>31</w:t>
      </w:r>
      <w:r>
        <w:fldChar w:fldCharType="end"/>
      </w:r>
    </w:p>
    <w:p w14:paraId="1FC613EE" w14:textId="3C164A15" w:rsidR="00385A4C" w:rsidRPr="001D1248" w:rsidRDefault="00385A4C">
      <w:pPr>
        <w:pStyle w:val="TOC2"/>
        <w:rPr>
          <w:rFonts w:asciiTheme="minorHAnsi" w:eastAsiaTheme="minorEastAsia" w:hAnsiTheme="minorHAnsi"/>
          <w:kern w:val="2"/>
          <w:sz w:val="24"/>
          <w:szCs w:val="24"/>
          <w:lang w:eastAsia="en-GB"/>
          <w14:ligatures w14:val="standardContextual"/>
        </w:rPr>
      </w:pPr>
      <w:r>
        <w:t>9.2</w:t>
      </w:r>
      <w:r w:rsidRPr="001D1248">
        <w:rPr>
          <w:rFonts w:asciiTheme="minorHAnsi" w:eastAsiaTheme="minorEastAsia" w:hAnsiTheme="minorHAnsi"/>
          <w:kern w:val="2"/>
          <w:sz w:val="24"/>
          <w:szCs w:val="24"/>
          <w:lang w:eastAsia="en-GB"/>
          <w14:ligatures w14:val="standardContextual"/>
        </w:rPr>
        <w:tab/>
      </w:r>
      <w:r>
        <w:rPr>
          <w:lang w:bidi="en-GB"/>
        </w:rPr>
        <w:t>Aktiebaserede instrumenter ejet af Bestyrelsen og Direktionen</w:t>
      </w:r>
      <w:r>
        <w:tab/>
      </w:r>
      <w:r>
        <w:fldChar w:fldCharType="begin"/>
      </w:r>
      <w:r>
        <w:instrText xml:space="preserve"> PAGEREF _Toc218590537 \h </w:instrText>
      </w:r>
      <w:r>
        <w:fldChar w:fldCharType="separate"/>
      </w:r>
      <w:r w:rsidR="00433DF7">
        <w:t>31</w:t>
      </w:r>
      <w:r>
        <w:fldChar w:fldCharType="end"/>
      </w:r>
    </w:p>
    <w:p w14:paraId="0CF76409" w14:textId="295A79B7" w:rsidR="00385A4C" w:rsidRPr="001D1248" w:rsidRDefault="00385A4C">
      <w:pPr>
        <w:pStyle w:val="TOC2"/>
        <w:rPr>
          <w:rFonts w:asciiTheme="minorHAnsi" w:eastAsiaTheme="minorEastAsia" w:hAnsiTheme="minorHAnsi"/>
          <w:kern w:val="2"/>
          <w:sz w:val="24"/>
          <w:szCs w:val="24"/>
          <w:lang w:eastAsia="en-GB"/>
          <w14:ligatures w14:val="standardContextual"/>
        </w:rPr>
      </w:pPr>
      <w:r>
        <w:rPr>
          <w:lang w:bidi="en-GB"/>
        </w:rPr>
        <w:t>9.3</w:t>
      </w:r>
      <w:r w:rsidRPr="001D1248">
        <w:rPr>
          <w:rFonts w:asciiTheme="minorHAnsi" w:eastAsiaTheme="minorEastAsia" w:hAnsiTheme="minorHAnsi"/>
          <w:kern w:val="2"/>
          <w:sz w:val="24"/>
          <w:szCs w:val="24"/>
          <w:lang w:eastAsia="en-GB"/>
          <w14:ligatures w14:val="standardContextual"/>
        </w:rPr>
        <w:tab/>
      </w:r>
      <w:r>
        <w:rPr>
          <w:lang w:bidi="en-GB"/>
        </w:rPr>
        <w:t>Bonusser</w:t>
      </w:r>
      <w:r>
        <w:tab/>
      </w:r>
      <w:r>
        <w:fldChar w:fldCharType="begin"/>
      </w:r>
      <w:r>
        <w:instrText xml:space="preserve"> PAGEREF _Toc218590538 \h </w:instrText>
      </w:r>
      <w:r>
        <w:fldChar w:fldCharType="separate"/>
      </w:r>
      <w:r w:rsidR="00433DF7">
        <w:t>31</w:t>
      </w:r>
      <w:r>
        <w:fldChar w:fldCharType="end"/>
      </w:r>
    </w:p>
    <w:p w14:paraId="09C56731" w14:textId="791B7CE5" w:rsidR="00385A4C" w:rsidRPr="001D1248" w:rsidRDefault="00385A4C">
      <w:pPr>
        <w:pStyle w:val="TOC1"/>
        <w:rPr>
          <w:rFonts w:asciiTheme="minorHAnsi" w:eastAsiaTheme="minorEastAsia" w:hAnsiTheme="minorHAnsi"/>
          <w:b w:val="0"/>
          <w:caps w:val="0"/>
          <w:kern w:val="2"/>
          <w:sz w:val="24"/>
          <w:szCs w:val="24"/>
          <w:lang w:eastAsia="en-GB"/>
          <w14:ligatures w14:val="standardContextual"/>
        </w:rPr>
      </w:pPr>
      <w:r>
        <w:t>10.</w:t>
      </w:r>
      <w:r w:rsidRPr="001D1248">
        <w:rPr>
          <w:rFonts w:asciiTheme="minorHAnsi" w:eastAsiaTheme="minorEastAsia" w:hAnsiTheme="minorHAnsi"/>
          <w:b w:val="0"/>
          <w:caps w:val="0"/>
          <w:kern w:val="2"/>
          <w:sz w:val="24"/>
          <w:szCs w:val="24"/>
          <w:lang w:eastAsia="en-GB"/>
          <w14:ligatures w14:val="standardContextual"/>
        </w:rPr>
        <w:tab/>
      </w:r>
      <w:r>
        <w:t>Diverse</w:t>
      </w:r>
      <w:r>
        <w:tab/>
      </w:r>
      <w:r>
        <w:fldChar w:fldCharType="begin"/>
      </w:r>
      <w:r>
        <w:instrText xml:space="preserve"> PAGEREF _Toc218590539 \h </w:instrText>
      </w:r>
      <w:r>
        <w:fldChar w:fldCharType="separate"/>
      </w:r>
      <w:r w:rsidR="00433DF7">
        <w:t>32</w:t>
      </w:r>
      <w:r>
        <w:fldChar w:fldCharType="end"/>
      </w:r>
    </w:p>
    <w:p w14:paraId="751485EF" w14:textId="65C64532" w:rsidR="00385A4C" w:rsidRPr="001D1248" w:rsidRDefault="00385A4C">
      <w:pPr>
        <w:pStyle w:val="TOC2"/>
        <w:rPr>
          <w:rFonts w:asciiTheme="minorHAnsi" w:eastAsiaTheme="minorEastAsia" w:hAnsiTheme="minorHAnsi"/>
          <w:kern w:val="2"/>
          <w:sz w:val="24"/>
          <w:szCs w:val="24"/>
          <w:lang w:eastAsia="en-GB"/>
          <w14:ligatures w14:val="standardContextual"/>
        </w:rPr>
      </w:pPr>
      <w:r>
        <w:t>10.1</w:t>
      </w:r>
      <w:r w:rsidRPr="001D1248">
        <w:rPr>
          <w:rFonts w:asciiTheme="minorHAnsi" w:eastAsiaTheme="minorEastAsia" w:hAnsiTheme="minorHAnsi"/>
          <w:kern w:val="2"/>
          <w:sz w:val="24"/>
          <w:szCs w:val="24"/>
          <w:lang w:eastAsia="en-GB"/>
          <w14:ligatures w14:val="standardContextual"/>
        </w:rPr>
        <w:tab/>
      </w:r>
      <w:r>
        <w:rPr>
          <w:lang w:bidi="en-GB"/>
        </w:rPr>
        <w:t>Lovvalg</w:t>
      </w:r>
      <w:r>
        <w:tab/>
      </w:r>
      <w:r>
        <w:fldChar w:fldCharType="begin"/>
      </w:r>
      <w:r>
        <w:instrText xml:space="preserve"> PAGEREF _Toc218590540 \h </w:instrText>
      </w:r>
      <w:r>
        <w:fldChar w:fldCharType="separate"/>
      </w:r>
      <w:r w:rsidR="00433DF7">
        <w:t>32</w:t>
      </w:r>
      <w:r>
        <w:fldChar w:fldCharType="end"/>
      </w:r>
    </w:p>
    <w:p w14:paraId="2F631870" w14:textId="3EA7944C" w:rsidR="00385A4C" w:rsidRPr="001D1248" w:rsidRDefault="00385A4C">
      <w:pPr>
        <w:pStyle w:val="TOC2"/>
        <w:rPr>
          <w:rFonts w:asciiTheme="minorHAnsi" w:eastAsiaTheme="minorEastAsia" w:hAnsiTheme="minorHAnsi"/>
          <w:kern w:val="2"/>
          <w:sz w:val="24"/>
          <w:szCs w:val="24"/>
          <w:lang w:eastAsia="en-GB"/>
          <w14:ligatures w14:val="standardContextual"/>
        </w:rPr>
      </w:pPr>
      <w:r>
        <w:t>10.2</w:t>
      </w:r>
      <w:r w:rsidRPr="001D1248">
        <w:rPr>
          <w:rFonts w:asciiTheme="minorHAnsi" w:eastAsiaTheme="minorEastAsia" w:hAnsiTheme="minorHAnsi"/>
          <w:kern w:val="2"/>
          <w:sz w:val="24"/>
          <w:szCs w:val="24"/>
          <w:lang w:eastAsia="en-GB"/>
          <w14:ligatures w14:val="standardContextual"/>
        </w:rPr>
        <w:tab/>
      </w:r>
      <w:r>
        <w:t>Fremadrettede udsagn</w:t>
      </w:r>
      <w:r>
        <w:tab/>
      </w:r>
      <w:r>
        <w:fldChar w:fldCharType="begin"/>
      </w:r>
      <w:r>
        <w:instrText xml:space="preserve"> PAGEREF _Toc218590541 \h </w:instrText>
      </w:r>
      <w:r>
        <w:fldChar w:fldCharType="separate"/>
      </w:r>
      <w:r w:rsidR="00433DF7">
        <w:t>32</w:t>
      </w:r>
      <w:r>
        <w:fldChar w:fldCharType="end"/>
      </w:r>
    </w:p>
    <w:p w14:paraId="07AD48D9" w14:textId="62AED77E" w:rsidR="00385A4C" w:rsidRPr="001D1248" w:rsidRDefault="00385A4C">
      <w:pPr>
        <w:pStyle w:val="TOC2"/>
        <w:rPr>
          <w:rFonts w:asciiTheme="minorHAnsi" w:eastAsiaTheme="minorEastAsia" w:hAnsiTheme="minorHAnsi"/>
          <w:kern w:val="2"/>
          <w:sz w:val="24"/>
          <w:szCs w:val="24"/>
          <w:lang w:eastAsia="en-GB"/>
          <w14:ligatures w14:val="standardContextual"/>
        </w:rPr>
      </w:pPr>
      <w:r>
        <w:t>10.3</w:t>
      </w:r>
      <w:r w:rsidRPr="001D1248">
        <w:rPr>
          <w:rFonts w:asciiTheme="minorHAnsi" w:eastAsiaTheme="minorEastAsia" w:hAnsiTheme="minorHAnsi"/>
          <w:kern w:val="2"/>
          <w:sz w:val="24"/>
          <w:szCs w:val="24"/>
          <w:lang w:eastAsia="en-GB"/>
          <w14:ligatures w14:val="standardContextual"/>
        </w:rPr>
        <w:tab/>
      </w:r>
      <w:r>
        <w:t>Adressater for Redegørelsen</w:t>
      </w:r>
      <w:r>
        <w:tab/>
      </w:r>
      <w:r>
        <w:fldChar w:fldCharType="begin"/>
      </w:r>
      <w:r>
        <w:instrText xml:space="preserve"> PAGEREF _Toc218590542 \h </w:instrText>
      </w:r>
      <w:r>
        <w:fldChar w:fldCharType="separate"/>
      </w:r>
      <w:r w:rsidR="00433DF7">
        <w:t>32</w:t>
      </w:r>
      <w:r>
        <w:fldChar w:fldCharType="end"/>
      </w:r>
    </w:p>
    <w:p w14:paraId="1DD05D3D" w14:textId="273236E5" w:rsidR="00385A4C" w:rsidRPr="001D1248" w:rsidRDefault="00385A4C">
      <w:pPr>
        <w:pStyle w:val="TOC2"/>
        <w:rPr>
          <w:rFonts w:asciiTheme="minorHAnsi" w:eastAsiaTheme="minorEastAsia" w:hAnsiTheme="minorHAnsi"/>
          <w:kern w:val="2"/>
          <w:sz w:val="24"/>
          <w:szCs w:val="24"/>
          <w:lang w:eastAsia="en-GB"/>
          <w14:ligatures w14:val="standardContextual"/>
        </w:rPr>
      </w:pPr>
      <w:r>
        <w:t>10.4</w:t>
      </w:r>
      <w:r w:rsidRPr="001D1248">
        <w:rPr>
          <w:rFonts w:asciiTheme="minorHAnsi" w:eastAsiaTheme="minorEastAsia" w:hAnsiTheme="minorHAnsi"/>
          <w:kern w:val="2"/>
          <w:sz w:val="24"/>
          <w:szCs w:val="24"/>
          <w:lang w:eastAsia="en-GB"/>
          <w14:ligatures w14:val="standardContextual"/>
        </w:rPr>
        <w:tab/>
      </w:r>
      <w:r>
        <w:t>Rådgivere</w:t>
      </w:r>
      <w:r>
        <w:tab/>
      </w:r>
      <w:r>
        <w:fldChar w:fldCharType="begin"/>
      </w:r>
      <w:r>
        <w:instrText xml:space="preserve"> PAGEREF _Toc218590543 \h </w:instrText>
      </w:r>
      <w:r>
        <w:fldChar w:fldCharType="separate"/>
      </w:r>
      <w:r w:rsidR="00433DF7">
        <w:t>32</w:t>
      </w:r>
      <w:r>
        <w:fldChar w:fldCharType="end"/>
      </w:r>
    </w:p>
    <w:p w14:paraId="5D95ADAC" w14:textId="1B59268D" w:rsidR="00385A4C" w:rsidRPr="001D1248" w:rsidRDefault="00385A4C">
      <w:pPr>
        <w:pStyle w:val="TOC2"/>
        <w:rPr>
          <w:rFonts w:asciiTheme="minorHAnsi" w:eastAsiaTheme="minorEastAsia" w:hAnsiTheme="minorHAnsi"/>
          <w:kern w:val="2"/>
          <w:sz w:val="24"/>
          <w:szCs w:val="24"/>
          <w:lang w:eastAsia="en-GB"/>
          <w14:ligatures w14:val="standardContextual"/>
        </w:rPr>
      </w:pPr>
      <w:r>
        <w:t>10.5</w:t>
      </w:r>
      <w:r w:rsidRPr="001D1248">
        <w:rPr>
          <w:rFonts w:asciiTheme="minorHAnsi" w:eastAsiaTheme="minorEastAsia" w:hAnsiTheme="minorHAnsi"/>
          <w:kern w:val="2"/>
          <w:sz w:val="24"/>
          <w:szCs w:val="24"/>
          <w:lang w:eastAsia="en-GB"/>
          <w14:ligatures w14:val="standardContextual"/>
        </w:rPr>
        <w:tab/>
      </w:r>
      <w:r>
        <w:t>Ansvarsfraskrivelse</w:t>
      </w:r>
      <w:r>
        <w:tab/>
      </w:r>
      <w:r>
        <w:fldChar w:fldCharType="begin"/>
      </w:r>
      <w:r>
        <w:instrText xml:space="preserve"> PAGEREF _Toc218590544 \h </w:instrText>
      </w:r>
      <w:r>
        <w:fldChar w:fldCharType="separate"/>
      </w:r>
      <w:r w:rsidR="00433DF7">
        <w:t>32</w:t>
      </w:r>
      <w:r>
        <w:fldChar w:fldCharType="end"/>
      </w:r>
    </w:p>
    <w:p w14:paraId="52348862" w14:textId="20413B57" w:rsidR="00385A4C" w:rsidRPr="006B16D9" w:rsidRDefault="00385A4C">
      <w:pPr>
        <w:pStyle w:val="TOC2"/>
        <w:rPr>
          <w:rFonts w:asciiTheme="minorHAnsi" w:eastAsiaTheme="minorEastAsia" w:hAnsiTheme="minorHAnsi"/>
          <w:kern w:val="2"/>
          <w:sz w:val="24"/>
          <w:szCs w:val="24"/>
          <w:lang w:eastAsia="en-GB"/>
          <w14:ligatures w14:val="standardContextual"/>
        </w:rPr>
      </w:pPr>
      <w:r>
        <w:t>10.6</w:t>
      </w:r>
      <w:r w:rsidRPr="006B16D9">
        <w:rPr>
          <w:rFonts w:asciiTheme="minorHAnsi" w:eastAsiaTheme="minorEastAsia" w:hAnsiTheme="minorHAnsi"/>
          <w:kern w:val="2"/>
          <w:sz w:val="24"/>
          <w:szCs w:val="24"/>
          <w:lang w:eastAsia="en-GB"/>
          <w14:ligatures w14:val="standardContextual"/>
        </w:rPr>
        <w:tab/>
      </w:r>
      <w:r>
        <w:rPr>
          <w:lang w:bidi="en-GB"/>
        </w:rPr>
        <w:t>Informationskilder og referencer</w:t>
      </w:r>
      <w:r>
        <w:tab/>
      </w:r>
      <w:r>
        <w:fldChar w:fldCharType="begin"/>
      </w:r>
      <w:r>
        <w:instrText xml:space="preserve"> PAGEREF _Toc218590545 \h </w:instrText>
      </w:r>
      <w:r>
        <w:fldChar w:fldCharType="separate"/>
      </w:r>
      <w:r w:rsidR="00433DF7">
        <w:t>32</w:t>
      </w:r>
      <w:r>
        <w:fldChar w:fldCharType="end"/>
      </w:r>
    </w:p>
    <w:p w14:paraId="32B509D0" w14:textId="4460FCD4" w:rsidR="00C409D1" w:rsidRPr="00595546" w:rsidRDefault="00C409D1">
      <w:r w:rsidRPr="00595546">
        <w:fldChar w:fldCharType="end"/>
      </w:r>
    </w:p>
    <w:p w14:paraId="1B9AFB8B" w14:textId="77777777" w:rsidR="00C409D1" w:rsidRPr="00595546" w:rsidRDefault="00C409D1">
      <w:pPr>
        <w:spacing w:after="160" w:line="259" w:lineRule="auto"/>
      </w:pPr>
    </w:p>
    <w:p w14:paraId="331DBA17" w14:textId="77777777" w:rsidR="00C409D1" w:rsidRPr="00595546" w:rsidRDefault="00C409D1" w:rsidP="00C409D1">
      <w:pPr>
        <w:spacing w:after="160" w:line="259" w:lineRule="auto"/>
        <w:rPr>
          <w:b/>
        </w:rPr>
      </w:pPr>
      <w:r w:rsidRPr="00595546">
        <w:rPr>
          <w:b/>
          <w:lang w:bidi="en-GB"/>
        </w:rPr>
        <w:t>BILAG</w:t>
      </w:r>
    </w:p>
    <w:p w14:paraId="1678CB9D" w14:textId="34884C02" w:rsidR="00C409D1" w:rsidRPr="00595546" w:rsidRDefault="00C409D1" w:rsidP="00C409D1">
      <w:pPr>
        <w:spacing w:after="160" w:line="259" w:lineRule="auto"/>
        <w:rPr>
          <w:lang w:bidi="en-GB"/>
        </w:rPr>
      </w:pPr>
      <w:r w:rsidRPr="00595546">
        <w:rPr>
          <w:lang w:bidi="en-GB"/>
        </w:rPr>
        <w:t>Bilag 1</w:t>
      </w:r>
      <w:r w:rsidRPr="00595546">
        <w:rPr>
          <w:lang w:bidi="en-GB"/>
        </w:rPr>
        <w:tab/>
      </w:r>
      <w:r w:rsidR="00CC5EDD" w:rsidRPr="00595546">
        <w:rPr>
          <w:lang w:bidi="en-GB"/>
        </w:rPr>
        <w:t xml:space="preserve">Aktiebaserede instrumenter </w:t>
      </w:r>
      <w:r w:rsidRPr="00595546">
        <w:rPr>
          <w:lang w:bidi="en-GB"/>
        </w:rPr>
        <w:t xml:space="preserve">ejet af </w:t>
      </w:r>
      <w:r w:rsidR="00CC5EDD" w:rsidRPr="00595546">
        <w:rPr>
          <w:lang w:bidi="en-GB"/>
        </w:rPr>
        <w:t>Bestyrelsen</w:t>
      </w:r>
    </w:p>
    <w:p w14:paraId="332815E9" w14:textId="722CE147" w:rsidR="00C409D1" w:rsidRPr="00595546" w:rsidRDefault="00C409D1" w:rsidP="00C409D1">
      <w:pPr>
        <w:spacing w:after="160" w:line="259" w:lineRule="auto"/>
        <w:rPr>
          <w:lang w:bidi="en-GB"/>
        </w:rPr>
      </w:pPr>
      <w:r w:rsidRPr="00595546">
        <w:rPr>
          <w:lang w:bidi="en-GB"/>
        </w:rPr>
        <w:t>Bilag 2</w:t>
      </w:r>
      <w:r w:rsidRPr="00595546">
        <w:rPr>
          <w:lang w:bidi="en-GB"/>
        </w:rPr>
        <w:tab/>
      </w:r>
      <w:r w:rsidR="00CC5EDD" w:rsidRPr="00595546">
        <w:rPr>
          <w:lang w:bidi="en-GB"/>
        </w:rPr>
        <w:t xml:space="preserve">Aktiebaserede </w:t>
      </w:r>
      <w:r w:rsidR="00CC5EDD" w:rsidRPr="00F1019F">
        <w:rPr>
          <w:lang w:bidi="en-GB"/>
        </w:rPr>
        <w:t>instrumenter</w:t>
      </w:r>
      <w:r w:rsidR="00CC5EDD" w:rsidRPr="00F1019F" w:rsidDel="00CC5EDD">
        <w:rPr>
          <w:lang w:bidi="en-GB"/>
        </w:rPr>
        <w:t xml:space="preserve"> </w:t>
      </w:r>
      <w:r w:rsidRPr="00F1019F">
        <w:rPr>
          <w:lang w:bidi="en-GB"/>
        </w:rPr>
        <w:t>ejet</w:t>
      </w:r>
      <w:r w:rsidRPr="00595546">
        <w:rPr>
          <w:lang w:bidi="en-GB"/>
        </w:rPr>
        <w:t xml:space="preserve"> af </w:t>
      </w:r>
      <w:r w:rsidR="00CC5EDD" w:rsidRPr="00595546">
        <w:rPr>
          <w:lang w:bidi="en-GB"/>
        </w:rPr>
        <w:t>Direktionen</w:t>
      </w:r>
    </w:p>
    <w:p w14:paraId="77472D0C" w14:textId="6C33D5B9" w:rsidR="00C409D1" w:rsidRPr="00595546" w:rsidRDefault="00C409D1">
      <w:pPr>
        <w:spacing w:after="160" w:line="259" w:lineRule="auto"/>
      </w:pPr>
      <w:r w:rsidRPr="00595546">
        <w:br w:type="page"/>
      </w:r>
    </w:p>
    <w:p w14:paraId="230BED24" w14:textId="7A79AD6B" w:rsidR="00C409D1" w:rsidRPr="00595546" w:rsidRDefault="00C0302B" w:rsidP="00A05058">
      <w:pPr>
        <w:pStyle w:val="DSHeadingUnnumbered1"/>
        <w:jc w:val="both"/>
        <w:rPr>
          <w:lang w:bidi="en-GB"/>
        </w:rPr>
      </w:pPr>
      <w:r w:rsidRPr="00595546">
        <w:rPr>
          <w:lang w:bidi="en-GB"/>
        </w:rPr>
        <w:lastRenderedPageBreak/>
        <w:t xml:space="preserve">Redegørelse </w:t>
      </w:r>
      <w:r w:rsidR="00C409D1" w:rsidRPr="00595546">
        <w:rPr>
          <w:lang w:bidi="en-GB"/>
        </w:rPr>
        <w:t xml:space="preserve">AF </w:t>
      </w:r>
      <w:r w:rsidRPr="00595546">
        <w:t>7. januar 2026</w:t>
      </w:r>
      <w:r w:rsidR="00B643F0" w:rsidRPr="00595546">
        <w:t xml:space="preserve"> </w:t>
      </w:r>
      <w:r w:rsidR="00C409D1" w:rsidRPr="00595546">
        <w:rPr>
          <w:lang w:bidi="en-GB"/>
        </w:rPr>
        <w:t xml:space="preserve">FRA </w:t>
      </w:r>
      <w:r w:rsidR="00B86488" w:rsidRPr="00595546">
        <w:rPr>
          <w:lang w:bidi="en-GB"/>
        </w:rPr>
        <w:t xml:space="preserve">BESTYRELSEN </w:t>
      </w:r>
      <w:r w:rsidR="00C409D1" w:rsidRPr="00595546">
        <w:rPr>
          <w:lang w:bidi="en-GB"/>
        </w:rPr>
        <w:t xml:space="preserve">FOR </w:t>
      </w:r>
      <w:r w:rsidR="006E6CF2" w:rsidRPr="00595546">
        <w:rPr>
          <w:lang w:bidi="en-GB"/>
        </w:rPr>
        <w:t xml:space="preserve">Nilfisk Holding </w:t>
      </w:r>
      <w:r w:rsidR="00DF0F94" w:rsidRPr="00595546">
        <w:rPr>
          <w:lang w:bidi="en-GB"/>
        </w:rPr>
        <w:t xml:space="preserve">a/s </w:t>
      </w:r>
    </w:p>
    <w:p w14:paraId="1B953E12" w14:textId="65DEA5FB" w:rsidR="00C409D1" w:rsidRPr="00595546" w:rsidRDefault="00C409D1" w:rsidP="00A05058">
      <w:pPr>
        <w:pStyle w:val="Heading1"/>
        <w:jc w:val="both"/>
      </w:pPr>
      <w:bookmarkStart w:id="1" w:name="_Toc194440301"/>
      <w:bookmarkStart w:id="2" w:name="_Toc218590498"/>
      <w:bookmarkStart w:id="3" w:name="_Hlk194411879"/>
      <w:r w:rsidRPr="00595546">
        <w:rPr>
          <w:lang w:bidi="en-GB"/>
        </w:rPr>
        <w:t>Indledning</w:t>
      </w:r>
      <w:bookmarkEnd w:id="1"/>
      <w:bookmarkEnd w:id="2"/>
      <w:r w:rsidR="00624173" w:rsidRPr="00595546">
        <w:rPr>
          <w:lang w:bidi="en-GB"/>
        </w:rPr>
        <w:t xml:space="preserve"> </w:t>
      </w:r>
    </w:p>
    <w:p w14:paraId="477AF0A9" w14:textId="28FED603" w:rsidR="00C409D1" w:rsidRPr="00595546" w:rsidRDefault="00C409D1" w:rsidP="00A05058">
      <w:pPr>
        <w:pStyle w:val="Heading2"/>
        <w:jc w:val="both"/>
      </w:pPr>
      <w:bookmarkStart w:id="4" w:name="_Ref462403744"/>
      <w:bookmarkStart w:id="5" w:name="_Ref194227109"/>
      <w:bookmarkStart w:id="6" w:name="_Toc194440302"/>
      <w:bookmarkStart w:id="7" w:name="_Toc218590499"/>
      <w:r w:rsidRPr="00595546">
        <w:rPr>
          <w:lang w:bidi="en-GB"/>
        </w:rPr>
        <w:t xml:space="preserve">Resumé af </w:t>
      </w:r>
      <w:bookmarkEnd w:id="4"/>
      <w:bookmarkEnd w:id="5"/>
      <w:bookmarkEnd w:id="6"/>
      <w:r w:rsidR="00DB44D5" w:rsidRPr="00595546">
        <w:rPr>
          <w:lang w:bidi="en-GB"/>
        </w:rPr>
        <w:t>Tilbuddet</w:t>
      </w:r>
      <w:bookmarkEnd w:id="7"/>
    </w:p>
    <w:bookmarkEnd w:id="3"/>
    <w:p w14:paraId="67A6F00D" w14:textId="120CAA6A" w:rsidR="00BB7DFD" w:rsidRPr="00595546" w:rsidRDefault="00C409D1" w:rsidP="00933736">
      <w:pPr>
        <w:pStyle w:val="DSBodyTextIndent1"/>
        <w:jc w:val="both"/>
      </w:pPr>
      <w:r w:rsidRPr="00595546">
        <w:t>Den</w:t>
      </w:r>
      <w:r w:rsidR="00980256" w:rsidRPr="00595546">
        <w:t xml:space="preserve"> 11. december 2025 </w:t>
      </w:r>
      <w:r w:rsidRPr="00595546">
        <w:t xml:space="preserve">meddelte </w:t>
      </w:r>
      <w:proofErr w:type="spellStart"/>
      <w:r w:rsidR="006B26F8" w:rsidRPr="00595546">
        <w:t>Freudenberg</w:t>
      </w:r>
      <w:proofErr w:type="spellEnd"/>
      <w:r w:rsidR="006B26F8" w:rsidRPr="00595546">
        <w:t xml:space="preserve"> Home and </w:t>
      </w:r>
      <w:proofErr w:type="spellStart"/>
      <w:r w:rsidR="006B26F8" w:rsidRPr="00595546">
        <w:t>Cleaning</w:t>
      </w:r>
      <w:proofErr w:type="spellEnd"/>
      <w:r w:rsidR="006B26F8" w:rsidRPr="00595546">
        <w:t xml:space="preserve"> Solutions GmbH</w:t>
      </w:r>
      <w:r w:rsidRPr="00595546">
        <w:t xml:space="preserve">, et selskab stiftet i henhold </w:t>
      </w:r>
      <w:r w:rsidR="00640353" w:rsidRPr="00595546">
        <w:t xml:space="preserve">til </w:t>
      </w:r>
      <w:r w:rsidR="00583CA5" w:rsidRPr="00595546">
        <w:t>tysk</w:t>
      </w:r>
      <w:r w:rsidR="00640353" w:rsidRPr="00595546">
        <w:t xml:space="preserve"> lovgivning </w:t>
      </w:r>
      <w:r w:rsidRPr="00595546">
        <w:t xml:space="preserve">med selskabsregistreringsnummer </w:t>
      </w:r>
      <w:proofErr w:type="spellStart"/>
      <w:r w:rsidR="000359D5" w:rsidRPr="00595546">
        <w:t>HRB</w:t>
      </w:r>
      <w:proofErr w:type="spellEnd"/>
      <w:r w:rsidR="000359D5" w:rsidRPr="00595546">
        <w:t xml:space="preserve"> 431930 </w:t>
      </w:r>
      <w:r w:rsidRPr="00595546">
        <w:t xml:space="preserve">og med hjemsted på adressen </w:t>
      </w:r>
      <w:proofErr w:type="spellStart"/>
      <w:r w:rsidR="000B5BBE" w:rsidRPr="00595546">
        <w:t>Im</w:t>
      </w:r>
      <w:proofErr w:type="spellEnd"/>
      <w:r w:rsidR="000B5BBE" w:rsidRPr="00595546">
        <w:t xml:space="preserve"> </w:t>
      </w:r>
      <w:proofErr w:type="spellStart"/>
      <w:r w:rsidR="000B5BBE" w:rsidRPr="00595546">
        <w:t>Technologiepark</w:t>
      </w:r>
      <w:proofErr w:type="spellEnd"/>
      <w:r w:rsidR="000B5BBE" w:rsidRPr="00595546">
        <w:t xml:space="preserve"> 19, DE-69469 </w:t>
      </w:r>
      <w:proofErr w:type="spellStart"/>
      <w:r w:rsidR="000B5BBE" w:rsidRPr="00595546">
        <w:t>Weinheim</w:t>
      </w:r>
      <w:proofErr w:type="spellEnd"/>
      <w:r w:rsidR="000B5BBE" w:rsidRPr="00595546">
        <w:t>, Tyskland</w:t>
      </w:r>
      <w:r w:rsidRPr="00595546">
        <w:t>, (</w:t>
      </w:r>
      <w:r w:rsidR="00C0302B" w:rsidRPr="00595546">
        <w:rPr>
          <w:b/>
          <w:bCs/>
        </w:rPr>
        <w:t>Tilbudsgiver</w:t>
      </w:r>
      <w:r w:rsidRPr="00595546">
        <w:t xml:space="preserve">), </w:t>
      </w:r>
      <w:r w:rsidR="00A470E8" w:rsidRPr="00595546">
        <w:t xml:space="preserve">sin beslutning om at </w:t>
      </w:r>
      <w:r w:rsidR="00C0302B" w:rsidRPr="00595546">
        <w:t xml:space="preserve">fremsætte </w:t>
      </w:r>
      <w:r w:rsidR="00A470E8" w:rsidRPr="00595546">
        <w:t>et frivilligt offentligt</w:t>
      </w:r>
      <w:r w:rsidR="0086690E" w:rsidRPr="00595546">
        <w:t xml:space="preserve"> kontant overtagelsestilbud (</w:t>
      </w:r>
      <w:r w:rsidR="00C0302B" w:rsidRPr="00595546">
        <w:rPr>
          <w:b/>
          <w:bCs/>
        </w:rPr>
        <w:t>Tilbuddet</w:t>
      </w:r>
      <w:r w:rsidR="0086690E" w:rsidRPr="00595546">
        <w:t>) på aktierne (</w:t>
      </w:r>
      <w:r w:rsidR="00DB44D5" w:rsidRPr="00595546">
        <w:rPr>
          <w:b/>
          <w:bCs/>
        </w:rPr>
        <w:t>Aktierne</w:t>
      </w:r>
      <w:r w:rsidR="0086690E" w:rsidRPr="00595546">
        <w:t xml:space="preserve">) i </w:t>
      </w:r>
      <w:r w:rsidR="006E6CF2" w:rsidRPr="00595546">
        <w:t xml:space="preserve">Nilfisk Holding </w:t>
      </w:r>
      <w:r w:rsidR="00F6113D" w:rsidRPr="00595546">
        <w:t>A/S</w:t>
      </w:r>
      <w:r w:rsidR="00BB7DFD" w:rsidRPr="00595546">
        <w:t xml:space="preserve">, et selskab stiftet </w:t>
      </w:r>
      <w:r w:rsidR="00640353" w:rsidRPr="00595546">
        <w:t>i henhold til dansk lovgivning</w:t>
      </w:r>
      <w:r w:rsidR="00BB7DFD" w:rsidRPr="00595546">
        <w:t>, med selskabsregistreringsnummer (CVR)</w:t>
      </w:r>
      <w:r w:rsidR="00B16271" w:rsidRPr="00595546">
        <w:t xml:space="preserve"> 38998870 </w:t>
      </w:r>
      <w:r w:rsidR="00BB7DFD" w:rsidRPr="00595546">
        <w:t xml:space="preserve">og med hjemsted på </w:t>
      </w:r>
      <w:r w:rsidR="00B16271" w:rsidRPr="00595546">
        <w:t>Marmorvej 8</w:t>
      </w:r>
      <w:r w:rsidR="00BB7DFD" w:rsidRPr="00595546">
        <w:t>,</w:t>
      </w:r>
      <w:r w:rsidR="00F6113D" w:rsidRPr="00595546">
        <w:t xml:space="preserve"> </w:t>
      </w:r>
      <w:r w:rsidR="00515CB3" w:rsidRPr="00595546">
        <w:t>2100 København Ø</w:t>
      </w:r>
      <w:r w:rsidR="00F6113D" w:rsidRPr="00595546">
        <w:t xml:space="preserve">, </w:t>
      </w:r>
      <w:r w:rsidR="00BB7DFD" w:rsidRPr="00595546">
        <w:t>Danmark (</w:t>
      </w:r>
      <w:r w:rsidR="006E6CF2" w:rsidRPr="00595546">
        <w:rPr>
          <w:b/>
          <w:bCs/>
        </w:rPr>
        <w:t xml:space="preserve">Nilfisk </w:t>
      </w:r>
      <w:r w:rsidR="00BB7DFD" w:rsidRPr="00595546">
        <w:t xml:space="preserve">eller </w:t>
      </w:r>
      <w:r w:rsidR="00BB7DFD" w:rsidRPr="00595546">
        <w:rPr>
          <w:b/>
        </w:rPr>
        <w:t xml:space="preserve">Selskabet </w:t>
      </w:r>
      <w:r w:rsidR="00BB7DFD" w:rsidRPr="00595546">
        <w:t xml:space="preserve">og sammen med dets </w:t>
      </w:r>
      <w:r w:rsidR="00C0302B" w:rsidRPr="00595546">
        <w:t>koncernforbundne</w:t>
      </w:r>
      <w:r w:rsidR="00BB7DFD" w:rsidRPr="00595546">
        <w:t xml:space="preserve"> datterselskaber, </w:t>
      </w:r>
      <w:r w:rsidR="00BB7DFD" w:rsidRPr="00595546">
        <w:rPr>
          <w:b/>
        </w:rPr>
        <w:t>Koncernen</w:t>
      </w:r>
      <w:r w:rsidR="00BB7DFD" w:rsidRPr="00595546">
        <w:t xml:space="preserve">), med undtagelse af </w:t>
      </w:r>
      <w:r w:rsidR="00F6113D" w:rsidRPr="00595546">
        <w:t>eventuelle</w:t>
      </w:r>
      <w:r w:rsidR="00BB7DFD" w:rsidRPr="00595546">
        <w:t xml:space="preserve"> Aktier</w:t>
      </w:r>
      <w:r w:rsidR="00F6113D" w:rsidRPr="00595546">
        <w:t>, der</w:t>
      </w:r>
      <w:r w:rsidR="00BB7DFD" w:rsidRPr="00595546">
        <w:t xml:space="preserve"> ejes af </w:t>
      </w:r>
      <w:r w:rsidR="000A0B9F" w:rsidRPr="00595546">
        <w:t>Tilbudsgiver</w:t>
      </w:r>
      <w:r w:rsidR="00C0302B" w:rsidRPr="00595546">
        <w:t>, hvis nogen,</w:t>
      </w:r>
      <w:r w:rsidR="000A0B9F" w:rsidRPr="00595546">
        <w:t xml:space="preserve"> </w:t>
      </w:r>
      <w:r w:rsidR="00BB7DFD" w:rsidRPr="00595546">
        <w:t xml:space="preserve">eller af </w:t>
      </w:r>
      <w:r w:rsidR="008B39E5" w:rsidRPr="00595546">
        <w:t xml:space="preserve">Koncernen </w:t>
      </w:r>
      <w:r w:rsidR="00BB7DFD" w:rsidRPr="00595546">
        <w:t>(som egne aktier) (</w:t>
      </w:r>
      <w:r w:rsidR="00BB7DFD" w:rsidRPr="00595546">
        <w:rPr>
          <w:b/>
          <w:bCs/>
        </w:rPr>
        <w:t>Egne Aktier</w:t>
      </w:r>
      <w:r w:rsidR="00BB7DFD" w:rsidRPr="00595546">
        <w:t>). Aktierne er optaget til handel og officiel notering på Nasdaq Copenhagen A/S (</w:t>
      </w:r>
      <w:r w:rsidR="00BB7DFD" w:rsidRPr="00595546">
        <w:rPr>
          <w:b/>
          <w:bCs/>
        </w:rPr>
        <w:t>Nasdaq Copenhagen</w:t>
      </w:r>
      <w:r w:rsidR="00BB7DFD" w:rsidRPr="00595546">
        <w:t>).</w:t>
      </w:r>
    </w:p>
    <w:p w14:paraId="691D9ABA" w14:textId="77777777" w:rsidR="00FE2468" w:rsidRPr="00595546" w:rsidRDefault="00FE2468" w:rsidP="00A05058">
      <w:pPr>
        <w:pStyle w:val="DSBodyTextIndent1"/>
        <w:jc w:val="both"/>
      </w:pPr>
    </w:p>
    <w:p w14:paraId="528090F0" w14:textId="61F530A3" w:rsidR="00FE2468" w:rsidRPr="00595546" w:rsidRDefault="00FE2468" w:rsidP="00A05058">
      <w:pPr>
        <w:pStyle w:val="DSBodyTextIndent1"/>
        <w:jc w:val="both"/>
      </w:pPr>
      <w:r w:rsidRPr="00595546">
        <w:t xml:space="preserve">Tilbuddet </w:t>
      </w:r>
      <w:r w:rsidR="003B320A">
        <w:t>er</w:t>
      </w:r>
      <w:r w:rsidRPr="00595546">
        <w:t xml:space="preserve"> </w:t>
      </w:r>
      <w:r w:rsidRPr="00595546">
        <w:rPr>
          <w:iCs/>
        </w:rPr>
        <w:t>blandt andet</w:t>
      </w:r>
      <w:r w:rsidR="003B320A">
        <w:rPr>
          <w:iCs/>
        </w:rPr>
        <w:t xml:space="preserve"> fremsat</w:t>
      </w:r>
      <w:r w:rsidRPr="00595546">
        <w:rPr>
          <w:i/>
        </w:rPr>
        <w:t xml:space="preserve"> </w:t>
      </w:r>
      <w:r w:rsidRPr="00595546">
        <w:t>i henhold til aftale</w:t>
      </w:r>
      <w:r w:rsidR="00DB44D5" w:rsidRPr="00595546">
        <w:t>n indgået</w:t>
      </w:r>
      <w:r w:rsidRPr="00595546">
        <w:t xml:space="preserve"> mellem Tilbudsgiver og Selskabet </w:t>
      </w:r>
      <w:r w:rsidR="00DB44D5" w:rsidRPr="00595546">
        <w:t xml:space="preserve">den </w:t>
      </w:r>
      <w:r w:rsidR="00980256" w:rsidRPr="00595546">
        <w:t xml:space="preserve">11. december 2025 </w:t>
      </w:r>
      <w:r w:rsidRPr="00595546">
        <w:t>(</w:t>
      </w:r>
      <w:r w:rsidR="00DB44D5" w:rsidRPr="00595546">
        <w:rPr>
          <w:b/>
        </w:rPr>
        <w:t>Offentliggørelsesaftalen</w:t>
      </w:r>
      <w:r w:rsidRPr="00595546">
        <w:t>).</w:t>
      </w:r>
    </w:p>
    <w:p w14:paraId="2912F40F" w14:textId="77777777" w:rsidR="00C409D1" w:rsidRPr="00595546" w:rsidRDefault="00C409D1" w:rsidP="00A05058">
      <w:pPr>
        <w:pStyle w:val="DSBodyTextIndent1"/>
        <w:ind w:left="0"/>
        <w:jc w:val="both"/>
      </w:pPr>
    </w:p>
    <w:p w14:paraId="032290BE" w14:textId="6C114484" w:rsidR="00C409D1" w:rsidRPr="00595546" w:rsidRDefault="00C409D1" w:rsidP="00A05058">
      <w:pPr>
        <w:pStyle w:val="DSBodyTextIndent1"/>
        <w:jc w:val="both"/>
      </w:pPr>
      <w:r w:rsidRPr="00595546">
        <w:t xml:space="preserve">Tilbuddet </w:t>
      </w:r>
      <w:r w:rsidR="003B320A">
        <w:t>er</w:t>
      </w:r>
      <w:r w:rsidRPr="00595546">
        <w:t xml:space="preserve"> </w:t>
      </w:r>
      <w:r w:rsidR="00FE2468" w:rsidRPr="00595546">
        <w:t xml:space="preserve">endvidere </w:t>
      </w:r>
      <w:r w:rsidR="003B320A">
        <w:t xml:space="preserve">fremsat </w:t>
      </w:r>
      <w:r w:rsidRPr="00595546">
        <w:t xml:space="preserve">i overensstemmelse med dansk lovgivning, </w:t>
      </w:r>
      <w:r w:rsidR="0019276C" w:rsidRPr="00595546">
        <w:t xml:space="preserve">herunder </w:t>
      </w:r>
      <w:r w:rsidR="00DB44D5" w:rsidRPr="00595546">
        <w:t>kapitalmarked</w:t>
      </w:r>
      <w:r w:rsidR="00595546">
        <w:t>sloven</w:t>
      </w:r>
      <w:r w:rsidR="00DB44D5" w:rsidRPr="00595546">
        <w:t xml:space="preserve"> </w:t>
      </w:r>
      <w:r w:rsidRPr="00595546">
        <w:t>(</w:t>
      </w:r>
      <w:r w:rsidR="00595546">
        <w:t>lovbekendtgørelse</w:t>
      </w:r>
      <w:r w:rsidRPr="00595546">
        <w:t xml:space="preserve"> nr.</w:t>
      </w:r>
      <w:r w:rsidR="00CE59C4" w:rsidRPr="00595546">
        <w:t xml:space="preserve"> </w:t>
      </w:r>
      <w:r w:rsidR="006B16D9">
        <w:t>1493</w:t>
      </w:r>
      <w:r w:rsidR="00CE59C4" w:rsidRPr="00595546">
        <w:t xml:space="preserve"> af </w:t>
      </w:r>
      <w:r w:rsidR="006B16D9">
        <w:t>18</w:t>
      </w:r>
      <w:r w:rsidR="00CE59C4" w:rsidRPr="00595546">
        <w:t xml:space="preserve">. </w:t>
      </w:r>
      <w:r w:rsidR="006B16D9">
        <w:t>november</w:t>
      </w:r>
      <w:r w:rsidR="00CE59C4" w:rsidRPr="00595546">
        <w:t xml:space="preserve"> 2025 </w:t>
      </w:r>
      <w:r w:rsidRPr="00595546">
        <w:t xml:space="preserve">med senere ændringer, </w:t>
      </w:r>
      <w:r w:rsidR="00DB44D5" w:rsidRPr="00595546">
        <w:rPr>
          <w:b/>
        </w:rPr>
        <w:t>Kapitalmarkedsloven</w:t>
      </w:r>
      <w:r w:rsidRPr="00595546">
        <w:t>) og bekendtgørelse om overtagelsestilbud (bekendtgørelse nr.</w:t>
      </w:r>
      <w:r w:rsidR="00902FFA" w:rsidRPr="00595546">
        <w:t xml:space="preserve"> 614 af 2. juni 2025</w:t>
      </w:r>
      <w:r w:rsidRPr="00595546">
        <w:t xml:space="preserve">, </w:t>
      </w:r>
      <w:r w:rsidR="00DB44D5" w:rsidRPr="00595546">
        <w:rPr>
          <w:b/>
        </w:rPr>
        <w:t>Overtagelsesbekendtgørelsen</w:t>
      </w:r>
      <w:r w:rsidRPr="00595546">
        <w:t xml:space="preserve">) </w:t>
      </w:r>
      <w:r w:rsidR="00CA119E" w:rsidRPr="00595546">
        <w:t xml:space="preserve">på de vilkår, der er fastsat i tilbudsdokumentet </w:t>
      </w:r>
      <w:r w:rsidR="00860EA5" w:rsidRPr="00595546">
        <w:t>(</w:t>
      </w:r>
      <w:r w:rsidR="00DB44D5" w:rsidRPr="00595546">
        <w:rPr>
          <w:b/>
        </w:rPr>
        <w:t>Tilbudsdokumentet</w:t>
      </w:r>
      <w:r w:rsidR="00860EA5" w:rsidRPr="00595546">
        <w:t xml:space="preserve">), som </w:t>
      </w:r>
      <w:r w:rsidRPr="00595546">
        <w:t>er godkendt af Finanstilsyn</w:t>
      </w:r>
      <w:r w:rsidR="00DB44D5" w:rsidRPr="00595546">
        <w:t>et</w:t>
      </w:r>
      <w:r w:rsidRPr="00595546">
        <w:t xml:space="preserve"> (</w:t>
      </w:r>
      <w:r w:rsidR="00DB44D5" w:rsidRPr="00595546">
        <w:rPr>
          <w:b/>
          <w:bCs/>
        </w:rPr>
        <w:t>Finanstilsynet</w:t>
      </w:r>
      <w:r w:rsidRPr="00595546">
        <w:t xml:space="preserve">) </w:t>
      </w:r>
      <w:r w:rsidR="00860EA5" w:rsidRPr="00595546">
        <w:t xml:space="preserve">og offentliggjort af </w:t>
      </w:r>
      <w:r w:rsidR="00DB44D5" w:rsidRPr="00595546">
        <w:t>Tilbudsgiver</w:t>
      </w:r>
      <w:r w:rsidR="00860EA5" w:rsidRPr="00595546">
        <w:t xml:space="preserve"> den </w:t>
      </w:r>
      <w:r w:rsidR="00DB44D5" w:rsidRPr="00595546">
        <w:t>7. januar 2026</w:t>
      </w:r>
      <w:r w:rsidRPr="00595546">
        <w:t xml:space="preserve">. </w:t>
      </w:r>
    </w:p>
    <w:p w14:paraId="1F3EC2EA" w14:textId="77777777" w:rsidR="00C15483" w:rsidRPr="00595546" w:rsidRDefault="00C15483" w:rsidP="00A05058">
      <w:pPr>
        <w:pStyle w:val="DSBodyTextIndent1"/>
        <w:jc w:val="both"/>
      </w:pPr>
    </w:p>
    <w:p w14:paraId="18F3C77B" w14:textId="4CADC0F5" w:rsidR="00444CEF" w:rsidRPr="00595546" w:rsidRDefault="00152126" w:rsidP="00A05058">
      <w:pPr>
        <w:pStyle w:val="DSBodyTextIndent1"/>
        <w:jc w:val="both"/>
      </w:pPr>
      <w:r w:rsidRPr="00595546">
        <w:t xml:space="preserve">I </w:t>
      </w:r>
      <w:r w:rsidR="00DB44D5" w:rsidRPr="00595546">
        <w:t xml:space="preserve">Tilbuddet </w:t>
      </w:r>
      <w:r w:rsidR="00C409D1" w:rsidRPr="00595546">
        <w:t>tilbyder</w:t>
      </w:r>
      <w:r w:rsidRPr="00595546">
        <w:t xml:space="preserve"> </w:t>
      </w:r>
      <w:r w:rsidR="00DB44D5" w:rsidRPr="00595546">
        <w:t>Tilbudsgiver</w:t>
      </w:r>
      <w:r w:rsidRPr="00595546">
        <w:t xml:space="preserve"> </w:t>
      </w:r>
      <w:r w:rsidR="00DB44D5" w:rsidRPr="00595546">
        <w:t xml:space="preserve">Selskabets </w:t>
      </w:r>
      <w:r w:rsidR="003A7C39" w:rsidRPr="00595546">
        <w:t>aktionærer (</w:t>
      </w:r>
      <w:r w:rsidR="00DB44D5" w:rsidRPr="00595546">
        <w:rPr>
          <w:b/>
          <w:bCs/>
        </w:rPr>
        <w:t>Aktionærerne</w:t>
      </w:r>
      <w:r w:rsidR="003A7C39" w:rsidRPr="00595546">
        <w:t xml:space="preserve">) </w:t>
      </w:r>
      <w:r w:rsidR="00C409D1" w:rsidRPr="00595546">
        <w:t>e</w:t>
      </w:r>
      <w:r w:rsidR="00B1335A">
        <w:t>t</w:t>
      </w:r>
      <w:r w:rsidR="00C409D1" w:rsidRPr="00595546">
        <w:t xml:space="preserve"> kontant vederlag på</w:t>
      </w:r>
      <w:r w:rsidR="00060FC3" w:rsidRPr="00595546">
        <w:t xml:space="preserve"> </w:t>
      </w:r>
      <w:r w:rsidR="00003249">
        <w:t xml:space="preserve">DKK </w:t>
      </w:r>
      <w:r w:rsidR="00060FC3" w:rsidRPr="00595546">
        <w:t>140</w:t>
      </w:r>
      <w:r w:rsidR="00C409D1" w:rsidRPr="00595546">
        <w:t xml:space="preserve"> pr. aktie </w:t>
      </w:r>
      <w:r w:rsidR="00174E34">
        <w:t>á nominelt</w:t>
      </w:r>
      <w:r w:rsidR="00003249">
        <w:t xml:space="preserve"> DKK</w:t>
      </w:r>
      <w:r w:rsidR="00C876DD" w:rsidRPr="00595546">
        <w:t xml:space="preserve"> 20</w:t>
      </w:r>
      <w:r w:rsidR="00C409D1" w:rsidRPr="00595546">
        <w:t xml:space="preserve"> (</w:t>
      </w:r>
      <w:r w:rsidR="00DB44D5" w:rsidRPr="00595546">
        <w:rPr>
          <w:b/>
          <w:bCs/>
        </w:rPr>
        <w:t>Tilbudskursen</w:t>
      </w:r>
      <w:r w:rsidR="00C409D1" w:rsidRPr="00595546">
        <w:t>), med forbehold for</w:t>
      </w:r>
      <w:bookmarkStart w:id="8" w:name="_Hlk215867165"/>
      <w:r w:rsidR="00C409D1" w:rsidRPr="00595546">
        <w:t xml:space="preserve"> eventuelle justeringer for udbytte eller andre udlodninger, der erklæres eller udbetales til aktionærerne inden </w:t>
      </w:r>
      <w:r w:rsidR="00595546" w:rsidRPr="00595546">
        <w:t>Gennemførelsen</w:t>
      </w:r>
      <w:r w:rsidR="00C409D1" w:rsidRPr="00595546">
        <w:t xml:space="preserve"> af </w:t>
      </w:r>
      <w:r w:rsidR="00DB44D5" w:rsidRPr="00595546">
        <w:t>Tilbuddet</w:t>
      </w:r>
      <w:r w:rsidR="00C409D1" w:rsidRPr="00595546">
        <w:t xml:space="preserve"> som beskrevet i </w:t>
      </w:r>
      <w:r w:rsidR="00DB44D5" w:rsidRPr="00595546">
        <w:t>T</w:t>
      </w:r>
      <w:r w:rsidR="00C409D1" w:rsidRPr="00595546">
        <w:t>ilbudsdokumentet</w:t>
      </w:r>
      <w:bookmarkEnd w:id="8"/>
      <w:r w:rsidR="00C409D1" w:rsidRPr="00595546">
        <w:t xml:space="preserve">. </w:t>
      </w:r>
    </w:p>
    <w:p w14:paraId="7DD70A12" w14:textId="77777777" w:rsidR="00C409D1" w:rsidRPr="00595546" w:rsidRDefault="00C409D1" w:rsidP="00A05058">
      <w:pPr>
        <w:pStyle w:val="DSBodyTextIndent1"/>
        <w:jc w:val="both"/>
      </w:pPr>
      <w:bookmarkStart w:id="9" w:name="_9kMHG5YVt4666GPZQ6uzAsffrvfjzr6M6y7BA"/>
    </w:p>
    <w:bookmarkEnd w:id="9"/>
    <w:p w14:paraId="5024F39F" w14:textId="40D05FD4" w:rsidR="00143675" w:rsidRPr="00595546" w:rsidRDefault="002C6357" w:rsidP="00595546">
      <w:pPr>
        <w:pStyle w:val="NormalIndent"/>
        <w:rPr>
          <w:bCs/>
        </w:rPr>
      </w:pPr>
      <w:r w:rsidRPr="00595546">
        <w:t xml:space="preserve">KIRKBI </w:t>
      </w:r>
      <w:r w:rsidR="00847218" w:rsidRPr="00595546">
        <w:t xml:space="preserve">Invest </w:t>
      </w:r>
      <w:r w:rsidRPr="00595546">
        <w:t>A/S</w:t>
      </w:r>
      <w:r w:rsidR="00847218" w:rsidRPr="00595546">
        <w:t xml:space="preserve">, </w:t>
      </w:r>
      <w:proofErr w:type="spellStart"/>
      <w:r w:rsidR="00847218" w:rsidRPr="00595546">
        <w:t>Ferd</w:t>
      </w:r>
      <w:proofErr w:type="spellEnd"/>
      <w:r w:rsidR="00847218" w:rsidRPr="00595546">
        <w:t xml:space="preserve"> AS </w:t>
      </w:r>
      <w:r w:rsidR="00432A8A" w:rsidRPr="00595546">
        <w:t xml:space="preserve">og </w:t>
      </w:r>
      <w:proofErr w:type="spellStart"/>
      <w:r w:rsidR="00847218" w:rsidRPr="00595546">
        <w:t>PrimeStone</w:t>
      </w:r>
      <w:proofErr w:type="spellEnd"/>
      <w:r w:rsidR="00847218" w:rsidRPr="00595546">
        <w:t xml:space="preserve"> Capital </w:t>
      </w:r>
      <w:proofErr w:type="spellStart"/>
      <w:r w:rsidR="00847218" w:rsidRPr="00595546">
        <w:t>LLP</w:t>
      </w:r>
      <w:proofErr w:type="spellEnd"/>
      <w:r w:rsidR="00847218" w:rsidRPr="00595546">
        <w:t xml:space="preserve"> </w:t>
      </w:r>
      <w:r w:rsidR="000F582E" w:rsidRPr="00595546">
        <w:t>(</w:t>
      </w:r>
      <w:proofErr w:type="spellStart"/>
      <w:r w:rsidR="000F582E" w:rsidRPr="00595546">
        <w:t>PrimeStone</w:t>
      </w:r>
      <w:proofErr w:type="spellEnd"/>
      <w:r w:rsidR="000F582E" w:rsidRPr="00595546">
        <w:t xml:space="preserve"> Capital Irish </w:t>
      </w:r>
      <w:proofErr w:type="spellStart"/>
      <w:r w:rsidR="000F582E" w:rsidRPr="00595546">
        <w:t>HoldCo</w:t>
      </w:r>
      <w:proofErr w:type="spellEnd"/>
      <w:r w:rsidR="000F582E" w:rsidRPr="00595546">
        <w:t xml:space="preserve"> </w:t>
      </w:r>
      <w:proofErr w:type="spellStart"/>
      <w:r w:rsidR="000F582E" w:rsidRPr="00595546">
        <w:t>Designated</w:t>
      </w:r>
      <w:proofErr w:type="spellEnd"/>
      <w:r w:rsidR="000F582E" w:rsidRPr="00595546">
        <w:t xml:space="preserve"> Activity Company) </w:t>
      </w:r>
      <w:r w:rsidR="00452E43" w:rsidRPr="00595546">
        <w:t>(samlet benævnt "</w:t>
      </w:r>
      <w:r w:rsidR="00595546" w:rsidRPr="00595546">
        <w:rPr>
          <w:b/>
          <w:bCs/>
        </w:rPr>
        <w:t>Storaktionærerne</w:t>
      </w:r>
      <w:r w:rsidR="00452E43" w:rsidRPr="00595546">
        <w:t xml:space="preserve">") </w:t>
      </w:r>
      <w:r w:rsidR="00850C2A" w:rsidRPr="00595546">
        <w:t>har</w:t>
      </w:r>
      <w:r w:rsidR="00FF28AC" w:rsidRPr="00595546">
        <w:t xml:space="preserve"> sammen med </w:t>
      </w:r>
      <w:r w:rsidR="00D60D5A" w:rsidRPr="00595546">
        <w:t xml:space="preserve">de medlemmer af </w:t>
      </w:r>
      <w:r w:rsidR="00DB44D5" w:rsidRPr="00595546">
        <w:t xml:space="preserve">Selskabets </w:t>
      </w:r>
      <w:r w:rsidR="00A375A9" w:rsidRPr="00595546">
        <w:t>bestyrelse (</w:t>
      </w:r>
      <w:r w:rsidR="00595546" w:rsidRPr="00595546">
        <w:rPr>
          <w:b/>
          <w:bCs/>
        </w:rPr>
        <w:t>B</w:t>
      </w:r>
      <w:r w:rsidR="00DC4944" w:rsidRPr="00595546">
        <w:rPr>
          <w:b/>
          <w:bCs/>
        </w:rPr>
        <w:t>estyrelsen</w:t>
      </w:r>
      <w:r w:rsidR="00A375A9" w:rsidRPr="00595546">
        <w:t xml:space="preserve">) </w:t>
      </w:r>
      <w:r w:rsidR="00850C2A" w:rsidRPr="00595546">
        <w:t xml:space="preserve">og </w:t>
      </w:r>
      <w:r w:rsidR="00595546" w:rsidRPr="00595546">
        <w:t xml:space="preserve">direktion </w:t>
      </w:r>
      <w:r w:rsidR="00A375A9" w:rsidRPr="00595546">
        <w:t>(</w:t>
      </w:r>
      <w:r w:rsidR="00595546" w:rsidRPr="00595546">
        <w:rPr>
          <w:b/>
          <w:bCs/>
        </w:rPr>
        <w:t>Direktionen</w:t>
      </w:r>
      <w:r w:rsidR="00A375A9" w:rsidRPr="00595546">
        <w:t>)</w:t>
      </w:r>
      <w:r w:rsidR="00452E43" w:rsidRPr="00595546">
        <w:t xml:space="preserve">, der ejer </w:t>
      </w:r>
      <w:r w:rsidR="00DB44D5" w:rsidRPr="00595546">
        <w:t>Aktier</w:t>
      </w:r>
      <w:r w:rsidR="00452E43" w:rsidRPr="00595546">
        <w:t xml:space="preserve">, </w:t>
      </w:r>
      <w:r w:rsidR="00FF3C04" w:rsidRPr="00595546">
        <w:t xml:space="preserve">underskrevet uigenkaldelige </w:t>
      </w:r>
      <w:r w:rsidR="00595546" w:rsidRPr="00595546">
        <w:t>forhånds</w:t>
      </w:r>
      <w:r w:rsidR="0058450F" w:rsidRPr="00595546">
        <w:t>tilsagn</w:t>
      </w:r>
      <w:r w:rsidR="00CB2613" w:rsidRPr="00595546">
        <w:t xml:space="preserve"> (</w:t>
      </w:r>
      <w:r w:rsidR="00F6113D" w:rsidRPr="00595546">
        <w:t xml:space="preserve">samlet benævnt </w:t>
      </w:r>
      <w:r w:rsidR="00CB2613" w:rsidRPr="00595546">
        <w:t xml:space="preserve">de </w:t>
      </w:r>
      <w:r w:rsidR="00595546" w:rsidRPr="00595546">
        <w:rPr>
          <w:b/>
        </w:rPr>
        <w:t>U</w:t>
      </w:r>
      <w:r w:rsidR="00CB2613" w:rsidRPr="00595546">
        <w:rPr>
          <w:b/>
        </w:rPr>
        <w:t xml:space="preserve">igenkaldelige </w:t>
      </w:r>
      <w:r w:rsidR="00595546" w:rsidRPr="00595546">
        <w:rPr>
          <w:b/>
        </w:rPr>
        <w:t>Forhåndst</w:t>
      </w:r>
      <w:r w:rsidR="00CB2613" w:rsidRPr="00595546">
        <w:rPr>
          <w:b/>
        </w:rPr>
        <w:t>ilsagn</w:t>
      </w:r>
      <w:r w:rsidR="00CB2613" w:rsidRPr="00595546">
        <w:t>)</w:t>
      </w:r>
      <w:r w:rsidR="00CF2743" w:rsidRPr="00595546">
        <w:t xml:space="preserve">, i henhold til hvilke </w:t>
      </w:r>
      <w:r w:rsidR="00595546" w:rsidRPr="00595546">
        <w:t>Storaktionærerne</w:t>
      </w:r>
      <w:r w:rsidR="0001148C" w:rsidRPr="00595546">
        <w:t xml:space="preserve"> og </w:t>
      </w:r>
      <w:r w:rsidR="00CF2743" w:rsidRPr="00595546">
        <w:t xml:space="preserve">de medlemmer af </w:t>
      </w:r>
      <w:r w:rsidR="00595546" w:rsidRPr="00595546">
        <w:t>Bestyrelsen</w:t>
      </w:r>
      <w:r w:rsidR="00DC4944" w:rsidRPr="00595546">
        <w:t xml:space="preserve"> </w:t>
      </w:r>
      <w:r w:rsidR="00CF2743" w:rsidRPr="00595546">
        <w:t xml:space="preserve">og </w:t>
      </w:r>
      <w:r w:rsidR="00595546" w:rsidRPr="00595546">
        <w:t>Direktionen</w:t>
      </w:r>
      <w:r w:rsidR="00CF2743" w:rsidRPr="00595546">
        <w:t xml:space="preserve">, </w:t>
      </w:r>
      <w:r w:rsidR="0001148C" w:rsidRPr="00595546">
        <w:t xml:space="preserve">der ejer </w:t>
      </w:r>
      <w:r w:rsidR="00DB44D5" w:rsidRPr="00595546">
        <w:t>Aktier</w:t>
      </w:r>
      <w:r w:rsidR="00CF2743" w:rsidRPr="00595546">
        <w:t xml:space="preserve">, blandt andet </w:t>
      </w:r>
      <w:r w:rsidR="00CB2613" w:rsidRPr="00595546">
        <w:t xml:space="preserve">har aftalt </w:t>
      </w:r>
      <w:r w:rsidR="00143675" w:rsidRPr="00595546">
        <w:rPr>
          <w:bCs/>
        </w:rPr>
        <w:t xml:space="preserve">at </w:t>
      </w:r>
      <w:r w:rsidR="00595546" w:rsidRPr="00595546">
        <w:rPr>
          <w:bCs/>
        </w:rPr>
        <w:t xml:space="preserve">sælge </w:t>
      </w:r>
      <w:r w:rsidR="00143675" w:rsidRPr="00595546">
        <w:rPr>
          <w:bCs/>
        </w:rPr>
        <w:t xml:space="preserve">alle deres </w:t>
      </w:r>
      <w:r w:rsidR="00DB44D5" w:rsidRPr="00595546">
        <w:rPr>
          <w:bCs/>
        </w:rPr>
        <w:t xml:space="preserve">Aktier </w:t>
      </w:r>
      <w:r w:rsidR="00595546" w:rsidRPr="00595546">
        <w:rPr>
          <w:bCs/>
        </w:rPr>
        <w:t xml:space="preserve">i </w:t>
      </w:r>
      <w:r w:rsidR="00DB44D5" w:rsidRPr="00595546">
        <w:rPr>
          <w:bCs/>
        </w:rPr>
        <w:t xml:space="preserve">Tilbuddet </w:t>
      </w:r>
      <w:r w:rsidR="000C6F72" w:rsidRPr="00595546">
        <w:t xml:space="preserve">på visse betingelser, herunder at de </w:t>
      </w:r>
      <w:r w:rsidR="00595546" w:rsidRPr="00595546">
        <w:t>U</w:t>
      </w:r>
      <w:r w:rsidR="000C6F72" w:rsidRPr="00595546">
        <w:t xml:space="preserve">igenkaldelige </w:t>
      </w:r>
      <w:r w:rsidR="00595546" w:rsidRPr="00595546">
        <w:t>Forhånds</w:t>
      </w:r>
      <w:r w:rsidR="000C6F72" w:rsidRPr="00595546">
        <w:t xml:space="preserve">tilsagn bortfalder, hvis blandt andet en tredjepart annoncerer </w:t>
      </w:r>
      <w:r w:rsidR="00BA0383" w:rsidRPr="00595546">
        <w:t>en alternativ transaktion, hvor de</w:t>
      </w:r>
      <w:r w:rsidR="00595546" w:rsidRPr="00595546">
        <w:t>t</w:t>
      </w:r>
      <w:r w:rsidR="00BA0383" w:rsidRPr="00595546">
        <w:t xml:space="preserve"> samlede vederlag, </w:t>
      </w:r>
      <w:r w:rsidR="009755F4" w:rsidRPr="00595546">
        <w:t xml:space="preserve">der tilbydes </w:t>
      </w:r>
      <w:r w:rsidR="00DB44D5" w:rsidRPr="00595546">
        <w:t>Aktionærerne</w:t>
      </w:r>
      <w:r w:rsidR="00E752BE" w:rsidRPr="00595546">
        <w:t xml:space="preserve">, overstiger </w:t>
      </w:r>
      <w:r w:rsidR="00DB44D5" w:rsidRPr="00595546">
        <w:t xml:space="preserve">Tilbudskursen </w:t>
      </w:r>
      <w:r w:rsidR="00E752BE" w:rsidRPr="00595546">
        <w:t xml:space="preserve">(justeret for eventuelle udbytter eller andre udlodninger, der er erklæret eller udbetalt til </w:t>
      </w:r>
      <w:r w:rsidR="00DB44D5" w:rsidRPr="00595546">
        <w:t xml:space="preserve">Aktionærerne </w:t>
      </w:r>
      <w:r w:rsidR="00E752BE" w:rsidRPr="00595546">
        <w:t xml:space="preserve">inden afslutningen af </w:t>
      </w:r>
      <w:r w:rsidR="00DB44D5" w:rsidRPr="00595546">
        <w:t xml:space="preserve">Tilbuddet </w:t>
      </w:r>
      <w:r w:rsidR="00E752BE" w:rsidRPr="00595546">
        <w:t xml:space="preserve">som beskrevet i </w:t>
      </w:r>
      <w:r w:rsidR="00DB44D5" w:rsidRPr="00595546">
        <w:t>Tilbudsdokumentet</w:t>
      </w:r>
      <w:r w:rsidR="00E752BE" w:rsidRPr="00595546">
        <w:t xml:space="preserve">) med mindst ti (10) procent, forudsat at </w:t>
      </w:r>
      <w:r w:rsidR="00DB44D5" w:rsidRPr="00595546">
        <w:t>Tilbudsgiver</w:t>
      </w:r>
      <w:r w:rsidR="00E752BE" w:rsidRPr="00595546">
        <w:t xml:space="preserve"> ikke matcher eller </w:t>
      </w:r>
      <w:r w:rsidR="00FC0B69">
        <w:t>overgår</w:t>
      </w:r>
      <w:r w:rsidR="00595546" w:rsidRPr="00595546">
        <w:t xml:space="preserve"> </w:t>
      </w:r>
      <w:r w:rsidR="00E752BE" w:rsidRPr="00595546">
        <w:t xml:space="preserve">en sådan bedre alternativ transaktion inden for </w:t>
      </w:r>
      <w:r w:rsidR="00494B07" w:rsidRPr="00595546">
        <w:t>ti (</w:t>
      </w:r>
      <w:r w:rsidR="00F1703D" w:rsidRPr="00595546">
        <w:t>10</w:t>
      </w:r>
      <w:r w:rsidR="00494B07" w:rsidRPr="00595546">
        <w:t xml:space="preserve">) </w:t>
      </w:r>
      <w:r w:rsidR="00E752BE" w:rsidRPr="00595546">
        <w:t>hverdage efter annonceringen heraf.</w:t>
      </w:r>
    </w:p>
    <w:p w14:paraId="000DCCA1" w14:textId="77777777" w:rsidR="00C409D1" w:rsidRPr="00595546" w:rsidRDefault="00C409D1" w:rsidP="00A05058">
      <w:pPr>
        <w:pStyle w:val="DSBodyTextIndent1"/>
        <w:ind w:left="0"/>
        <w:jc w:val="both"/>
      </w:pPr>
    </w:p>
    <w:p w14:paraId="4280BB33" w14:textId="2E3703D3" w:rsidR="0012148F" w:rsidRPr="00595546" w:rsidRDefault="0012148F" w:rsidP="00C57394">
      <w:pPr>
        <w:pStyle w:val="DSBodyTextIndent1"/>
        <w:jc w:val="both"/>
      </w:pPr>
      <w:r w:rsidRPr="00595546">
        <w:t>Tilbuddet kan accepteres i</w:t>
      </w:r>
      <w:bookmarkStart w:id="10" w:name="_9kMIH5YVt4666FHSLz25BvqAgVz1EDx5EAG"/>
      <w:bookmarkStart w:id="11" w:name="_9kMIH5YVt4666GNXLz25BvqAgVz1EDx5EAG"/>
      <w:r w:rsidRPr="00595546">
        <w:t xml:space="preserve"> perioden fra og</w:t>
      </w:r>
      <w:bookmarkEnd w:id="10"/>
      <w:bookmarkEnd w:id="11"/>
      <w:r w:rsidRPr="00595546">
        <w:t xml:space="preserve"> </w:t>
      </w:r>
      <w:r w:rsidR="005319EC">
        <w:t>med</w:t>
      </w:r>
      <w:r w:rsidRPr="00595546">
        <w:t xml:space="preserve"> </w:t>
      </w:r>
      <w:r w:rsidR="00595546" w:rsidRPr="00595546">
        <w:t>d</w:t>
      </w:r>
      <w:r w:rsidR="005319EC">
        <w:t>en</w:t>
      </w:r>
      <w:r w:rsidR="00595546" w:rsidRPr="00595546">
        <w:t xml:space="preserve"> 7. januar 2026</w:t>
      </w:r>
      <w:r w:rsidR="00B643F0" w:rsidRPr="00595546">
        <w:t xml:space="preserve"> </w:t>
      </w:r>
      <w:r w:rsidRPr="00595546">
        <w:t xml:space="preserve">til og med </w:t>
      </w:r>
      <w:r w:rsidR="00595546" w:rsidRPr="00595546">
        <w:t>d</w:t>
      </w:r>
      <w:r w:rsidR="005319EC">
        <w:t>en</w:t>
      </w:r>
      <w:r w:rsidR="00595546" w:rsidRPr="00595546">
        <w:t xml:space="preserve"> 18. februar 2026</w:t>
      </w:r>
      <w:r w:rsidR="00C57394" w:rsidRPr="00595546">
        <w:t xml:space="preserve"> </w:t>
      </w:r>
      <w:r w:rsidRPr="00595546">
        <w:t>kl.</w:t>
      </w:r>
      <w:r w:rsidR="00512977" w:rsidRPr="00595546">
        <w:t xml:space="preserve"> 23:59 </w:t>
      </w:r>
      <w:r w:rsidR="002C2EA7" w:rsidRPr="00595546">
        <w:t>(</w:t>
      </w:r>
      <w:proofErr w:type="spellStart"/>
      <w:r w:rsidR="002C2EA7" w:rsidRPr="00595546">
        <w:t>CET</w:t>
      </w:r>
      <w:proofErr w:type="spellEnd"/>
      <w:r w:rsidR="002C2EA7" w:rsidRPr="00595546">
        <w:t xml:space="preserve">) </w:t>
      </w:r>
      <w:r w:rsidRPr="00595546">
        <w:t>(</w:t>
      </w:r>
      <w:r w:rsidR="00DB44D5" w:rsidRPr="00595546">
        <w:rPr>
          <w:b/>
          <w:bCs/>
        </w:rPr>
        <w:t>Tilbudsperioden</w:t>
      </w:r>
      <w:r w:rsidRPr="00595546">
        <w:t>) med forbehold for</w:t>
      </w:r>
      <w:bookmarkStart w:id="12" w:name="_9kMKJ5YVt39A79IgKiiv"/>
      <w:bookmarkStart w:id="13" w:name="_9kMKJ5YVt3AB7AAXKiiv"/>
      <w:r w:rsidRPr="00595546">
        <w:t xml:space="preserve"> eventuelle</w:t>
      </w:r>
      <w:bookmarkEnd w:id="12"/>
      <w:bookmarkEnd w:id="13"/>
      <w:r w:rsidRPr="00595546">
        <w:t xml:space="preserve"> forlængelser, som besluttes i overensstemmelse med </w:t>
      </w:r>
      <w:bookmarkStart w:id="14" w:name="_9kMLK5YVt39A79IgKiiv"/>
      <w:bookmarkStart w:id="15" w:name="_9kMLK5YVt3AB7AAXKiiv"/>
      <w:r w:rsidR="00DB44D5" w:rsidRPr="00595546">
        <w:t>Tilbudsdokumentet</w:t>
      </w:r>
      <w:bookmarkEnd w:id="14"/>
      <w:bookmarkEnd w:id="15"/>
      <w:r w:rsidRPr="00595546">
        <w:t xml:space="preserve">. </w:t>
      </w:r>
    </w:p>
    <w:p w14:paraId="531C417F" w14:textId="77777777" w:rsidR="00C409D1" w:rsidRPr="00595546" w:rsidRDefault="00C409D1" w:rsidP="00A05058">
      <w:pPr>
        <w:pStyle w:val="DSBodyTextIndent1"/>
        <w:jc w:val="both"/>
        <w:rPr>
          <w:rFonts w:asciiTheme="minorHAnsi" w:hAnsiTheme="minorHAnsi" w:cstheme="minorHAnsi"/>
        </w:rPr>
      </w:pPr>
    </w:p>
    <w:p w14:paraId="49E96E37" w14:textId="29D2375F" w:rsidR="00F82D08" w:rsidRPr="00595546" w:rsidRDefault="00DB44D5" w:rsidP="00F82D08">
      <w:pPr>
        <w:pStyle w:val="DSBodyTextIndent1"/>
        <w:jc w:val="both"/>
      </w:pPr>
      <w:r w:rsidRPr="00595546">
        <w:t xml:space="preserve">Tilbudsgiver </w:t>
      </w:r>
      <w:r w:rsidR="00F82D08" w:rsidRPr="00595546">
        <w:t xml:space="preserve">vil offentliggøre det foreløbige resultat af </w:t>
      </w:r>
      <w:r w:rsidRPr="00595546">
        <w:t xml:space="preserve">Tilbuddet </w:t>
      </w:r>
      <w:r w:rsidR="00F82D08" w:rsidRPr="00595546">
        <w:t>senest</w:t>
      </w:r>
      <w:r w:rsidR="00D022A2" w:rsidRPr="00595546">
        <w:t xml:space="preserve"> 18 </w:t>
      </w:r>
      <w:r w:rsidR="00F82D08" w:rsidRPr="00595546">
        <w:t xml:space="preserve">timer efter udløbet af </w:t>
      </w:r>
      <w:r w:rsidR="00595546" w:rsidRPr="00595546">
        <w:t>Tilbudsperioden</w:t>
      </w:r>
      <w:r w:rsidR="00F82D08" w:rsidRPr="00595546">
        <w:t xml:space="preserve">. </w:t>
      </w:r>
      <w:r w:rsidR="003E3612">
        <w:t>Offentliggørelsen</w:t>
      </w:r>
      <w:r w:rsidR="00F82D08" w:rsidRPr="00595546">
        <w:t xml:space="preserve"> vil omfatte det foreløbige resultat af </w:t>
      </w:r>
      <w:r w:rsidRPr="00595546">
        <w:t xml:space="preserve">Tilbuddet </w:t>
      </w:r>
      <w:r w:rsidR="00F82D08" w:rsidRPr="00595546">
        <w:t xml:space="preserve">og en </w:t>
      </w:r>
      <w:r w:rsidR="00005DBD">
        <w:t xml:space="preserve">meddelelse </w:t>
      </w:r>
      <w:r w:rsidR="00F82D08" w:rsidRPr="00595546">
        <w:t xml:space="preserve">om, hvorvidt </w:t>
      </w:r>
      <w:r w:rsidRPr="00595546">
        <w:t xml:space="preserve">Tilbuddet </w:t>
      </w:r>
      <w:r w:rsidR="00F82D08" w:rsidRPr="00595546">
        <w:t xml:space="preserve">vil blive </w:t>
      </w:r>
      <w:r w:rsidR="00F82D08" w:rsidRPr="00595546">
        <w:lastRenderedPageBreak/>
        <w:t xml:space="preserve">forlænget, tilbagekaldt eller </w:t>
      </w:r>
      <w:r w:rsidR="00595546" w:rsidRPr="00595546">
        <w:t xml:space="preserve">Gennemført </w:t>
      </w:r>
      <w:r w:rsidR="006211B5" w:rsidRPr="00595546">
        <w:rPr>
          <w:rFonts w:asciiTheme="minorHAnsi" w:hAnsiTheme="minorHAnsi" w:cstheme="minorHAnsi"/>
        </w:rPr>
        <w:t>(som defineret nedenfor)</w:t>
      </w:r>
      <w:r w:rsidR="00F82D08" w:rsidRPr="00595546">
        <w:t xml:space="preserve">. Hvis </w:t>
      </w:r>
      <w:r w:rsidRPr="00595546">
        <w:t>Tilbudsgiver</w:t>
      </w:r>
      <w:r w:rsidR="00F82D08" w:rsidRPr="00595546">
        <w:t xml:space="preserve"> i sin meddelelse om det foreløbige resultat af </w:t>
      </w:r>
      <w:r w:rsidRPr="00595546">
        <w:t xml:space="preserve">Tilbuddet </w:t>
      </w:r>
      <w:r w:rsidR="00F82D08" w:rsidRPr="00595546">
        <w:t xml:space="preserve">har meddelt, at </w:t>
      </w:r>
      <w:r w:rsidRPr="00595546">
        <w:t xml:space="preserve">Tilbuddet </w:t>
      </w:r>
      <w:r w:rsidR="00F82D08" w:rsidRPr="00595546">
        <w:t xml:space="preserve">vil blive </w:t>
      </w:r>
      <w:r w:rsidR="00595546" w:rsidRPr="00595546">
        <w:t>Gennemført</w:t>
      </w:r>
      <w:r w:rsidR="00F82D08" w:rsidRPr="00595546">
        <w:t xml:space="preserve">, vil </w:t>
      </w:r>
      <w:r w:rsidRPr="00595546">
        <w:t>Tilbudsgiver</w:t>
      </w:r>
      <w:r w:rsidR="00F82D08" w:rsidRPr="00595546">
        <w:t xml:space="preserve"> offentliggøre det endelige resultat af </w:t>
      </w:r>
      <w:r w:rsidRPr="00595546">
        <w:t xml:space="preserve">Tilbuddet </w:t>
      </w:r>
      <w:r w:rsidR="00F82D08" w:rsidRPr="00595546">
        <w:t xml:space="preserve">inden for </w:t>
      </w:r>
      <w:r w:rsidR="00D022A2" w:rsidRPr="00595546">
        <w:t xml:space="preserve">tre (3) </w:t>
      </w:r>
      <w:r w:rsidR="00F82D08" w:rsidRPr="00595546">
        <w:t xml:space="preserve">hverdage efter </w:t>
      </w:r>
      <w:r w:rsidR="00A10400" w:rsidRPr="00595546">
        <w:t xml:space="preserve">udløbet af </w:t>
      </w:r>
      <w:r w:rsidRPr="00595546">
        <w:t>Tilbudsperioden</w:t>
      </w:r>
      <w:r w:rsidR="00B04B62">
        <w:t xml:space="preserve"> (det </w:t>
      </w:r>
      <w:r w:rsidR="00B04B62" w:rsidRPr="00B04B62">
        <w:rPr>
          <w:b/>
          <w:bCs/>
        </w:rPr>
        <w:t>Endelige Resultat</w:t>
      </w:r>
      <w:r w:rsidR="00B04B62">
        <w:t>)</w:t>
      </w:r>
      <w:r w:rsidR="00F82D08" w:rsidRPr="00595546">
        <w:t>.</w:t>
      </w:r>
    </w:p>
    <w:p w14:paraId="5B5BA85E" w14:textId="77777777" w:rsidR="00F82D08" w:rsidRPr="00595546" w:rsidRDefault="00F82D08" w:rsidP="00F82D08">
      <w:pPr>
        <w:pStyle w:val="DSBodyTextIndent1"/>
        <w:jc w:val="both"/>
      </w:pPr>
    </w:p>
    <w:p w14:paraId="14B59357" w14:textId="2DE5039B" w:rsidR="008B39E5" w:rsidRPr="00595546" w:rsidRDefault="000A4360" w:rsidP="00A05058">
      <w:pPr>
        <w:pStyle w:val="NormalIndent"/>
        <w:jc w:val="both"/>
        <w:rPr>
          <w:rFonts w:asciiTheme="minorHAnsi" w:hAnsiTheme="minorHAnsi" w:cstheme="minorHAnsi"/>
        </w:rPr>
      </w:pPr>
      <w:r w:rsidRPr="00595546">
        <w:t xml:space="preserve">Gennemførelse af </w:t>
      </w:r>
      <w:r w:rsidR="00DB44D5" w:rsidRPr="00595546">
        <w:t xml:space="preserve">Tilbuddet </w:t>
      </w:r>
      <w:r w:rsidRPr="00595546">
        <w:t>(</w:t>
      </w:r>
      <w:r w:rsidR="00DB44D5" w:rsidRPr="00595546">
        <w:rPr>
          <w:b/>
          <w:bCs/>
        </w:rPr>
        <w:t>Gennemførelse</w:t>
      </w:r>
      <w:r w:rsidRPr="00595546">
        <w:rPr>
          <w:b/>
          <w:bCs/>
        </w:rPr>
        <w:t xml:space="preserve">, </w:t>
      </w:r>
      <w:r w:rsidRPr="00595546">
        <w:t xml:space="preserve">som defineret i </w:t>
      </w:r>
      <w:r w:rsidR="00DB44D5" w:rsidRPr="00595546">
        <w:t>Tilbudsdokumentet</w:t>
      </w:r>
      <w:r w:rsidRPr="00595546">
        <w:t xml:space="preserve">) </w:t>
      </w:r>
      <w:r w:rsidR="002D5A55" w:rsidRPr="00595546">
        <w:rPr>
          <w:rFonts w:asciiTheme="minorHAnsi" w:hAnsiTheme="minorHAnsi" w:cstheme="minorHAnsi"/>
        </w:rPr>
        <w:t xml:space="preserve">er betinget af, at visse </w:t>
      </w:r>
      <w:r w:rsidR="00DB44D5" w:rsidRPr="00595546">
        <w:rPr>
          <w:rFonts w:asciiTheme="minorHAnsi" w:hAnsiTheme="minorHAnsi" w:cstheme="minorHAnsi"/>
        </w:rPr>
        <w:t xml:space="preserve">betingelser </w:t>
      </w:r>
      <w:r w:rsidR="002D5A55" w:rsidRPr="00595546">
        <w:rPr>
          <w:rFonts w:asciiTheme="minorHAnsi" w:hAnsiTheme="minorHAnsi" w:cstheme="minorHAnsi"/>
        </w:rPr>
        <w:t>(</w:t>
      </w:r>
      <w:r w:rsidR="00DB44D5" w:rsidRPr="00595546">
        <w:rPr>
          <w:rFonts w:asciiTheme="minorHAnsi" w:hAnsiTheme="minorHAnsi" w:cstheme="minorHAnsi"/>
          <w:b/>
        </w:rPr>
        <w:t>Betingelserne</w:t>
      </w:r>
      <w:r w:rsidR="002D5A55" w:rsidRPr="00595546">
        <w:rPr>
          <w:rFonts w:asciiTheme="minorHAnsi" w:hAnsiTheme="minorHAnsi" w:cstheme="minorHAnsi"/>
        </w:rPr>
        <w:t xml:space="preserve">) er opfyldt </w:t>
      </w:r>
      <w:r w:rsidR="00F6113D" w:rsidRPr="00595546">
        <w:rPr>
          <w:rFonts w:asciiTheme="minorHAnsi" w:hAnsiTheme="minorHAnsi" w:cstheme="minorHAnsi"/>
        </w:rPr>
        <w:t xml:space="preserve">eller, i det omfang det er tilladt i henhold til </w:t>
      </w:r>
      <w:r w:rsidR="00DB44D5" w:rsidRPr="00595546">
        <w:rPr>
          <w:rFonts w:asciiTheme="minorHAnsi" w:hAnsiTheme="minorHAnsi" w:cstheme="minorHAnsi"/>
        </w:rPr>
        <w:t>Offentliggørelsesaftalen</w:t>
      </w:r>
      <w:r w:rsidR="00F6113D" w:rsidRPr="00595546">
        <w:rPr>
          <w:rFonts w:asciiTheme="minorHAnsi" w:hAnsiTheme="minorHAnsi" w:cstheme="minorHAnsi"/>
        </w:rPr>
        <w:t xml:space="preserve">, </w:t>
      </w:r>
      <w:r w:rsidR="00DB44D5" w:rsidRPr="00595546">
        <w:rPr>
          <w:rFonts w:asciiTheme="minorHAnsi" w:hAnsiTheme="minorHAnsi" w:cstheme="minorHAnsi"/>
        </w:rPr>
        <w:t xml:space="preserve">frafaldet </w:t>
      </w:r>
      <w:r w:rsidR="00F6113D" w:rsidRPr="00595546">
        <w:rPr>
          <w:rFonts w:asciiTheme="minorHAnsi" w:hAnsiTheme="minorHAnsi" w:cstheme="minorHAnsi"/>
        </w:rPr>
        <w:t xml:space="preserve">eller ændret skriftligt af </w:t>
      </w:r>
      <w:r w:rsidR="00DB44D5" w:rsidRPr="00595546">
        <w:rPr>
          <w:rFonts w:asciiTheme="minorHAnsi" w:hAnsiTheme="minorHAnsi" w:cstheme="minorHAnsi"/>
        </w:rPr>
        <w:t>Tilbudsgiver</w:t>
      </w:r>
      <w:r w:rsidR="00F6113D" w:rsidRPr="00595546">
        <w:rPr>
          <w:rFonts w:asciiTheme="minorHAnsi" w:hAnsiTheme="minorHAnsi" w:cstheme="minorHAnsi"/>
        </w:rPr>
        <w:t xml:space="preserve"> </w:t>
      </w:r>
      <w:r w:rsidR="002D5A55" w:rsidRPr="00595546">
        <w:rPr>
          <w:rFonts w:asciiTheme="minorHAnsi" w:hAnsiTheme="minorHAnsi" w:cstheme="minorHAnsi"/>
        </w:rPr>
        <w:t xml:space="preserve">inden </w:t>
      </w:r>
      <w:r w:rsidR="00B04B62">
        <w:rPr>
          <w:rFonts w:asciiTheme="minorHAnsi" w:hAnsiTheme="minorHAnsi" w:cstheme="minorHAnsi"/>
        </w:rPr>
        <w:t>Tilbuds</w:t>
      </w:r>
      <w:r w:rsidR="00773E8E">
        <w:rPr>
          <w:rFonts w:asciiTheme="minorHAnsi" w:hAnsiTheme="minorHAnsi" w:cstheme="minorHAnsi"/>
        </w:rPr>
        <w:t xml:space="preserve">givers </w:t>
      </w:r>
      <w:r w:rsidR="005C425E" w:rsidRPr="00595546">
        <w:rPr>
          <w:rFonts w:asciiTheme="minorHAnsi" w:hAnsiTheme="minorHAnsi" w:cstheme="minorHAnsi"/>
        </w:rPr>
        <w:t xml:space="preserve">offentliggørelse </w:t>
      </w:r>
      <w:r w:rsidR="002D5A55" w:rsidRPr="00595546">
        <w:rPr>
          <w:rFonts w:asciiTheme="minorHAnsi" w:hAnsiTheme="minorHAnsi" w:cstheme="minorHAnsi"/>
        </w:rPr>
        <w:t xml:space="preserve">af </w:t>
      </w:r>
      <w:r w:rsidR="00595546" w:rsidRPr="00595546">
        <w:rPr>
          <w:rFonts w:asciiTheme="minorHAnsi" w:hAnsiTheme="minorHAnsi" w:cstheme="minorHAnsi"/>
        </w:rPr>
        <w:t xml:space="preserve">det </w:t>
      </w:r>
      <w:r w:rsidR="00773E8E">
        <w:rPr>
          <w:rFonts w:asciiTheme="minorHAnsi" w:hAnsiTheme="minorHAnsi" w:cstheme="minorHAnsi"/>
        </w:rPr>
        <w:t>e</w:t>
      </w:r>
      <w:r w:rsidR="00595546" w:rsidRPr="00595546">
        <w:rPr>
          <w:rFonts w:asciiTheme="minorHAnsi" w:hAnsiTheme="minorHAnsi" w:cstheme="minorHAnsi"/>
        </w:rPr>
        <w:t xml:space="preserve">ndelige </w:t>
      </w:r>
      <w:r w:rsidR="00773E8E">
        <w:rPr>
          <w:rFonts w:asciiTheme="minorHAnsi" w:hAnsiTheme="minorHAnsi" w:cstheme="minorHAnsi"/>
        </w:rPr>
        <w:t>r</w:t>
      </w:r>
      <w:r w:rsidR="00595546" w:rsidRPr="00595546">
        <w:rPr>
          <w:rFonts w:asciiTheme="minorHAnsi" w:hAnsiTheme="minorHAnsi" w:cstheme="minorHAnsi"/>
        </w:rPr>
        <w:t>esultat</w:t>
      </w:r>
      <w:r w:rsidR="00773E8E">
        <w:rPr>
          <w:rFonts w:asciiTheme="minorHAnsi" w:hAnsiTheme="minorHAnsi" w:cstheme="minorHAnsi"/>
        </w:rPr>
        <w:t xml:space="preserve"> i overensstemmelse med § 21, stk. 3 i Overtagelsesbekendtgørelsen</w:t>
      </w:r>
      <w:r w:rsidR="00F6113D" w:rsidRPr="00595546">
        <w:rPr>
          <w:rFonts w:asciiTheme="minorHAnsi" w:hAnsiTheme="minorHAnsi" w:cstheme="minorHAnsi"/>
        </w:rPr>
        <w:t xml:space="preserve">. </w:t>
      </w:r>
    </w:p>
    <w:p w14:paraId="426C8CDA" w14:textId="77777777" w:rsidR="008B39E5" w:rsidRPr="00595546" w:rsidRDefault="008B39E5" w:rsidP="00A05058">
      <w:pPr>
        <w:pStyle w:val="NormalIndent"/>
        <w:jc w:val="both"/>
        <w:rPr>
          <w:rFonts w:asciiTheme="minorHAnsi" w:hAnsiTheme="minorHAnsi" w:cstheme="minorHAnsi"/>
        </w:rPr>
      </w:pPr>
    </w:p>
    <w:p w14:paraId="48DD3F9F" w14:textId="25DC34E7" w:rsidR="00517991" w:rsidRPr="00595546" w:rsidRDefault="002D5A55" w:rsidP="00582FB2">
      <w:pPr>
        <w:pStyle w:val="DSBodyTextIndent1"/>
        <w:jc w:val="both"/>
      </w:pPr>
      <w:r w:rsidRPr="00595546">
        <w:rPr>
          <w:rFonts w:asciiTheme="minorHAnsi" w:hAnsiTheme="minorHAnsi" w:cstheme="minorHAnsi"/>
        </w:rPr>
        <w:t>Betingelserne er angivet i afsnit</w:t>
      </w:r>
      <w:r w:rsidR="00BC3973" w:rsidRPr="00595546">
        <w:rPr>
          <w:rFonts w:asciiTheme="minorHAnsi" w:hAnsiTheme="minorHAnsi" w:cstheme="minorHAnsi"/>
        </w:rPr>
        <w:t xml:space="preserve"> 4.9 </w:t>
      </w:r>
      <w:r w:rsidRPr="00595546">
        <w:rPr>
          <w:rFonts w:asciiTheme="minorHAnsi" w:hAnsiTheme="minorHAnsi" w:cstheme="minorHAnsi"/>
        </w:rPr>
        <w:t xml:space="preserve">i </w:t>
      </w:r>
      <w:r w:rsidR="00DB44D5" w:rsidRPr="00595546">
        <w:rPr>
          <w:rFonts w:asciiTheme="minorHAnsi" w:hAnsiTheme="minorHAnsi" w:cstheme="minorHAnsi"/>
        </w:rPr>
        <w:t xml:space="preserve">Tilbudsdokumentet </w:t>
      </w:r>
      <w:r w:rsidRPr="00595546">
        <w:rPr>
          <w:rFonts w:asciiTheme="minorHAnsi" w:hAnsiTheme="minorHAnsi" w:cstheme="minorHAnsi"/>
        </w:rPr>
        <w:t xml:space="preserve">og omfatter </w:t>
      </w:r>
      <w:r w:rsidR="001978A4" w:rsidRPr="00595546">
        <w:t>(</w:t>
      </w:r>
      <w:r w:rsidR="00AC4EA2" w:rsidRPr="00595546">
        <w:t>a</w:t>
      </w:r>
      <w:r w:rsidR="001978A4" w:rsidRPr="00595546">
        <w:t xml:space="preserve">) at </w:t>
      </w:r>
      <w:r w:rsidR="00DB44D5" w:rsidRPr="00595546">
        <w:t>Tilbudsgiver</w:t>
      </w:r>
      <w:r w:rsidR="001978A4" w:rsidRPr="00595546">
        <w:t xml:space="preserve"> ejer eller har modtaget gyldige accept fra </w:t>
      </w:r>
      <w:r w:rsidR="00DB44D5" w:rsidRPr="00595546">
        <w:t xml:space="preserve">Aktionærerne </w:t>
      </w:r>
      <w:r w:rsidR="001978A4" w:rsidRPr="00595546">
        <w:t xml:space="preserve">(sådanne gyldige accept, der ikke efterfølgende er gyldigt tilbagekaldt) med hensyn til </w:t>
      </w:r>
      <w:r w:rsidR="00DB44D5" w:rsidRPr="00595546">
        <w:t>Aktier</w:t>
      </w:r>
      <w:r w:rsidR="00F1703D" w:rsidRPr="00595546">
        <w:t>,</w:t>
      </w:r>
      <w:r w:rsidR="001978A4" w:rsidRPr="00595546">
        <w:t xml:space="preserve"> der repræsenterer </w:t>
      </w:r>
      <w:r w:rsidR="00773E8E">
        <w:t>mindst</w:t>
      </w:r>
      <w:r w:rsidR="001978A4" w:rsidRPr="00595546">
        <w:t xml:space="preserve"> </w:t>
      </w:r>
      <w:r w:rsidR="00A00253" w:rsidRPr="00595546">
        <w:t xml:space="preserve">halvfems </w:t>
      </w:r>
      <w:r w:rsidR="00137749" w:rsidRPr="00595546">
        <w:t xml:space="preserve">(90) </w:t>
      </w:r>
      <w:r w:rsidR="001978A4" w:rsidRPr="00595546">
        <w:t xml:space="preserve">procent af alle </w:t>
      </w:r>
      <w:r w:rsidR="00DB44D5" w:rsidRPr="00595546">
        <w:t xml:space="preserve">Aktier </w:t>
      </w:r>
      <w:r w:rsidR="00137749" w:rsidRPr="00595546">
        <w:t xml:space="preserve">plus én (1) </w:t>
      </w:r>
      <w:r w:rsidR="00DB44D5" w:rsidRPr="00595546">
        <w:t xml:space="preserve">Aktie </w:t>
      </w:r>
      <w:r w:rsidR="001978A4" w:rsidRPr="00595546">
        <w:t xml:space="preserve">(eksklusive </w:t>
      </w:r>
      <w:r w:rsidR="00DB44D5" w:rsidRPr="00595546">
        <w:t>Egne Aktier</w:t>
      </w:r>
      <w:r w:rsidR="001978A4" w:rsidRPr="00595546">
        <w:t>)</w:t>
      </w:r>
      <w:r w:rsidR="00C25AA7" w:rsidRPr="00595546">
        <w:t>,</w:t>
      </w:r>
      <w:r w:rsidR="00582FB2" w:rsidRPr="00595546">
        <w:t xml:space="preserve"> </w:t>
      </w:r>
      <w:r w:rsidR="001978A4" w:rsidRPr="00595546">
        <w:t>(</w:t>
      </w:r>
      <w:r w:rsidR="00C25AA7" w:rsidRPr="00595546">
        <w:t>b</w:t>
      </w:r>
      <w:r w:rsidR="001978A4" w:rsidRPr="00595546">
        <w:t>) alle godkendelser, tilladelser, undtagelser og meddelelser fra</w:t>
      </w:r>
      <w:r w:rsidR="00776245" w:rsidRPr="00776245">
        <w:t xml:space="preserve"> U.S. </w:t>
      </w:r>
      <w:proofErr w:type="spellStart"/>
      <w:r w:rsidR="00776245" w:rsidRPr="00776245">
        <w:t>Federal</w:t>
      </w:r>
      <w:proofErr w:type="spellEnd"/>
      <w:r w:rsidR="00776245" w:rsidRPr="00776245">
        <w:t xml:space="preserve"> Trade </w:t>
      </w:r>
      <w:proofErr w:type="spellStart"/>
      <w:r w:rsidR="00776245" w:rsidRPr="00776245">
        <w:t>Commission</w:t>
      </w:r>
      <w:proofErr w:type="spellEnd"/>
      <w:r w:rsidR="00776245" w:rsidRPr="00776245">
        <w:t xml:space="preserve"> </w:t>
      </w:r>
      <w:r w:rsidR="00776245">
        <w:t>og/eller</w:t>
      </w:r>
      <w:r w:rsidR="00776245" w:rsidRPr="00776245">
        <w:t xml:space="preserve"> U.S. Department of Justice, </w:t>
      </w:r>
      <w:r w:rsidR="00776245">
        <w:t>E</w:t>
      </w:r>
      <w:r w:rsidR="00102CCD">
        <w:t>uropa-</w:t>
      </w:r>
      <w:r w:rsidR="00776245">
        <w:t>Kommissionen</w:t>
      </w:r>
      <w:r w:rsidR="00776245" w:rsidRPr="00776245">
        <w:t xml:space="preserve">, </w:t>
      </w:r>
      <w:r w:rsidR="003F641D">
        <w:t>de australske konkurrencemyndigheder</w:t>
      </w:r>
      <w:r w:rsidR="00776245" w:rsidRPr="00776245">
        <w:t xml:space="preserve">, </w:t>
      </w:r>
      <w:r w:rsidR="00102CCD">
        <w:t xml:space="preserve">og de tyrkiske </w:t>
      </w:r>
      <w:r w:rsidR="001978A4" w:rsidRPr="00595546">
        <w:t xml:space="preserve">konkurrencemyndigheder </w:t>
      </w:r>
      <w:r w:rsidR="00102CCD">
        <w:t>samt</w:t>
      </w:r>
      <w:r w:rsidR="00494B07" w:rsidRPr="00595546">
        <w:t xml:space="preserve"> Europa-Kommissionen med hensyn til </w:t>
      </w:r>
      <w:r w:rsidR="002835AC" w:rsidRPr="00595546">
        <w:t xml:space="preserve">udenlandske subsidier </w:t>
      </w:r>
      <w:r w:rsidR="001978A4" w:rsidRPr="00595546">
        <w:t xml:space="preserve">er blevet givet og/eller enhver gældende ventetid med hensyn til sådanne meddelelser </w:t>
      </w:r>
      <w:r w:rsidR="00C25AA7" w:rsidRPr="00595546">
        <w:t xml:space="preserve">er </w:t>
      </w:r>
      <w:r w:rsidR="001978A4" w:rsidRPr="00595546">
        <w:t>udløbet eller blevet afsluttet</w:t>
      </w:r>
      <w:r w:rsidR="00C25AA7" w:rsidRPr="00595546">
        <w:t>,</w:t>
      </w:r>
      <w:r w:rsidR="00582FB2" w:rsidRPr="00595546">
        <w:t xml:space="preserve"> </w:t>
      </w:r>
      <w:r w:rsidR="00C856E0" w:rsidRPr="00595546">
        <w:t xml:space="preserve">(c) </w:t>
      </w:r>
      <w:r w:rsidR="001F5FEE" w:rsidRPr="00595546">
        <w:t xml:space="preserve">at </w:t>
      </w:r>
      <w:r w:rsidR="00595546" w:rsidRPr="00595546">
        <w:t>Bestyrelsen</w:t>
      </w:r>
      <w:r w:rsidR="001F5FEE" w:rsidRPr="00595546">
        <w:t xml:space="preserve"> ikke har </w:t>
      </w:r>
      <w:r w:rsidR="00FA6AD8">
        <w:t>foretaget</w:t>
      </w:r>
      <w:r w:rsidR="001F5FEE" w:rsidRPr="00595546">
        <w:t xml:space="preserve"> (herunder meddelt en hensigt om at </w:t>
      </w:r>
      <w:r w:rsidR="00FA6AD8">
        <w:t>foretage</w:t>
      </w:r>
      <w:r w:rsidR="001F5FEE" w:rsidRPr="00595546">
        <w:t xml:space="preserve">) nogen handling eller undladelse, der ville udgøre en </w:t>
      </w:r>
      <w:r w:rsidR="00595546" w:rsidRPr="00595546">
        <w:t xml:space="preserve">Negativ Ændring </w:t>
      </w:r>
      <w:r w:rsidR="001F5FEE" w:rsidRPr="00595546">
        <w:t xml:space="preserve">af </w:t>
      </w:r>
      <w:r w:rsidR="00595546" w:rsidRPr="00595546">
        <w:t>Anbefaling</w:t>
      </w:r>
      <w:r w:rsidR="00D2165E">
        <w:t xml:space="preserve"> (som defineret i Tilbudsdokumentet)</w:t>
      </w:r>
      <w:r w:rsidR="00582FB2" w:rsidRPr="00595546">
        <w:t xml:space="preserve">, </w:t>
      </w:r>
      <w:r w:rsidR="005E07A1" w:rsidRPr="00595546">
        <w:t xml:space="preserve">(d) </w:t>
      </w:r>
      <w:r w:rsidR="001978A4" w:rsidRPr="00595546">
        <w:t xml:space="preserve">at der ikke er indtrådt nogen </w:t>
      </w:r>
      <w:r w:rsidR="00595546" w:rsidRPr="00595546">
        <w:t>Væsentlig Negativ Ændring</w:t>
      </w:r>
      <w:r w:rsidR="00D2165E">
        <w:t xml:space="preserve"> (som defineret i Tilbudsdokumentet)</w:t>
      </w:r>
      <w:r w:rsidR="00517991" w:rsidRPr="00595546">
        <w:t xml:space="preserve">, </w:t>
      </w:r>
      <w:r w:rsidR="0011291D" w:rsidRPr="00595546">
        <w:t xml:space="preserve">og </w:t>
      </w:r>
      <w:r w:rsidR="005E07A1" w:rsidRPr="00595546">
        <w:rPr>
          <w:rFonts w:asciiTheme="minorHAnsi" w:hAnsiTheme="minorHAnsi" w:cstheme="minorHAnsi"/>
        </w:rPr>
        <w:t xml:space="preserve">(e) </w:t>
      </w:r>
      <w:r w:rsidR="00517991" w:rsidRPr="00595546">
        <w:rPr>
          <w:rFonts w:asciiTheme="minorHAnsi" w:hAnsiTheme="minorHAnsi" w:cstheme="minorHAnsi"/>
        </w:rPr>
        <w:t>visse andre sædvanlige betingelser.</w:t>
      </w:r>
    </w:p>
    <w:p w14:paraId="00293B86" w14:textId="77777777" w:rsidR="00517991" w:rsidRPr="00595546" w:rsidRDefault="00517991" w:rsidP="001978A4"/>
    <w:p w14:paraId="7C839593" w14:textId="09F489E6" w:rsidR="008B39E5" w:rsidRPr="00595546" w:rsidRDefault="00C409D1" w:rsidP="00A05058">
      <w:pPr>
        <w:pStyle w:val="DSBodyTextIndent1"/>
        <w:jc w:val="both"/>
      </w:pPr>
      <w:r w:rsidRPr="00595546">
        <w:t xml:space="preserve">Betingelserne er gengivet som i </w:t>
      </w:r>
      <w:r w:rsidR="00DB44D5" w:rsidRPr="00595546">
        <w:t xml:space="preserve">Tilbudsdokumentet </w:t>
      </w:r>
      <w:r w:rsidRPr="00595546">
        <w:t xml:space="preserve">i afsnit </w:t>
      </w:r>
      <w:r w:rsidR="001365B6" w:rsidRPr="00595546">
        <w:fldChar w:fldCharType="begin"/>
      </w:r>
      <w:r w:rsidR="001365B6" w:rsidRPr="00595546">
        <w:instrText xml:space="preserve"> REF _Ref215698487 \r \h </w:instrText>
      </w:r>
      <w:r w:rsidR="001365B6" w:rsidRPr="00595546">
        <w:fldChar w:fldCharType="separate"/>
      </w:r>
      <w:r w:rsidR="00433DF7">
        <w:t>8.4.1</w:t>
      </w:r>
      <w:r w:rsidR="001365B6" w:rsidRPr="00595546">
        <w:fldChar w:fldCharType="end"/>
      </w:r>
      <w:r w:rsidRPr="00595546">
        <w:t xml:space="preserve"> nedenfor, og der henvises til </w:t>
      </w:r>
      <w:r w:rsidR="00DB44D5" w:rsidRPr="00595546">
        <w:t xml:space="preserve">Tilbudsdokumentet </w:t>
      </w:r>
      <w:r w:rsidRPr="00595546">
        <w:t xml:space="preserve">for de anvendte definitioner. </w:t>
      </w:r>
    </w:p>
    <w:p w14:paraId="3BB1A5A5" w14:textId="77777777" w:rsidR="008B39E5" w:rsidRPr="00595546" w:rsidRDefault="008B39E5" w:rsidP="00A05058">
      <w:pPr>
        <w:pStyle w:val="DSBodyTextIndent1"/>
        <w:jc w:val="both"/>
        <w:rPr>
          <w:rFonts w:asciiTheme="minorHAnsi" w:hAnsiTheme="minorHAnsi" w:cstheme="minorHAnsi"/>
        </w:rPr>
      </w:pPr>
    </w:p>
    <w:p w14:paraId="05D0BB3F" w14:textId="3120BB16" w:rsidR="00DB522B" w:rsidRPr="00595546" w:rsidRDefault="00DB44D5" w:rsidP="00DB522B">
      <w:pPr>
        <w:pStyle w:val="DSBodyTextIndent1"/>
        <w:jc w:val="both"/>
        <w:rPr>
          <w:rFonts w:asciiTheme="minorHAnsi" w:hAnsiTheme="minorHAnsi" w:cstheme="minorHAnsi"/>
        </w:rPr>
      </w:pPr>
      <w:r w:rsidRPr="00595546">
        <w:rPr>
          <w:rFonts w:asciiTheme="minorHAnsi" w:hAnsiTheme="minorHAnsi" w:cstheme="minorHAnsi"/>
        </w:rPr>
        <w:t>Tilbudsgiver</w:t>
      </w:r>
      <w:r w:rsidR="009479FF" w:rsidRPr="00595546">
        <w:rPr>
          <w:rFonts w:asciiTheme="minorHAnsi" w:hAnsiTheme="minorHAnsi" w:cstheme="minorHAnsi"/>
        </w:rPr>
        <w:t xml:space="preserve"> forbeholder sig ret</w:t>
      </w:r>
      <w:r w:rsidR="00340F19">
        <w:rPr>
          <w:rFonts w:asciiTheme="minorHAnsi" w:hAnsiTheme="minorHAnsi" w:cstheme="minorHAnsi"/>
        </w:rPr>
        <w:t>ten</w:t>
      </w:r>
      <w:r w:rsidR="009479FF" w:rsidRPr="00595546">
        <w:rPr>
          <w:rFonts w:asciiTheme="minorHAnsi" w:hAnsiTheme="minorHAnsi" w:cstheme="minorHAnsi"/>
        </w:rPr>
        <w:t xml:space="preserve"> til at </w:t>
      </w:r>
      <w:r w:rsidR="00AF6AEE">
        <w:rPr>
          <w:rFonts w:asciiTheme="minorHAnsi" w:hAnsiTheme="minorHAnsi" w:cstheme="minorHAnsi"/>
        </w:rPr>
        <w:t>tilbage</w:t>
      </w:r>
      <w:r w:rsidR="0046649A">
        <w:rPr>
          <w:rFonts w:asciiTheme="minorHAnsi" w:hAnsiTheme="minorHAnsi" w:cstheme="minorHAnsi"/>
        </w:rPr>
        <w:t>kaldet</w:t>
      </w:r>
      <w:r w:rsidR="009479FF" w:rsidRPr="00595546">
        <w:rPr>
          <w:rFonts w:asciiTheme="minorHAnsi" w:hAnsiTheme="minorHAnsi" w:cstheme="minorHAnsi"/>
        </w:rPr>
        <w:t xml:space="preserve"> </w:t>
      </w:r>
      <w:r w:rsidRPr="00595546">
        <w:rPr>
          <w:rFonts w:asciiTheme="minorHAnsi" w:hAnsiTheme="minorHAnsi" w:cstheme="minorHAnsi"/>
        </w:rPr>
        <w:t xml:space="preserve">Tilbuddet </w:t>
      </w:r>
      <w:r w:rsidR="00422358" w:rsidRPr="00595546">
        <w:rPr>
          <w:rFonts w:asciiTheme="minorHAnsi" w:hAnsiTheme="minorHAnsi" w:cstheme="minorHAnsi"/>
        </w:rPr>
        <w:t xml:space="preserve">eller </w:t>
      </w:r>
      <w:r w:rsidR="00340F19">
        <w:rPr>
          <w:rFonts w:asciiTheme="minorHAnsi" w:hAnsiTheme="minorHAnsi" w:cstheme="minorHAnsi"/>
        </w:rPr>
        <w:t>bringe det til ophør</w:t>
      </w:r>
      <w:r w:rsidR="00DB522B" w:rsidRPr="00595546">
        <w:rPr>
          <w:rFonts w:asciiTheme="minorHAnsi" w:hAnsiTheme="minorHAnsi" w:cstheme="minorHAnsi"/>
        </w:rPr>
        <w:t xml:space="preserve">, hvis (i) en eller flere af </w:t>
      </w:r>
      <w:r w:rsidR="00595546" w:rsidRPr="00595546">
        <w:rPr>
          <w:rFonts w:asciiTheme="minorHAnsi" w:hAnsiTheme="minorHAnsi" w:cstheme="minorHAnsi"/>
        </w:rPr>
        <w:t xml:space="preserve">Betingelserne </w:t>
      </w:r>
      <w:r w:rsidR="00DB522B" w:rsidRPr="00595546">
        <w:rPr>
          <w:rFonts w:asciiTheme="minorHAnsi" w:hAnsiTheme="minorHAnsi" w:cstheme="minorHAnsi"/>
        </w:rPr>
        <w:t xml:space="preserve">ikke kan opfyldes ved offentliggørelsen af </w:t>
      </w:r>
      <w:r w:rsidR="00595546" w:rsidRPr="00595546">
        <w:rPr>
          <w:rFonts w:asciiTheme="minorHAnsi" w:hAnsiTheme="minorHAnsi" w:cstheme="minorHAnsi"/>
        </w:rPr>
        <w:t>det Endelige Resultat</w:t>
      </w:r>
      <w:r w:rsidR="00DB522B" w:rsidRPr="00595546">
        <w:rPr>
          <w:rFonts w:asciiTheme="minorHAnsi" w:hAnsiTheme="minorHAnsi" w:cstheme="minorHAnsi"/>
        </w:rPr>
        <w:t xml:space="preserve">, dog med den begrænsning, at </w:t>
      </w:r>
      <w:r w:rsidRPr="00595546">
        <w:rPr>
          <w:rFonts w:asciiTheme="minorHAnsi" w:hAnsiTheme="minorHAnsi" w:cstheme="minorHAnsi"/>
        </w:rPr>
        <w:t>Tilbudsgiver</w:t>
      </w:r>
      <w:r w:rsidR="00DB522B" w:rsidRPr="00595546">
        <w:rPr>
          <w:rFonts w:asciiTheme="minorHAnsi" w:hAnsiTheme="minorHAnsi" w:cstheme="minorHAnsi"/>
        </w:rPr>
        <w:t xml:space="preserve">s forpligtelse til at forlænge </w:t>
      </w:r>
      <w:r w:rsidR="00595546" w:rsidRPr="00595546">
        <w:rPr>
          <w:rFonts w:asciiTheme="minorHAnsi" w:hAnsiTheme="minorHAnsi" w:cstheme="minorHAnsi"/>
        </w:rPr>
        <w:t>Tilbudsperioden</w:t>
      </w:r>
      <w:r w:rsidR="003049F1" w:rsidRPr="00595546">
        <w:rPr>
          <w:rFonts w:asciiTheme="minorHAnsi" w:hAnsiTheme="minorHAnsi" w:cstheme="minorHAnsi"/>
        </w:rPr>
        <w:t xml:space="preserve">, hvis en eller flere af de </w:t>
      </w:r>
      <w:r w:rsidR="00595546" w:rsidRPr="00595546">
        <w:rPr>
          <w:rFonts w:asciiTheme="minorHAnsi" w:hAnsiTheme="minorHAnsi" w:cstheme="minorHAnsi"/>
        </w:rPr>
        <w:t xml:space="preserve">Regulatoriske Betingelser </w:t>
      </w:r>
      <w:r w:rsidR="003049F1" w:rsidRPr="00595546">
        <w:rPr>
          <w:rFonts w:asciiTheme="minorHAnsi" w:hAnsiTheme="minorHAnsi" w:cstheme="minorHAnsi"/>
        </w:rPr>
        <w:t xml:space="preserve">(som defineret nedenfor) ikke er opfyldt, </w:t>
      </w:r>
      <w:r w:rsidR="00595546" w:rsidRPr="00595546">
        <w:rPr>
          <w:rFonts w:asciiTheme="minorHAnsi" w:hAnsiTheme="minorHAnsi" w:cstheme="minorHAnsi"/>
        </w:rPr>
        <w:t xml:space="preserve">frafaldet </w:t>
      </w:r>
      <w:r w:rsidR="003049F1" w:rsidRPr="00595546">
        <w:rPr>
          <w:rFonts w:asciiTheme="minorHAnsi" w:hAnsiTheme="minorHAnsi" w:cstheme="minorHAnsi"/>
        </w:rPr>
        <w:t xml:space="preserve">eller ændret ved udløbet af </w:t>
      </w:r>
      <w:r w:rsidR="00595546" w:rsidRPr="00595546">
        <w:rPr>
          <w:rFonts w:asciiTheme="minorHAnsi" w:hAnsiTheme="minorHAnsi" w:cstheme="minorHAnsi"/>
        </w:rPr>
        <w:t>Tilbudsperioden</w:t>
      </w:r>
      <w:r w:rsidR="00DB522B" w:rsidRPr="00595546">
        <w:rPr>
          <w:rFonts w:asciiTheme="minorHAnsi" w:hAnsiTheme="minorHAnsi" w:cstheme="minorHAnsi"/>
        </w:rPr>
        <w:t xml:space="preserve">, ikke finder anvendelse og/eller (ii) i tilfælde af </w:t>
      </w:r>
      <w:r w:rsidR="00595546" w:rsidRPr="00595546">
        <w:rPr>
          <w:rFonts w:asciiTheme="minorHAnsi" w:hAnsiTheme="minorHAnsi" w:cstheme="minorHAnsi"/>
        </w:rPr>
        <w:t xml:space="preserve">Betingelserne </w:t>
      </w:r>
      <w:r w:rsidR="00DB522B" w:rsidRPr="00595546">
        <w:rPr>
          <w:rFonts w:asciiTheme="minorHAnsi" w:hAnsiTheme="minorHAnsi" w:cstheme="minorHAnsi"/>
        </w:rPr>
        <w:t>i punkt (</w:t>
      </w:r>
      <w:r w:rsidR="00AF4EDA" w:rsidRPr="00595546">
        <w:rPr>
          <w:rFonts w:asciiTheme="minorHAnsi" w:hAnsiTheme="minorHAnsi" w:cstheme="minorHAnsi"/>
        </w:rPr>
        <w:t>D</w:t>
      </w:r>
      <w:r w:rsidR="00DB522B" w:rsidRPr="00595546">
        <w:rPr>
          <w:rFonts w:asciiTheme="minorHAnsi" w:hAnsiTheme="minorHAnsi" w:cstheme="minorHAnsi"/>
        </w:rPr>
        <w:t>) til (</w:t>
      </w:r>
      <w:r w:rsidR="00AF4EDA" w:rsidRPr="00595546">
        <w:rPr>
          <w:rFonts w:asciiTheme="minorHAnsi" w:hAnsiTheme="minorHAnsi" w:cstheme="minorHAnsi"/>
        </w:rPr>
        <w:t>K</w:t>
      </w:r>
      <w:r w:rsidR="00DB522B" w:rsidRPr="00595546">
        <w:rPr>
          <w:rFonts w:asciiTheme="minorHAnsi" w:hAnsiTheme="minorHAnsi" w:cstheme="minorHAnsi"/>
        </w:rPr>
        <w:t xml:space="preserve">) i </w:t>
      </w:r>
      <w:r w:rsidR="00516FAF" w:rsidRPr="00595546">
        <w:rPr>
          <w:rFonts w:asciiTheme="minorHAnsi" w:hAnsiTheme="minorHAnsi" w:cstheme="minorHAnsi"/>
        </w:rPr>
        <w:t xml:space="preserve">afsnit 4.9 i </w:t>
      </w:r>
      <w:r w:rsidRPr="00595546">
        <w:rPr>
          <w:rFonts w:asciiTheme="minorHAnsi" w:hAnsiTheme="minorHAnsi" w:cstheme="minorHAnsi"/>
        </w:rPr>
        <w:t>Tilbudsdokumentet</w:t>
      </w:r>
      <w:r w:rsidR="00DB522B" w:rsidRPr="00595546">
        <w:rPr>
          <w:rFonts w:asciiTheme="minorHAnsi" w:hAnsiTheme="minorHAnsi" w:cstheme="minorHAnsi"/>
        </w:rPr>
        <w:t xml:space="preserve">, hvis den begivenhed eller omstændighed, der er omhandlet i en sådan </w:t>
      </w:r>
      <w:r w:rsidR="00595546" w:rsidRPr="00595546">
        <w:rPr>
          <w:rFonts w:asciiTheme="minorHAnsi" w:hAnsiTheme="minorHAnsi" w:cstheme="minorHAnsi"/>
        </w:rPr>
        <w:t>Betingelse</w:t>
      </w:r>
      <w:r w:rsidR="00DB522B" w:rsidRPr="00595546">
        <w:rPr>
          <w:rFonts w:asciiTheme="minorHAnsi" w:hAnsiTheme="minorHAnsi" w:cstheme="minorHAnsi"/>
        </w:rPr>
        <w:t>, er indtrådt.</w:t>
      </w:r>
    </w:p>
    <w:p w14:paraId="54431FD2" w14:textId="77777777" w:rsidR="00587C87" w:rsidRPr="00595546" w:rsidRDefault="00587C87" w:rsidP="00516DB7">
      <w:pPr>
        <w:pStyle w:val="NormalIndent"/>
        <w:jc w:val="both"/>
      </w:pPr>
    </w:p>
    <w:p w14:paraId="3C11A40E" w14:textId="4300B447" w:rsidR="00C409D1" w:rsidRPr="00595546" w:rsidRDefault="00C409D1" w:rsidP="00516DB7">
      <w:pPr>
        <w:pStyle w:val="NormalIndent"/>
        <w:jc w:val="both"/>
      </w:pPr>
      <w:r w:rsidRPr="00595546">
        <w:t xml:space="preserve">Som anført i </w:t>
      </w:r>
      <w:r w:rsidR="00DB44D5" w:rsidRPr="00595546">
        <w:t xml:space="preserve">Tilbudsdokumentet </w:t>
      </w:r>
      <w:r w:rsidRPr="00595546">
        <w:t xml:space="preserve">er </w:t>
      </w:r>
      <w:r w:rsidR="00AD7148" w:rsidRPr="00595546">
        <w:t xml:space="preserve">det </w:t>
      </w:r>
      <w:r w:rsidR="00DB44D5" w:rsidRPr="00595546">
        <w:t>Tilbudsgiver</w:t>
      </w:r>
      <w:r w:rsidR="00AD7148" w:rsidRPr="00595546">
        <w:t xml:space="preserve">s </w:t>
      </w:r>
      <w:r w:rsidRPr="00595546">
        <w:t xml:space="preserve">hensigt at </w:t>
      </w:r>
      <w:r w:rsidR="002E27C4" w:rsidRPr="00595546">
        <w:t xml:space="preserve">indlede </w:t>
      </w:r>
      <w:r w:rsidR="00810C72" w:rsidRPr="00595546">
        <w:t xml:space="preserve">og gennemføre </w:t>
      </w:r>
      <w:r w:rsidR="002E27C4" w:rsidRPr="00595546">
        <w:t xml:space="preserve">en </w:t>
      </w:r>
      <w:r w:rsidR="00595546" w:rsidRPr="00595546">
        <w:t>tvangsindløsning</w:t>
      </w:r>
      <w:r w:rsidR="002E27C4" w:rsidRPr="00595546">
        <w:t xml:space="preserve"> af </w:t>
      </w:r>
      <w:r w:rsidR="00DB44D5" w:rsidRPr="00595546">
        <w:t>Aktier</w:t>
      </w:r>
      <w:r w:rsidR="000C6F65" w:rsidRPr="00595546">
        <w:t xml:space="preserve">, der ejes af de resterende </w:t>
      </w:r>
      <w:r w:rsidR="00DB44D5" w:rsidRPr="00595546">
        <w:t>Aktionærer</w:t>
      </w:r>
      <w:r w:rsidR="00D00560">
        <w:t xml:space="preserve"> efter Gennemførelsen af Tilbuddet</w:t>
      </w:r>
      <w:r w:rsidR="000C6F65" w:rsidRPr="00595546">
        <w:t xml:space="preserve">, og </w:t>
      </w:r>
      <w:r w:rsidRPr="00595546">
        <w:t xml:space="preserve">søge at få </w:t>
      </w:r>
      <w:r w:rsidR="00DB44D5" w:rsidRPr="00595546">
        <w:t xml:space="preserve">Aktierne </w:t>
      </w:r>
      <w:r w:rsidR="00595546" w:rsidRPr="00595546">
        <w:t xml:space="preserve">afnoteret </w:t>
      </w:r>
      <w:r w:rsidRPr="00595546">
        <w:t xml:space="preserve">fra handel og officiel notering på Nasdaq Copenhagen efter </w:t>
      </w:r>
      <w:r w:rsidR="00595546" w:rsidRPr="00595546">
        <w:t xml:space="preserve">Gennemførelsen </w:t>
      </w:r>
      <w:r w:rsidRPr="00595546">
        <w:t xml:space="preserve">af </w:t>
      </w:r>
      <w:r w:rsidR="00DB44D5" w:rsidRPr="00595546">
        <w:t>Tilbuddet</w:t>
      </w:r>
      <w:r w:rsidRPr="00595546">
        <w:t xml:space="preserve">. </w:t>
      </w:r>
    </w:p>
    <w:p w14:paraId="095573A0" w14:textId="629D25C6" w:rsidR="00C409D1" w:rsidRPr="00595546" w:rsidRDefault="00C409D1" w:rsidP="00A05058">
      <w:pPr>
        <w:pStyle w:val="Heading2"/>
        <w:jc w:val="both"/>
      </w:pPr>
      <w:bookmarkStart w:id="16" w:name="_Toc194440303"/>
      <w:bookmarkStart w:id="17" w:name="_Toc218590500"/>
      <w:r w:rsidRPr="00595546">
        <w:rPr>
          <w:lang w:bidi="en-GB"/>
        </w:rPr>
        <w:t xml:space="preserve">Formålet med </w:t>
      </w:r>
      <w:bookmarkEnd w:id="16"/>
      <w:r w:rsidR="00595546">
        <w:rPr>
          <w:lang w:bidi="en-GB"/>
        </w:rPr>
        <w:t>R</w:t>
      </w:r>
      <w:r w:rsidR="00DB44D5" w:rsidRPr="00595546">
        <w:rPr>
          <w:lang w:bidi="en-GB"/>
        </w:rPr>
        <w:t>edegørelsen</w:t>
      </w:r>
      <w:bookmarkEnd w:id="17"/>
    </w:p>
    <w:p w14:paraId="6B8B1C2E" w14:textId="2E9C1B70" w:rsidR="00256DBF" w:rsidRPr="00595546" w:rsidRDefault="003437FA" w:rsidP="00256DBF">
      <w:pPr>
        <w:pStyle w:val="NormalIndent"/>
        <w:jc w:val="both"/>
        <w:rPr>
          <w:lang w:bidi="en-GB"/>
        </w:rPr>
      </w:pPr>
      <w:bookmarkStart w:id="18" w:name="_Ref461701386"/>
      <w:r w:rsidRPr="00595546">
        <w:rPr>
          <w:lang w:bidi="en-GB"/>
        </w:rPr>
        <w:t xml:space="preserve">Denne </w:t>
      </w:r>
      <w:r w:rsidR="00DB44D5" w:rsidRPr="00595546">
        <w:rPr>
          <w:lang w:bidi="en-GB"/>
        </w:rPr>
        <w:t xml:space="preserve">redegørelse </w:t>
      </w:r>
      <w:r w:rsidRPr="00595546">
        <w:rPr>
          <w:lang w:bidi="en-GB"/>
        </w:rPr>
        <w:t>(</w:t>
      </w:r>
      <w:r w:rsidR="00DB44D5" w:rsidRPr="00595546">
        <w:rPr>
          <w:b/>
          <w:bCs/>
          <w:lang w:bidi="en-GB"/>
        </w:rPr>
        <w:t>Redegørelsen</w:t>
      </w:r>
      <w:r w:rsidRPr="00595546">
        <w:rPr>
          <w:lang w:bidi="en-GB"/>
        </w:rPr>
        <w:t xml:space="preserve">) er </w:t>
      </w:r>
      <w:r w:rsidR="00595546" w:rsidRPr="00595546">
        <w:rPr>
          <w:lang w:bidi="en-GB"/>
        </w:rPr>
        <w:t xml:space="preserve">udarbejdet </w:t>
      </w:r>
      <w:r w:rsidRPr="00595546">
        <w:rPr>
          <w:lang w:bidi="en-GB"/>
        </w:rPr>
        <w:t xml:space="preserve">af </w:t>
      </w:r>
      <w:r w:rsidR="00595546" w:rsidRPr="00595546">
        <w:rPr>
          <w:lang w:bidi="en-GB"/>
        </w:rPr>
        <w:t>Bestyrelsen</w:t>
      </w:r>
      <w:r w:rsidR="00DC4944" w:rsidRPr="00595546">
        <w:rPr>
          <w:lang w:bidi="en-GB"/>
        </w:rPr>
        <w:t xml:space="preserve"> </w:t>
      </w:r>
      <w:r w:rsidRPr="00595546">
        <w:rPr>
          <w:lang w:bidi="en-GB"/>
        </w:rPr>
        <w:t>med henblik opfylde</w:t>
      </w:r>
      <w:r w:rsidR="00595546" w:rsidRPr="00595546">
        <w:rPr>
          <w:lang w:bidi="en-GB"/>
        </w:rPr>
        <w:t xml:space="preserve">lse af Bestyrelsens </w:t>
      </w:r>
      <w:r w:rsidRPr="00595546">
        <w:rPr>
          <w:lang w:bidi="en-GB"/>
        </w:rPr>
        <w:t>forpligtelser i henhold til §</w:t>
      </w:r>
      <w:r w:rsidR="00902FFA" w:rsidRPr="00595546">
        <w:rPr>
          <w:lang w:bidi="en-GB"/>
        </w:rPr>
        <w:t xml:space="preserve"> 23 </w:t>
      </w:r>
      <w:r w:rsidRPr="00595546">
        <w:rPr>
          <w:lang w:bidi="en-GB"/>
        </w:rPr>
        <w:t xml:space="preserve">i </w:t>
      </w:r>
      <w:r w:rsidR="00595546" w:rsidRPr="00595546">
        <w:rPr>
          <w:lang w:bidi="en-GB"/>
        </w:rPr>
        <w:t>Overtagelsesbekendtgørelsen</w:t>
      </w:r>
      <w:r w:rsidRPr="00595546">
        <w:rPr>
          <w:lang w:bidi="en-GB"/>
        </w:rPr>
        <w:t xml:space="preserve">, hvorefter bestyrelsen for et dansk børsnoteret selskab, som er genstand for et offentligt overtagelsestilbud, skal </w:t>
      </w:r>
      <w:r w:rsidR="00595546" w:rsidRPr="00595546">
        <w:rPr>
          <w:lang w:bidi="en-GB"/>
        </w:rPr>
        <w:t xml:space="preserve">udarbejde </w:t>
      </w:r>
      <w:r w:rsidRPr="00595546">
        <w:rPr>
          <w:lang w:bidi="en-GB"/>
        </w:rPr>
        <w:t xml:space="preserve">en </w:t>
      </w:r>
      <w:r w:rsidR="00DB44D5" w:rsidRPr="00595546">
        <w:rPr>
          <w:lang w:bidi="en-GB"/>
        </w:rPr>
        <w:t>redegørelse</w:t>
      </w:r>
      <w:r w:rsidRPr="00595546">
        <w:rPr>
          <w:lang w:bidi="en-GB"/>
        </w:rPr>
        <w:t xml:space="preserve">, der redegør for bestyrelsens syn på tilbuddet, begrundelsen for denne holdning, herunder </w:t>
      </w:r>
      <w:r w:rsidR="00595546" w:rsidRPr="00595546">
        <w:rPr>
          <w:lang w:bidi="en-GB"/>
        </w:rPr>
        <w:t xml:space="preserve">bestyrelsens </w:t>
      </w:r>
      <w:r w:rsidRPr="00595546">
        <w:rPr>
          <w:lang w:bidi="en-GB"/>
        </w:rPr>
        <w:t xml:space="preserve">holdning til tilbuddets konsekvenser for alle </w:t>
      </w:r>
      <w:r w:rsidR="00CE7F0D">
        <w:rPr>
          <w:lang w:bidi="en-GB"/>
        </w:rPr>
        <w:t>s</w:t>
      </w:r>
      <w:r w:rsidR="00DB44D5" w:rsidRPr="00595546">
        <w:rPr>
          <w:lang w:bidi="en-GB"/>
        </w:rPr>
        <w:t xml:space="preserve">elskabets </w:t>
      </w:r>
      <w:r w:rsidRPr="00595546">
        <w:rPr>
          <w:lang w:bidi="en-GB"/>
        </w:rPr>
        <w:t xml:space="preserve">interesser og </w:t>
      </w:r>
      <w:r w:rsidR="00CE7F0D">
        <w:rPr>
          <w:lang w:bidi="en-GB"/>
        </w:rPr>
        <w:t>t</w:t>
      </w:r>
      <w:r w:rsidR="00DB44D5" w:rsidRPr="00595546">
        <w:rPr>
          <w:lang w:bidi="en-GB"/>
        </w:rPr>
        <w:t>ilbudsgiver</w:t>
      </w:r>
      <w:r w:rsidRPr="00595546">
        <w:rPr>
          <w:lang w:bidi="en-GB"/>
        </w:rPr>
        <w:t xml:space="preserve">s strategiske planer med målselskabet </w:t>
      </w:r>
      <w:r w:rsidR="00AF0FD0">
        <w:rPr>
          <w:lang w:bidi="en-GB"/>
        </w:rPr>
        <w:t xml:space="preserve">samt disses </w:t>
      </w:r>
      <w:r w:rsidRPr="00595546">
        <w:rPr>
          <w:lang w:bidi="en-GB"/>
        </w:rPr>
        <w:t xml:space="preserve">sandsynlige konsekvenser for beskæftigelsen og for </w:t>
      </w:r>
      <w:r w:rsidR="00595546" w:rsidRPr="00595546">
        <w:rPr>
          <w:lang w:bidi="en-GB"/>
        </w:rPr>
        <w:t>driftsstederne</w:t>
      </w:r>
      <w:r w:rsidRPr="00595546">
        <w:rPr>
          <w:lang w:bidi="en-GB"/>
        </w:rPr>
        <w:t>.</w:t>
      </w:r>
      <w:r w:rsidR="00256DBF" w:rsidRPr="00595546">
        <w:rPr>
          <w:lang w:bidi="en-GB"/>
        </w:rPr>
        <w:br w:type="page"/>
      </w:r>
    </w:p>
    <w:p w14:paraId="5DCFF3B7" w14:textId="77777777" w:rsidR="00C409D1" w:rsidRPr="00595546" w:rsidRDefault="00C409D1" w:rsidP="00A05058">
      <w:pPr>
        <w:pStyle w:val="Heading1"/>
        <w:jc w:val="both"/>
        <w:rPr>
          <w:lang w:bidi="en-GB"/>
        </w:rPr>
      </w:pPr>
      <w:bookmarkStart w:id="19" w:name="_Ref134693911"/>
      <w:bookmarkStart w:id="20" w:name="_Toc194440304"/>
      <w:bookmarkStart w:id="21" w:name="_Toc218590501"/>
      <w:r w:rsidRPr="00595546">
        <w:rPr>
          <w:lang w:bidi="en-GB"/>
        </w:rPr>
        <w:lastRenderedPageBreak/>
        <w:t>Konklusion</w:t>
      </w:r>
      <w:bookmarkEnd w:id="18"/>
      <w:bookmarkEnd w:id="19"/>
      <w:bookmarkEnd w:id="20"/>
      <w:bookmarkEnd w:id="21"/>
    </w:p>
    <w:p w14:paraId="7AED50FA" w14:textId="30C56584" w:rsidR="000D0D6C" w:rsidRPr="00595546" w:rsidRDefault="000D0D6C" w:rsidP="00A05058">
      <w:pPr>
        <w:pStyle w:val="NormalIndent"/>
        <w:jc w:val="both"/>
        <w:rPr>
          <w:lang w:bidi="en-GB"/>
        </w:rPr>
      </w:pPr>
      <w:r w:rsidRPr="00595546">
        <w:rPr>
          <w:lang w:bidi="en-GB"/>
        </w:rPr>
        <w:t xml:space="preserve">På baggrund af analysen af </w:t>
      </w:r>
      <w:r w:rsidR="00DB44D5" w:rsidRPr="00595546">
        <w:rPr>
          <w:lang w:bidi="en-GB"/>
        </w:rPr>
        <w:t>Tilbuddet</w:t>
      </w:r>
      <w:r w:rsidR="00AF0FD0">
        <w:rPr>
          <w:lang w:bidi="en-GB"/>
        </w:rPr>
        <w:t xml:space="preserve"> indeholdt</w:t>
      </w:r>
      <w:r w:rsidRPr="00595546">
        <w:rPr>
          <w:lang w:bidi="en-GB"/>
        </w:rPr>
        <w:t xml:space="preserve"> i </w:t>
      </w:r>
      <w:r w:rsidR="00DB44D5" w:rsidRPr="00595546">
        <w:rPr>
          <w:lang w:bidi="en-GB"/>
        </w:rPr>
        <w:t>Redegørelsen</w:t>
      </w:r>
      <w:r w:rsidRPr="00595546">
        <w:rPr>
          <w:lang w:bidi="en-GB"/>
        </w:rPr>
        <w:t xml:space="preserve"> og under hensyntagen til </w:t>
      </w:r>
      <w:r w:rsidR="007B0B73">
        <w:rPr>
          <w:lang w:bidi="en-GB"/>
        </w:rPr>
        <w:t xml:space="preserve">de </w:t>
      </w:r>
      <w:r w:rsidR="008B1796">
        <w:rPr>
          <w:lang w:bidi="en-GB"/>
        </w:rPr>
        <w:t>m</w:t>
      </w:r>
      <w:r w:rsidR="007B0B73">
        <w:rPr>
          <w:lang w:bidi="en-GB"/>
        </w:rPr>
        <w:t>ed Tilbuddet</w:t>
      </w:r>
      <w:r w:rsidR="008B1796">
        <w:rPr>
          <w:lang w:bidi="en-GB"/>
        </w:rPr>
        <w:t xml:space="preserve"> forbundne</w:t>
      </w:r>
      <w:r w:rsidR="007B0B73">
        <w:rPr>
          <w:lang w:bidi="en-GB"/>
        </w:rPr>
        <w:t xml:space="preserve"> </w:t>
      </w:r>
      <w:r w:rsidRPr="00595546">
        <w:rPr>
          <w:lang w:bidi="en-GB"/>
        </w:rPr>
        <w:t>fordele og ulempe</w:t>
      </w:r>
      <w:r w:rsidR="008B1796">
        <w:rPr>
          <w:lang w:bidi="en-GB"/>
        </w:rPr>
        <w:t>r</w:t>
      </w:r>
      <w:r w:rsidRPr="00595546">
        <w:rPr>
          <w:lang w:bidi="en-GB"/>
        </w:rPr>
        <w:t xml:space="preserve"> for </w:t>
      </w:r>
      <w:r w:rsidR="00DB44D5" w:rsidRPr="00595546">
        <w:rPr>
          <w:lang w:bidi="en-GB"/>
        </w:rPr>
        <w:t xml:space="preserve">Aktionærerne </w:t>
      </w:r>
      <w:r w:rsidRPr="00595546">
        <w:rPr>
          <w:lang w:bidi="en-GB"/>
        </w:rPr>
        <w:t xml:space="preserve">har </w:t>
      </w:r>
      <w:r w:rsidR="00595546" w:rsidRPr="00595546">
        <w:rPr>
          <w:lang w:bidi="en-GB"/>
        </w:rPr>
        <w:t>Bestyrelsen</w:t>
      </w:r>
      <w:r w:rsidR="00DC4944" w:rsidRPr="00595546">
        <w:rPr>
          <w:lang w:bidi="en-GB"/>
        </w:rPr>
        <w:t xml:space="preserve"> </w:t>
      </w:r>
      <w:r w:rsidRPr="00595546">
        <w:rPr>
          <w:lang w:bidi="en-GB"/>
        </w:rPr>
        <w:t xml:space="preserve">enstemmigt besluttet at anbefale </w:t>
      </w:r>
      <w:r w:rsidR="00DB44D5" w:rsidRPr="00595546">
        <w:rPr>
          <w:lang w:bidi="en-GB"/>
        </w:rPr>
        <w:t xml:space="preserve">Aktionærerne </w:t>
      </w:r>
      <w:r w:rsidRPr="00595546">
        <w:rPr>
          <w:lang w:bidi="en-GB"/>
        </w:rPr>
        <w:t xml:space="preserve">at acceptere </w:t>
      </w:r>
      <w:r w:rsidR="00DB44D5" w:rsidRPr="00595546">
        <w:rPr>
          <w:lang w:bidi="en-GB"/>
        </w:rPr>
        <w:t>Tilbuddet</w:t>
      </w:r>
      <w:r w:rsidRPr="00595546">
        <w:rPr>
          <w:lang w:bidi="en-GB"/>
        </w:rPr>
        <w:t>.</w:t>
      </w:r>
    </w:p>
    <w:p w14:paraId="5D3BAF35" w14:textId="77777777" w:rsidR="00DD6B70" w:rsidRPr="00595546" w:rsidRDefault="00DD6B70" w:rsidP="00A05058">
      <w:pPr>
        <w:pStyle w:val="NormalIndent"/>
        <w:jc w:val="both"/>
        <w:rPr>
          <w:lang w:bidi="en-GB"/>
        </w:rPr>
      </w:pPr>
    </w:p>
    <w:p w14:paraId="70FA5E9A" w14:textId="22036EE3" w:rsidR="00DD6B70" w:rsidRPr="00595546" w:rsidRDefault="00DD6B70" w:rsidP="00A05058">
      <w:pPr>
        <w:pStyle w:val="NormalIndent"/>
        <w:jc w:val="both"/>
        <w:rPr>
          <w:lang w:bidi="en-GB"/>
        </w:rPr>
      </w:pPr>
      <w:r w:rsidRPr="00595546">
        <w:rPr>
          <w:lang w:bidi="en-GB"/>
        </w:rPr>
        <w:t xml:space="preserve">I forbindelse med denne beslutning har </w:t>
      </w:r>
      <w:r w:rsidR="00595546" w:rsidRPr="00595546">
        <w:rPr>
          <w:lang w:bidi="en-GB"/>
        </w:rPr>
        <w:t>Bestyrelsen</w:t>
      </w:r>
      <w:r w:rsidRPr="00595546">
        <w:rPr>
          <w:lang w:bidi="en-GB"/>
        </w:rPr>
        <w:t xml:space="preserve"> blandt andet taget følgende i betragtning: </w:t>
      </w:r>
    </w:p>
    <w:p w14:paraId="481AC1DC" w14:textId="77777777" w:rsidR="00DD6B70" w:rsidRPr="00595546" w:rsidRDefault="00DD6B70" w:rsidP="00A05058">
      <w:pPr>
        <w:pStyle w:val="NormalIndent"/>
        <w:jc w:val="both"/>
        <w:rPr>
          <w:lang w:bidi="en-GB"/>
        </w:rPr>
      </w:pPr>
    </w:p>
    <w:p w14:paraId="26263D28" w14:textId="0DA00A1B" w:rsidR="00DD6B70" w:rsidRPr="00595546" w:rsidRDefault="00DD6B70" w:rsidP="00DD6B70">
      <w:pPr>
        <w:pStyle w:val="NormalIndent"/>
        <w:numPr>
          <w:ilvl w:val="0"/>
          <w:numId w:val="48"/>
        </w:numPr>
        <w:rPr>
          <w:lang w:bidi="en-GB"/>
        </w:rPr>
      </w:pPr>
      <w:r w:rsidRPr="00595546">
        <w:rPr>
          <w:lang w:bidi="en-GB"/>
        </w:rPr>
        <w:t>Best</w:t>
      </w:r>
      <w:r w:rsidR="003A7F0F" w:rsidRPr="00595546">
        <w:rPr>
          <w:lang w:bidi="en-GB"/>
        </w:rPr>
        <w:t>y</w:t>
      </w:r>
      <w:r w:rsidRPr="00595546">
        <w:rPr>
          <w:lang w:bidi="en-GB"/>
        </w:rPr>
        <w:t xml:space="preserve">relsen har gennemført en bred </w:t>
      </w:r>
      <w:r w:rsidR="00B1499C">
        <w:rPr>
          <w:lang w:bidi="en-GB"/>
        </w:rPr>
        <w:t xml:space="preserve">konkurrencepræget </w:t>
      </w:r>
      <w:r w:rsidRPr="00595546">
        <w:rPr>
          <w:lang w:bidi="en-GB"/>
        </w:rPr>
        <w:t>salgsproces, hvor den aktivt har undersøgt en række strategiske og finansielle parters potentielle interesse i en transaktion vedrørende Selskabet. På baggrund af de endelige</w:t>
      </w:r>
      <w:r w:rsidR="00B1499C">
        <w:rPr>
          <w:lang w:bidi="en-GB"/>
        </w:rPr>
        <w:t xml:space="preserve"> opnåede</w:t>
      </w:r>
      <w:r w:rsidRPr="00595546">
        <w:rPr>
          <w:lang w:bidi="en-GB"/>
        </w:rPr>
        <w:t xml:space="preserve"> tilbud har </w:t>
      </w:r>
      <w:r w:rsidR="00595546" w:rsidRPr="00595546">
        <w:rPr>
          <w:lang w:bidi="en-GB"/>
        </w:rPr>
        <w:t>Bestyrelsen</w:t>
      </w:r>
      <w:r w:rsidRPr="00595546">
        <w:rPr>
          <w:lang w:bidi="en-GB"/>
        </w:rPr>
        <w:t xml:space="preserve"> </w:t>
      </w:r>
      <w:r w:rsidR="00B1499C">
        <w:rPr>
          <w:lang w:bidi="en-GB"/>
        </w:rPr>
        <w:t xml:space="preserve">efterfølgende </w:t>
      </w:r>
      <w:r w:rsidRPr="00595546">
        <w:rPr>
          <w:lang w:bidi="en-GB"/>
        </w:rPr>
        <w:t xml:space="preserve">indledt yderligere forhandlinger med de parter, der havde afgivet et endeligt tilbud. Bestyrelsen har med bistand fra sine rådgivere været i stand til at forbedre vilkårene i Tilbuddet fra </w:t>
      </w:r>
      <w:r w:rsidR="00DB44D5" w:rsidRPr="00595546">
        <w:rPr>
          <w:lang w:bidi="en-GB"/>
        </w:rPr>
        <w:t>Tilbudsgiver</w:t>
      </w:r>
      <w:r w:rsidRPr="00595546">
        <w:rPr>
          <w:lang w:bidi="en-GB"/>
        </w:rPr>
        <w:t>. Tilbuddet er det mest attraktive endelige tilbud, som Selskabet har modtaget i forbindelse med processen.</w:t>
      </w:r>
      <w:r w:rsidR="003A7F0F" w:rsidRPr="00595546">
        <w:rPr>
          <w:lang w:bidi="en-GB"/>
        </w:rPr>
        <w:t xml:space="preserve"> Se afsnit </w:t>
      </w:r>
      <w:r w:rsidR="003A7F0F" w:rsidRPr="00595546">
        <w:rPr>
          <w:lang w:bidi="en-GB"/>
        </w:rPr>
        <w:fldChar w:fldCharType="begin"/>
      </w:r>
      <w:r w:rsidR="003A7F0F" w:rsidRPr="00595546">
        <w:rPr>
          <w:lang w:bidi="en-GB"/>
        </w:rPr>
        <w:instrText xml:space="preserve"> REF _Ref206831235 \r \h </w:instrText>
      </w:r>
      <w:r w:rsidR="003A7F0F" w:rsidRPr="00595546">
        <w:rPr>
          <w:lang w:bidi="en-GB"/>
        </w:rPr>
      </w:r>
      <w:r w:rsidR="003A7F0F" w:rsidRPr="00595546">
        <w:rPr>
          <w:lang w:bidi="en-GB"/>
        </w:rPr>
        <w:fldChar w:fldCharType="separate"/>
      </w:r>
      <w:r w:rsidR="00433DF7">
        <w:rPr>
          <w:lang w:bidi="en-GB"/>
        </w:rPr>
        <w:t>7</w:t>
      </w:r>
      <w:r w:rsidR="003A7F0F" w:rsidRPr="00595546">
        <w:rPr>
          <w:lang w:bidi="en-GB"/>
        </w:rPr>
        <w:fldChar w:fldCharType="end"/>
      </w:r>
      <w:r w:rsidR="003A7F0F" w:rsidRPr="00595546">
        <w:rPr>
          <w:lang w:bidi="en-GB"/>
        </w:rPr>
        <w:t xml:space="preserve"> nedenfor for yderligere oplysninger om begivenhederne og processen, der har ført til </w:t>
      </w:r>
      <w:r w:rsidR="00DB44D5" w:rsidRPr="00595546">
        <w:rPr>
          <w:lang w:bidi="en-GB"/>
        </w:rPr>
        <w:t>Tilbuddet</w:t>
      </w:r>
      <w:r w:rsidR="003A7F0F" w:rsidRPr="00595546">
        <w:rPr>
          <w:lang w:bidi="en-GB"/>
        </w:rPr>
        <w:t>.</w:t>
      </w:r>
    </w:p>
    <w:p w14:paraId="69FC45C4" w14:textId="77777777" w:rsidR="00DD6B70" w:rsidRPr="00595546" w:rsidRDefault="00DD6B70" w:rsidP="00DD6B70">
      <w:pPr>
        <w:pStyle w:val="NormalIndent"/>
        <w:ind w:left="1571"/>
        <w:rPr>
          <w:lang w:bidi="en-GB"/>
        </w:rPr>
      </w:pPr>
    </w:p>
    <w:p w14:paraId="10C027E7" w14:textId="3E378C2E" w:rsidR="00DD6B70" w:rsidRPr="00595546" w:rsidRDefault="00DB44D5" w:rsidP="00DD6B70">
      <w:pPr>
        <w:pStyle w:val="NormalIndent"/>
        <w:numPr>
          <w:ilvl w:val="0"/>
          <w:numId w:val="48"/>
        </w:numPr>
        <w:rPr>
          <w:lang w:bidi="en-GB"/>
        </w:rPr>
      </w:pPr>
      <w:r w:rsidRPr="00595546">
        <w:rPr>
          <w:lang w:bidi="en-GB"/>
        </w:rPr>
        <w:t xml:space="preserve">Tilbudskursen </w:t>
      </w:r>
      <w:r w:rsidR="00DD6B70" w:rsidRPr="00595546">
        <w:rPr>
          <w:lang w:bidi="en-GB"/>
        </w:rPr>
        <w:t>er attraktiv</w:t>
      </w:r>
      <w:r w:rsidR="00632A4C">
        <w:rPr>
          <w:lang w:bidi="en-GB"/>
        </w:rPr>
        <w:t xml:space="preserve"> svarende til en præmie på </w:t>
      </w:r>
      <w:r w:rsidR="00177ED6">
        <w:rPr>
          <w:lang w:bidi="en-GB"/>
        </w:rPr>
        <w:t>henholdsvis</w:t>
      </w:r>
      <w:r w:rsidR="00177ED6" w:rsidRPr="00177ED6">
        <w:rPr>
          <w:lang w:bidi="en-GB"/>
        </w:rPr>
        <w:t xml:space="preserve"> 35</w:t>
      </w:r>
      <w:r w:rsidR="00177ED6">
        <w:rPr>
          <w:lang w:bidi="en-GB"/>
        </w:rPr>
        <w:t>,</w:t>
      </w:r>
      <w:r w:rsidR="00177ED6" w:rsidRPr="00177ED6">
        <w:rPr>
          <w:lang w:bidi="en-GB"/>
        </w:rPr>
        <w:t>9%, 39</w:t>
      </w:r>
      <w:r w:rsidR="00177ED6">
        <w:rPr>
          <w:lang w:bidi="en-GB"/>
        </w:rPr>
        <w:t>,</w:t>
      </w:r>
      <w:r w:rsidR="00177ED6" w:rsidRPr="00177ED6">
        <w:rPr>
          <w:lang w:bidi="en-GB"/>
        </w:rPr>
        <w:t>8%, 30</w:t>
      </w:r>
      <w:r w:rsidR="00177ED6">
        <w:rPr>
          <w:lang w:bidi="en-GB"/>
        </w:rPr>
        <w:t>,</w:t>
      </w:r>
      <w:r w:rsidR="00177ED6" w:rsidRPr="00177ED6">
        <w:rPr>
          <w:lang w:bidi="en-GB"/>
        </w:rPr>
        <w:t>1%, 35</w:t>
      </w:r>
      <w:r w:rsidR="00177ED6">
        <w:rPr>
          <w:lang w:bidi="en-GB"/>
        </w:rPr>
        <w:t>,</w:t>
      </w:r>
      <w:r w:rsidR="00177ED6" w:rsidRPr="00177ED6">
        <w:rPr>
          <w:lang w:bidi="en-GB"/>
        </w:rPr>
        <w:t xml:space="preserve">9%, </w:t>
      </w:r>
      <w:r w:rsidR="00177ED6">
        <w:rPr>
          <w:lang w:bidi="en-GB"/>
        </w:rPr>
        <w:t>og</w:t>
      </w:r>
      <w:r w:rsidR="00177ED6" w:rsidRPr="00177ED6">
        <w:rPr>
          <w:lang w:bidi="en-GB"/>
        </w:rPr>
        <w:t xml:space="preserve"> 42</w:t>
      </w:r>
      <w:r w:rsidR="00886BA3">
        <w:rPr>
          <w:lang w:bidi="en-GB"/>
        </w:rPr>
        <w:t>,</w:t>
      </w:r>
      <w:r w:rsidR="00177ED6" w:rsidRPr="00177ED6">
        <w:rPr>
          <w:lang w:bidi="en-GB"/>
        </w:rPr>
        <w:t xml:space="preserve">3%, </w:t>
      </w:r>
      <w:r w:rsidR="00DD6B70" w:rsidRPr="00595546">
        <w:rPr>
          <w:lang w:bidi="en-GB"/>
        </w:rPr>
        <w:t>i forhold til den sidste handelsdag før offentliggørelsen af tilbuddet samt den volumenvægtede gennemsnitlige handels</w:t>
      </w:r>
      <w:r w:rsidR="00407272">
        <w:rPr>
          <w:lang w:bidi="en-GB"/>
        </w:rPr>
        <w:t xml:space="preserve">kurs </w:t>
      </w:r>
      <w:r w:rsidR="00DD6B70" w:rsidRPr="00595546">
        <w:rPr>
          <w:lang w:bidi="en-GB"/>
        </w:rPr>
        <w:t xml:space="preserve">for </w:t>
      </w:r>
      <w:r w:rsidRPr="00595546">
        <w:rPr>
          <w:lang w:bidi="en-GB"/>
        </w:rPr>
        <w:t xml:space="preserve">Aktierne </w:t>
      </w:r>
      <w:r w:rsidR="00DD6B70" w:rsidRPr="00595546">
        <w:rPr>
          <w:lang w:bidi="en-GB"/>
        </w:rPr>
        <w:t xml:space="preserve">over en periode på en, tre, seks og tolv måneder, og den giver </w:t>
      </w:r>
      <w:r w:rsidRPr="00595546">
        <w:rPr>
          <w:lang w:bidi="en-GB"/>
        </w:rPr>
        <w:t xml:space="preserve">Aktionærerne </w:t>
      </w:r>
      <w:r w:rsidR="00DD6B70" w:rsidRPr="00595546">
        <w:rPr>
          <w:lang w:bidi="en-GB"/>
        </w:rPr>
        <w:t xml:space="preserve">en høj grad af </w:t>
      </w:r>
      <w:r w:rsidR="00407272">
        <w:rPr>
          <w:lang w:bidi="en-GB"/>
        </w:rPr>
        <w:t>kurs</w:t>
      </w:r>
      <w:r w:rsidR="00DD6B70" w:rsidRPr="00595546">
        <w:rPr>
          <w:lang w:bidi="en-GB"/>
        </w:rPr>
        <w:t>sikkerhed</w:t>
      </w:r>
      <w:r w:rsidR="003A7F0F" w:rsidRPr="00595546">
        <w:rPr>
          <w:lang w:bidi="en-GB"/>
        </w:rPr>
        <w:t xml:space="preserve">. Se afsnit </w:t>
      </w:r>
      <w:r w:rsidR="003A7F0F" w:rsidRPr="00595546">
        <w:rPr>
          <w:lang w:bidi="en-GB"/>
        </w:rPr>
        <w:fldChar w:fldCharType="begin"/>
      </w:r>
      <w:r w:rsidR="003A7F0F" w:rsidRPr="00595546">
        <w:rPr>
          <w:lang w:bidi="en-GB"/>
        </w:rPr>
        <w:instrText xml:space="preserve"> REF _Ref194075176 \r \h </w:instrText>
      </w:r>
      <w:r w:rsidR="003A7F0F" w:rsidRPr="00595546">
        <w:rPr>
          <w:lang w:bidi="en-GB"/>
        </w:rPr>
      </w:r>
      <w:r w:rsidR="003A7F0F" w:rsidRPr="00595546">
        <w:rPr>
          <w:lang w:bidi="en-GB"/>
        </w:rPr>
        <w:fldChar w:fldCharType="separate"/>
      </w:r>
      <w:r w:rsidR="00433DF7">
        <w:rPr>
          <w:lang w:bidi="en-GB"/>
        </w:rPr>
        <w:t>8.2.1</w:t>
      </w:r>
      <w:r w:rsidR="003A7F0F" w:rsidRPr="00595546">
        <w:rPr>
          <w:lang w:bidi="en-GB"/>
        </w:rPr>
        <w:fldChar w:fldCharType="end"/>
      </w:r>
      <w:r w:rsidR="003A7F0F" w:rsidRPr="00595546">
        <w:rPr>
          <w:lang w:bidi="en-GB"/>
        </w:rPr>
        <w:t xml:space="preserve"> nedenfor for yderligere oplysninger om sammenligningen med relevante historiske </w:t>
      </w:r>
      <w:r w:rsidR="00407272">
        <w:rPr>
          <w:lang w:bidi="en-GB"/>
        </w:rPr>
        <w:t>kurser</w:t>
      </w:r>
      <w:r w:rsidR="003A7F0F" w:rsidRPr="00595546">
        <w:rPr>
          <w:lang w:bidi="en-GB"/>
        </w:rPr>
        <w:t xml:space="preserve"> på </w:t>
      </w:r>
      <w:r w:rsidRPr="00595546">
        <w:rPr>
          <w:lang w:bidi="en-GB"/>
        </w:rPr>
        <w:t>Aktierne</w:t>
      </w:r>
      <w:r w:rsidR="003A7F0F" w:rsidRPr="00595546">
        <w:rPr>
          <w:lang w:bidi="en-GB"/>
        </w:rPr>
        <w:t>.</w:t>
      </w:r>
    </w:p>
    <w:p w14:paraId="1E357DC7" w14:textId="77777777" w:rsidR="00DD6B70" w:rsidRPr="00595546" w:rsidRDefault="00DD6B70" w:rsidP="00DD6B70">
      <w:pPr>
        <w:pStyle w:val="NormalIndent"/>
        <w:ind w:left="1571"/>
        <w:rPr>
          <w:lang w:bidi="en-GB"/>
        </w:rPr>
      </w:pPr>
    </w:p>
    <w:p w14:paraId="15389754" w14:textId="309D37D5" w:rsidR="00F358F1" w:rsidRPr="00595546" w:rsidRDefault="00F358F1" w:rsidP="00DD6B70">
      <w:pPr>
        <w:pStyle w:val="NormalIndent"/>
        <w:numPr>
          <w:ilvl w:val="0"/>
          <w:numId w:val="48"/>
        </w:numPr>
        <w:rPr>
          <w:lang w:bidi="en-GB"/>
        </w:rPr>
      </w:pPr>
      <w:r w:rsidRPr="00595546">
        <w:rPr>
          <w:lang w:bidi="en-GB"/>
        </w:rPr>
        <w:t xml:space="preserve">Vurderingen af </w:t>
      </w:r>
      <w:r w:rsidR="00DB44D5" w:rsidRPr="00595546">
        <w:rPr>
          <w:lang w:bidi="en-GB"/>
        </w:rPr>
        <w:t xml:space="preserve">Tilbuddets </w:t>
      </w:r>
      <w:r w:rsidRPr="00595546">
        <w:rPr>
          <w:lang w:bidi="en-GB"/>
        </w:rPr>
        <w:t xml:space="preserve">økonomiske fordele </w:t>
      </w:r>
      <w:r w:rsidR="00DD6B70" w:rsidRPr="00595546">
        <w:rPr>
          <w:lang w:bidi="en-GB"/>
        </w:rPr>
        <w:t xml:space="preserve">har blandt andet taget </w:t>
      </w:r>
      <w:r w:rsidRPr="00595546">
        <w:rPr>
          <w:lang w:bidi="en-GB"/>
        </w:rPr>
        <w:t xml:space="preserve">højde for </w:t>
      </w:r>
      <w:r w:rsidR="00743168" w:rsidRPr="00595546">
        <w:rPr>
          <w:lang w:bidi="en-GB"/>
        </w:rPr>
        <w:t xml:space="preserve">en </w:t>
      </w:r>
      <w:r w:rsidRPr="00595546">
        <w:rPr>
          <w:lang w:bidi="en-GB"/>
        </w:rPr>
        <w:t>skriftlig udtalelse dateret</w:t>
      </w:r>
      <w:r w:rsidR="00905346" w:rsidRPr="00595546">
        <w:rPr>
          <w:lang w:bidi="en-GB"/>
        </w:rPr>
        <w:t xml:space="preserve"> 10. december 2025 </w:t>
      </w:r>
      <w:r w:rsidR="00476C2F" w:rsidRPr="00595546">
        <w:rPr>
          <w:lang w:bidi="en-GB"/>
        </w:rPr>
        <w:t>(</w:t>
      </w:r>
      <w:r w:rsidR="00476C2F" w:rsidRPr="00595546">
        <w:rPr>
          <w:b/>
          <w:bCs/>
          <w:lang w:bidi="en-GB"/>
        </w:rPr>
        <w:t>Fairness Opinion</w:t>
      </w:r>
      <w:r w:rsidR="00476C2F" w:rsidRPr="00595546">
        <w:rPr>
          <w:lang w:bidi="en-GB"/>
        </w:rPr>
        <w:t xml:space="preserve">) </w:t>
      </w:r>
      <w:r w:rsidRPr="00595546">
        <w:rPr>
          <w:lang w:bidi="en-GB"/>
        </w:rPr>
        <w:t xml:space="preserve">fra </w:t>
      </w:r>
      <w:proofErr w:type="spellStart"/>
      <w:r w:rsidR="000B71B9" w:rsidRPr="00595546">
        <w:t>DNB</w:t>
      </w:r>
      <w:proofErr w:type="spellEnd"/>
      <w:r w:rsidR="000B71B9" w:rsidRPr="00595546">
        <w:t xml:space="preserve"> Carnegie Investment Bank, filial af </w:t>
      </w:r>
      <w:proofErr w:type="spellStart"/>
      <w:r w:rsidR="000B71B9" w:rsidRPr="00595546">
        <w:t>DNB</w:t>
      </w:r>
      <w:proofErr w:type="spellEnd"/>
      <w:r w:rsidR="000B71B9" w:rsidRPr="00595546">
        <w:t xml:space="preserve"> Carnegie Investment Bank AB (</w:t>
      </w:r>
      <w:proofErr w:type="spellStart"/>
      <w:r w:rsidR="000B71B9" w:rsidRPr="00595546">
        <w:t>publ</w:t>
      </w:r>
      <w:proofErr w:type="spellEnd"/>
      <w:r w:rsidR="000B71B9" w:rsidRPr="00595546">
        <w:t xml:space="preserve">), Sverige </w:t>
      </w:r>
      <w:r w:rsidRPr="00595546">
        <w:t>(</w:t>
      </w:r>
      <w:proofErr w:type="spellStart"/>
      <w:r w:rsidR="00BB426A" w:rsidRPr="00595546">
        <w:rPr>
          <w:b/>
          <w:bCs/>
        </w:rPr>
        <w:t>DNB</w:t>
      </w:r>
      <w:proofErr w:type="spellEnd"/>
      <w:r w:rsidR="00BB426A" w:rsidRPr="00595546">
        <w:rPr>
          <w:b/>
          <w:bCs/>
        </w:rPr>
        <w:t xml:space="preserve"> Carnegie</w:t>
      </w:r>
      <w:r w:rsidRPr="00595546">
        <w:t xml:space="preserve">), </w:t>
      </w:r>
      <w:r w:rsidRPr="00595546">
        <w:rPr>
          <w:lang w:bidi="en-GB"/>
        </w:rPr>
        <w:t xml:space="preserve">om, at </w:t>
      </w:r>
      <w:r w:rsidR="00113316" w:rsidRPr="00595546">
        <w:t xml:space="preserve">Tilbuddet på denne dato </w:t>
      </w:r>
      <w:r w:rsidR="00113316">
        <w:t xml:space="preserve">baseret på og underlagt </w:t>
      </w:r>
      <w:r w:rsidR="00113316" w:rsidRPr="00595546">
        <w:t xml:space="preserve">de forskellige antagelser, procedurer, overvejelser og begrænsninger og forbehold i forbindelse med </w:t>
      </w:r>
      <w:proofErr w:type="spellStart"/>
      <w:r w:rsidR="00113316" w:rsidRPr="00595546">
        <w:t>DNB</w:t>
      </w:r>
      <w:proofErr w:type="spellEnd"/>
      <w:r w:rsidR="00113316" w:rsidRPr="00595546">
        <w:t xml:space="preserve"> Carnegies gennemgang, som beskrevet i den skriftlige udtalelse, ud fra et finansielt synspunkt </w:t>
      </w:r>
      <w:r w:rsidR="00113316">
        <w:t xml:space="preserve">er </w:t>
      </w:r>
      <w:r w:rsidR="00113316" w:rsidRPr="00595546">
        <w:t>rimeligt for Aktionærerne.</w:t>
      </w:r>
      <w:r w:rsidRPr="00595546">
        <w:rPr>
          <w:lang w:bidi="en-GB"/>
        </w:rPr>
        <w:t xml:space="preserve"> Se afsnit </w:t>
      </w:r>
      <w:r w:rsidR="0085678D" w:rsidRPr="00595546">
        <w:rPr>
          <w:lang w:bidi="en-GB"/>
        </w:rPr>
        <w:fldChar w:fldCharType="begin"/>
      </w:r>
      <w:r w:rsidR="0085678D" w:rsidRPr="00595546">
        <w:rPr>
          <w:lang w:bidi="en-GB"/>
        </w:rPr>
        <w:instrText xml:space="preserve"> REF _Ref216246704 \r \h </w:instrText>
      </w:r>
      <w:r w:rsidR="0085678D" w:rsidRPr="00595546">
        <w:rPr>
          <w:lang w:bidi="en-GB"/>
        </w:rPr>
      </w:r>
      <w:r w:rsidR="0085678D" w:rsidRPr="00595546">
        <w:rPr>
          <w:lang w:bidi="en-GB"/>
        </w:rPr>
        <w:fldChar w:fldCharType="separate"/>
      </w:r>
      <w:r w:rsidR="00433DF7">
        <w:rPr>
          <w:lang w:bidi="en-GB"/>
        </w:rPr>
        <w:t>4.5</w:t>
      </w:r>
      <w:r w:rsidR="0085678D" w:rsidRPr="00595546">
        <w:rPr>
          <w:lang w:bidi="en-GB"/>
        </w:rPr>
        <w:fldChar w:fldCharType="end"/>
      </w:r>
      <w:r w:rsidRPr="00595546">
        <w:rPr>
          <w:lang w:bidi="en-GB"/>
        </w:rPr>
        <w:t xml:space="preserve"> nedenfor for yderligere oplysninger om Fairness Opinion.</w:t>
      </w:r>
    </w:p>
    <w:p w14:paraId="6DF2C5E5" w14:textId="74BD176D" w:rsidR="00C409D1" w:rsidRPr="00595546" w:rsidRDefault="00C409D1" w:rsidP="00D6299E">
      <w:pPr>
        <w:pStyle w:val="DSBodyTextIndent1"/>
        <w:jc w:val="both"/>
      </w:pPr>
    </w:p>
    <w:p w14:paraId="02799BE7" w14:textId="2595553C" w:rsidR="00846A09" w:rsidRPr="00595546" w:rsidRDefault="00846A09" w:rsidP="00846A09">
      <w:pPr>
        <w:pStyle w:val="DSBodyTextIndent1"/>
        <w:jc w:val="both"/>
      </w:pPr>
      <w:r w:rsidRPr="00595546">
        <w:t>Ovenstående konklusion skal læses i sammenhæng med den fuld</w:t>
      </w:r>
      <w:r w:rsidR="00DB44D5" w:rsidRPr="00595546">
        <w:t>stændige</w:t>
      </w:r>
      <w:r w:rsidRPr="00595546">
        <w:t xml:space="preserve"> </w:t>
      </w:r>
      <w:r w:rsidR="00DB44D5" w:rsidRPr="00595546">
        <w:t>Redegørelse</w:t>
      </w:r>
      <w:r w:rsidRPr="00595546">
        <w:t xml:space="preserve">, og efter at </w:t>
      </w:r>
      <w:r w:rsidR="00DB44D5" w:rsidRPr="00595546">
        <w:t>Aktionærerne</w:t>
      </w:r>
      <w:r w:rsidR="00595546" w:rsidRPr="00595546">
        <w:t xml:space="preserve"> </w:t>
      </w:r>
      <w:r w:rsidRPr="00595546">
        <w:t xml:space="preserve">omhyggeligt </w:t>
      </w:r>
      <w:r w:rsidR="00DB44D5" w:rsidRPr="00595546">
        <w:t xml:space="preserve">har </w:t>
      </w:r>
      <w:r w:rsidRPr="00595546">
        <w:t xml:space="preserve">gennemgået og vurderet vilkårene for </w:t>
      </w:r>
      <w:r w:rsidR="00DB44D5" w:rsidRPr="00595546">
        <w:t>Tilbuddet</w:t>
      </w:r>
      <w:r w:rsidRPr="00595546">
        <w:t xml:space="preserve">, som </w:t>
      </w:r>
      <w:r w:rsidR="00DB44D5" w:rsidRPr="00595546">
        <w:t xml:space="preserve">disse </w:t>
      </w:r>
      <w:r w:rsidRPr="00595546">
        <w:t xml:space="preserve">er </w:t>
      </w:r>
      <w:r w:rsidR="00DB44D5" w:rsidRPr="00595546">
        <w:t xml:space="preserve">beskrevet </w:t>
      </w:r>
      <w:r w:rsidRPr="00595546">
        <w:t xml:space="preserve">i </w:t>
      </w:r>
      <w:r w:rsidR="00DB44D5" w:rsidRPr="00595546">
        <w:t>Tilbudsdokumentet</w:t>
      </w:r>
      <w:r w:rsidRPr="00595546">
        <w:t>.</w:t>
      </w:r>
    </w:p>
    <w:p w14:paraId="12A22375" w14:textId="77777777" w:rsidR="000D0D6C" w:rsidRPr="00595546" w:rsidRDefault="000D0D6C" w:rsidP="00A05058">
      <w:pPr>
        <w:pStyle w:val="NormalIndent"/>
        <w:jc w:val="both"/>
        <w:rPr>
          <w:lang w:bidi="en-GB"/>
        </w:rPr>
      </w:pPr>
    </w:p>
    <w:p w14:paraId="269D46BC" w14:textId="77777777" w:rsidR="00595546" w:rsidRPr="00595546" w:rsidRDefault="00595546">
      <w:pPr>
        <w:spacing w:after="160" w:line="259" w:lineRule="auto"/>
      </w:pPr>
      <w:r w:rsidRPr="00595546">
        <w:br w:type="page"/>
      </w:r>
    </w:p>
    <w:p w14:paraId="159ED97B" w14:textId="0882BCE3" w:rsidR="00C409D1" w:rsidRPr="00595546" w:rsidRDefault="00C409D1" w:rsidP="00A05058">
      <w:pPr>
        <w:pStyle w:val="DSBodyTextIndent1"/>
        <w:jc w:val="both"/>
      </w:pPr>
      <w:r w:rsidRPr="00595546">
        <w:lastRenderedPageBreak/>
        <w:t>København</w:t>
      </w:r>
      <w:r w:rsidR="00595546" w:rsidRPr="00595546">
        <w:t>, den 7. januar 2026</w:t>
      </w:r>
    </w:p>
    <w:p w14:paraId="0A09FDC2" w14:textId="77777777" w:rsidR="00C409D1" w:rsidRPr="00595546" w:rsidRDefault="00C409D1" w:rsidP="00A05058">
      <w:pPr>
        <w:pStyle w:val="DSBodyTextIndent1"/>
        <w:jc w:val="both"/>
      </w:pPr>
    </w:p>
    <w:p w14:paraId="072DC045" w14:textId="274E12BD" w:rsidR="007030FE" w:rsidRPr="00595546" w:rsidRDefault="00B86488" w:rsidP="00F56E57">
      <w:pPr>
        <w:pStyle w:val="DSBodyTextIndent1"/>
        <w:jc w:val="both"/>
      </w:pPr>
      <w:r w:rsidRPr="00595546">
        <w:t>Best</w:t>
      </w:r>
      <w:r w:rsidR="00C409D1" w:rsidRPr="00595546">
        <w:t>y</w:t>
      </w:r>
      <w:r w:rsidRPr="00595546">
        <w:t>relsen</w:t>
      </w:r>
    </w:p>
    <w:p w14:paraId="7FEBC3EE" w14:textId="77777777" w:rsidR="00F56E57" w:rsidRPr="00595546" w:rsidRDefault="00F56E57" w:rsidP="00284E3C">
      <w:pPr>
        <w:pStyle w:val="DSBodyTextIndent1"/>
      </w:pPr>
    </w:p>
    <w:p w14:paraId="77781F77" w14:textId="77777777" w:rsidR="00284E3C" w:rsidRPr="00595546" w:rsidRDefault="00284E3C" w:rsidP="00284E3C">
      <w:pPr>
        <w:pStyle w:val="DSBodyTextIndent1"/>
      </w:pPr>
    </w:p>
    <w:p w14:paraId="2BD2C213" w14:textId="77777777" w:rsidR="005312EB" w:rsidRPr="00595546" w:rsidRDefault="005312EB" w:rsidP="00284E3C">
      <w:pPr>
        <w:pStyle w:val="DSBodyTextIndent1"/>
      </w:pPr>
    </w:p>
    <w:p w14:paraId="441CE1BB" w14:textId="77777777" w:rsidR="00C409D1" w:rsidRPr="00595546" w:rsidRDefault="00C409D1" w:rsidP="00284E3C">
      <w:pPr>
        <w:pStyle w:val="DSBodyTextIndent1"/>
      </w:pPr>
      <w:r w:rsidRPr="00595546">
        <w:t>______________________</w:t>
      </w:r>
      <w:r w:rsidRPr="00595546">
        <w:tab/>
        <w:t>______________________</w:t>
      </w:r>
      <w:r w:rsidRPr="00595546">
        <w:tab/>
      </w:r>
    </w:p>
    <w:p w14:paraId="468BFCD5" w14:textId="70A2117D" w:rsidR="00F6113D" w:rsidRPr="00595546" w:rsidRDefault="00682816" w:rsidP="00284E3C">
      <w:pPr>
        <w:pStyle w:val="DSBodyTextIndent1"/>
      </w:pPr>
      <w:r w:rsidRPr="00595546">
        <w:t>Göran Peter Nilsson</w:t>
      </w:r>
      <w:r w:rsidR="00DC6B5E" w:rsidRPr="00595546">
        <w:tab/>
      </w:r>
      <w:r w:rsidR="00F6113D" w:rsidRPr="00595546">
        <w:tab/>
      </w:r>
      <w:r w:rsidR="005D58E7" w:rsidRPr="00595546">
        <w:t>Are Dragesund</w:t>
      </w:r>
    </w:p>
    <w:p w14:paraId="230C88FE" w14:textId="27E881BE" w:rsidR="00C409D1" w:rsidRPr="00595546" w:rsidRDefault="00F6113D" w:rsidP="00284E3C">
      <w:pPr>
        <w:pStyle w:val="DSBodyTextIndent1"/>
      </w:pPr>
      <w:r w:rsidRPr="00595546">
        <w:t>Formand</w:t>
      </w:r>
      <w:r w:rsidR="00C409D1" w:rsidRPr="00595546">
        <w:tab/>
      </w:r>
      <w:r w:rsidRPr="00595546">
        <w:tab/>
        <w:t>Næstformand</w:t>
      </w:r>
      <w:r w:rsidR="00C409D1" w:rsidRPr="00595546">
        <w:tab/>
      </w:r>
    </w:p>
    <w:p w14:paraId="32F04BBF" w14:textId="77777777" w:rsidR="00C409D1" w:rsidRPr="00595546" w:rsidRDefault="00C409D1" w:rsidP="00284E3C">
      <w:pPr>
        <w:pStyle w:val="DSBodyTextIndent1"/>
      </w:pPr>
    </w:p>
    <w:p w14:paraId="5FAC4415" w14:textId="77777777" w:rsidR="005312EB" w:rsidRPr="00595546" w:rsidRDefault="005312EB" w:rsidP="00284E3C">
      <w:pPr>
        <w:pStyle w:val="DSBodyTextIndent1"/>
      </w:pPr>
    </w:p>
    <w:p w14:paraId="47969F33" w14:textId="77777777" w:rsidR="00C409D1" w:rsidRPr="00595546" w:rsidRDefault="00C409D1" w:rsidP="00284E3C">
      <w:pPr>
        <w:pStyle w:val="DSBodyTextIndent1"/>
      </w:pPr>
    </w:p>
    <w:p w14:paraId="546BF713" w14:textId="77777777" w:rsidR="00604BB3" w:rsidRPr="00595546" w:rsidRDefault="00604BB3" w:rsidP="00284E3C">
      <w:pPr>
        <w:pStyle w:val="DSBodyTextIndent1"/>
      </w:pPr>
      <w:r w:rsidRPr="00595546">
        <w:t>______________________</w:t>
      </w:r>
      <w:r w:rsidRPr="00595546">
        <w:tab/>
        <w:t>______________________</w:t>
      </w:r>
      <w:r w:rsidRPr="00595546">
        <w:tab/>
      </w:r>
    </w:p>
    <w:p w14:paraId="786645EF" w14:textId="03A2CD72" w:rsidR="00C409D1" w:rsidRPr="00595546" w:rsidRDefault="005D58E7" w:rsidP="00284E3C">
      <w:pPr>
        <w:pStyle w:val="DSBodyTextIndent1"/>
      </w:pPr>
      <w:r w:rsidRPr="00595546">
        <w:t xml:space="preserve">Ole Kristian </w:t>
      </w:r>
      <w:proofErr w:type="spellStart"/>
      <w:r w:rsidRPr="00595546">
        <w:t>Jødahl</w:t>
      </w:r>
      <w:proofErr w:type="spellEnd"/>
      <w:r w:rsidRPr="00595546">
        <w:t xml:space="preserve"> </w:t>
      </w:r>
      <w:r w:rsidR="00604BB3" w:rsidRPr="00595546">
        <w:tab/>
      </w:r>
      <w:r w:rsidR="00DC6B5E" w:rsidRPr="00595546">
        <w:tab/>
      </w:r>
      <w:r w:rsidRPr="00595546">
        <w:t xml:space="preserve">Franck </w:t>
      </w:r>
      <w:proofErr w:type="spellStart"/>
      <w:r w:rsidRPr="00595546">
        <w:t>Falezan</w:t>
      </w:r>
      <w:proofErr w:type="spellEnd"/>
      <w:r w:rsidR="00604BB3" w:rsidRPr="00595546">
        <w:tab/>
      </w:r>
    </w:p>
    <w:p w14:paraId="10498F33" w14:textId="77777777" w:rsidR="00604BB3" w:rsidRPr="00595546" w:rsidRDefault="00604BB3" w:rsidP="00284E3C">
      <w:pPr>
        <w:pStyle w:val="DSBodyTextIndent1"/>
      </w:pPr>
    </w:p>
    <w:p w14:paraId="68904599" w14:textId="77777777" w:rsidR="005312EB" w:rsidRPr="00595546" w:rsidRDefault="005312EB" w:rsidP="00284E3C">
      <w:pPr>
        <w:pStyle w:val="DSBodyTextIndent1"/>
      </w:pPr>
    </w:p>
    <w:p w14:paraId="21DE9A07" w14:textId="77777777" w:rsidR="00604BB3" w:rsidRPr="00595546" w:rsidRDefault="00604BB3" w:rsidP="00284E3C">
      <w:pPr>
        <w:pStyle w:val="DSBodyTextIndent1"/>
      </w:pPr>
    </w:p>
    <w:p w14:paraId="71075AE3" w14:textId="77777777" w:rsidR="00604BB3" w:rsidRPr="00CD11F8" w:rsidRDefault="00604BB3" w:rsidP="00284E3C">
      <w:pPr>
        <w:pStyle w:val="DSBodyTextIndent1"/>
        <w:rPr>
          <w:lang w:val="sv-SE"/>
        </w:rPr>
      </w:pPr>
      <w:r w:rsidRPr="00CD11F8">
        <w:rPr>
          <w:lang w:val="sv-SE"/>
        </w:rPr>
        <w:t>______________________</w:t>
      </w:r>
      <w:r w:rsidRPr="00CD11F8">
        <w:rPr>
          <w:lang w:val="sv-SE"/>
        </w:rPr>
        <w:tab/>
        <w:t>______________________</w:t>
      </w:r>
      <w:r w:rsidRPr="00CD11F8">
        <w:rPr>
          <w:lang w:val="sv-SE"/>
        </w:rPr>
        <w:tab/>
      </w:r>
    </w:p>
    <w:p w14:paraId="42369B9E" w14:textId="5DDD38B1" w:rsidR="00604BB3" w:rsidRPr="00CD11F8" w:rsidRDefault="005D58E7" w:rsidP="00284E3C">
      <w:pPr>
        <w:pStyle w:val="DSBodyTextIndent1"/>
        <w:rPr>
          <w:lang w:val="sv-SE"/>
        </w:rPr>
      </w:pPr>
      <w:r w:rsidRPr="00CD11F8">
        <w:rPr>
          <w:lang w:val="sv-SE"/>
        </w:rPr>
        <w:t>Viveka Marianne Ekberg</w:t>
      </w:r>
      <w:r w:rsidR="00604BB3" w:rsidRPr="00CD11F8">
        <w:rPr>
          <w:lang w:val="sv-SE"/>
        </w:rPr>
        <w:tab/>
      </w:r>
      <w:r w:rsidRPr="00CD11F8">
        <w:rPr>
          <w:lang w:val="sv-SE"/>
        </w:rPr>
        <w:t>Bengt Anders Lennart Thorsson</w:t>
      </w:r>
    </w:p>
    <w:p w14:paraId="43FCDEA1" w14:textId="77777777" w:rsidR="00604BB3" w:rsidRPr="00CD11F8" w:rsidRDefault="00604BB3" w:rsidP="00284E3C">
      <w:pPr>
        <w:pStyle w:val="DSBodyTextIndent1"/>
        <w:rPr>
          <w:lang w:val="sv-SE"/>
        </w:rPr>
      </w:pPr>
    </w:p>
    <w:p w14:paraId="56F5A559" w14:textId="77777777" w:rsidR="00604BB3" w:rsidRPr="00CD11F8" w:rsidRDefault="00604BB3" w:rsidP="00284E3C">
      <w:pPr>
        <w:pStyle w:val="DSBodyTextIndent1"/>
        <w:rPr>
          <w:lang w:val="sv-SE"/>
        </w:rPr>
      </w:pPr>
    </w:p>
    <w:p w14:paraId="15B17964" w14:textId="77777777" w:rsidR="005312EB" w:rsidRPr="00CD11F8" w:rsidRDefault="005312EB" w:rsidP="00284E3C">
      <w:pPr>
        <w:pStyle w:val="DSBodyTextIndent1"/>
        <w:rPr>
          <w:lang w:val="sv-SE"/>
        </w:rPr>
      </w:pPr>
    </w:p>
    <w:p w14:paraId="28D51F86" w14:textId="77777777" w:rsidR="00604BB3" w:rsidRPr="00595546" w:rsidRDefault="00604BB3" w:rsidP="00284E3C">
      <w:pPr>
        <w:pStyle w:val="DSBodyTextIndent1"/>
      </w:pPr>
      <w:r w:rsidRPr="00595546">
        <w:t>______________________</w:t>
      </w:r>
      <w:r w:rsidRPr="00595546">
        <w:tab/>
        <w:t>______________________</w:t>
      </w:r>
      <w:r w:rsidRPr="00595546">
        <w:tab/>
      </w:r>
    </w:p>
    <w:p w14:paraId="13272981" w14:textId="5334B32F" w:rsidR="00604BB3" w:rsidRPr="00595546" w:rsidRDefault="008E59F5" w:rsidP="00284E3C">
      <w:pPr>
        <w:pStyle w:val="DSBodyTextIndent1"/>
      </w:pPr>
      <w:r w:rsidRPr="00595546">
        <w:t>Gerner Raj Andersen</w:t>
      </w:r>
      <w:r w:rsidR="00F6113D" w:rsidRPr="00595546">
        <w:tab/>
      </w:r>
      <w:r w:rsidR="00604BB3" w:rsidRPr="00595546">
        <w:tab/>
      </w:r>
      <w:r w:rsidRPr="00595546">
        <w:t>Marcus Faber Kappendrup</w:t>
      </w:r>
      <w:r w:rsidR="00604BB3" w:rsidRPr="00595546">
        <w:tab/>
      </w:r>
    </w:p>
    <w:p w14:paraId="761149CF" w14:textId="77777777" w:rsidR="00604BB3" w:rsidRPr="00595546" w:rsidRDefault="00604BB3" w:rsidP="00284E3C">
      <w:pPr>
        <w:pStyle w:val="DSBodyTextIndent1"/>
      </w:pPr>
    </w:p>
    <w:p w14:paraId="4C7A67B9" w14:textId="77777777" w:rsidR="007030FE" w:rsidRPr="00595546" w:rsidRDefault="007030FE" w:rsidP="00284E3C">
      <w:pPr>
        <w:pStyle w:val="DSBodyTextIndent1"/>
      </w:pPr>
    </w:p>
    <w:p w14:paraId="38E94710" w14:textId="77777777" w:rsidR="005312EB" w:rsidRPr="00595546" w:rsidRDefault="005312EB" w:rsidP="00284E3C">
      <w:pPr>
        <w:pStyle w:val="DSBodyTextIndent1"/>
      </w:pPr>
    </w:p>
    <w:p w14:paraId="142D4FD9" w14:textId="77777777" w:rsidR="007030FE" w:rsidRPr="00595546" w:rsidRDefault="007030FE" w:rsidP="00284E3C">
      <w:pPr>
        <w:pStyle w:val="DSBodyTextIndent1"/>
      </w:pPr>
      <w:r w:rsidRPr="00595546">
        <w:t>______________________</w:t>
      </w:r>
      <w:r w:rsidRPr="00595546">
        <w:tab/>
        <w:t>______________________</w:t>
      </w:r>
      <w:r w:rsidRPr="00595546">
        <w:tab/>
      </w:r>
    </w:p>
    <w:p w14:paraId="300B67DE" w14:textId="461C5D93" w:rsidR="00251858" w:rsidRPr="00595546" w:rsidRDefault="008E59F5" w:rsidP="00284E3C">
      <w:pPr>
        <w:pStyle w:val="DSBodyTextIndent1"/>
      </w:pPr>
      <w:r w:rsidRPr="00595546">
        <w:t>Wannie Kristina Trolle Hansen</w:t>
      </w:r>
      <w:r w:rsidR="007030FE" w:rsidRPr="00595546">
        <w:tab/>
      </w:r>
      <w:r w:rsidR="00251858" w:rsidRPr="00595546">
        <w:t>Alexander Kjær Rasmussen</w:t>
      </w:r>
      <w:bookmarkStart w:id="22" w:name="_Toc194440305"/>
      <w:r w:rsidR="00251858" w:rsidRPr="00595546">
        <w:br w:type="page"/>
      </w:r>
    </w:p>
    <w:p w14:paraId="3B546B37" w14:textId="1A950631" w:rsidR="00C409D1" w:rsidRPr="00595546" w:rsidRDefault="00C409D1" w:rsidP="00A05058">
      <w:pPr>
        <w:pStyle w:val="Heading1"/>
        <w:jc w:val="both"/>
      </w:pPr>
      <w:bookmarkStart w:id="23" w:name="_Toc218590502"/>
      <w:r w:rsidRPr="00595546">
        <w:lastRenderedPageBreak/>
        <w:t xml:space="preserve">Grundlag for </w:t>
      </w:r>
      <w:bookmarkEnd w:id="22"/>
      <w:r w:rsidR="00DB44D5" w:rsidRPr="00595546">
        <w:t>Redegørelsen</w:t>
      </w:r>
      <w:bookmarkEnd w:id="23"/>
    </w:p>
    <w:p w14:paraId="30A20369" w14:textId="49C184ED" w:rsidR="00C409D1" w:rsidRPr="00595546" w:rsidRDefault="00C409D1" w:rsidP="00A05058">
      <w:pPr>
        <w:pStyle w:val="DSBodyTextIndent1"/>
        <w:jc w:val="both"/>
        <w:rPr>
          <w:b/>
          <w:bCs/>
        </w:rPr>
      </w:pPr>
      <w:r w:rsidRPr="00595546">
        <w:t xml:space="preserve">Ved udarbejdelsen af denne </w:t>
      </w:r>
      <w:r w:rsidR="00DB44D5" w:rsidRPr="00595546">
        <w:t xml:space="preserve">Redegørelse </w:t>
      </w:r>
      <w:r w:rsidR="00AD3CB1" w:rsidRPr="00595546">
        <w:t xml:space="preserve">har </w:t>
      </w:r>
      <w:r w:rsidR="00595546" w:rsidRPr="00595546">
        <w:t>Bestyrelsen</w:t>
      </w:r>
      <w:r w:rsidR="00B86488" w:rsidRPr="00595546">
        <w:t xml:space="preserve"> </w:t>
      </w:r>
      <w:r w:rsidRPr="00595546">
        <w:t xml:space="preserve">især taget følgende dokumenter og oplysninger i betragtning: </w:t>
      </w:r>
    </w:p>
    <w:p w14:paraId="5269923C" w14:textId="77777777" w:rsidR="00C409D1" w:rsidRPr="00595546" w:rsidRDefault="00C409D1" w:rsidP="00A05058">
      <w:pPr>
        <w:spacing w:after="160" w:line="259" w:lineRule="auto"/>
        <w:jc w:val="both"/>
      </w:pPr>
    </w:p>
    <w:p w14:paraId="4620D195" w14:textId="3B338854" w:rsidR="00892441" w:rsidRPr="00595546" w:rsidRDefault="00892441" w:rsidP="00892441">
      <w:pPr>
        <w:pStyle w:val="DSNumberedListI"/>
        <w:jc w:val="both"/>
      </w:pPr>
      <w:r w:rsidRPr="00595546">
        <w:t>Tilbudsdokumentet</w:t>
      </w:r>
      <w:r w:rsidR="00C20C6C">
        <w:t>;</w:t>
      </w:r>
    </w:p>
    <w:p w14:paraId="74151B6A" w14:textId="4301D702" w:rsidR="00892441" w:rsidRPr="00595546" w:rsidRDefault="00DB44D5" w:rsidP="00892441">
      <w:pPr>
        <w:pStyle w:val="DSNumberedListI"/>
        <w:jc w:val="both"/>
      </w:pPr>
      <w:r w:rsidRPr="00595546">
        <w:t>Offentliggørelsesaftalen</w:t>
      </w:r>
      <w:r w:rsidR="00C20C6C">
        <w:t>;</w:t>
      </w:r>
    </w:p>
    <w:p w14:paraId="68C9ACFD" w14:textId="38A22F0F" w:rsidR="00892441" w:rsidRPr="00595546" w:rsidRDefault="00892441" w:rsidP="00892441">
      <w:pPr>
        <w:pStyle w:val="DSNumberedListI"/>
        <w:jc w:val="both"/>
      </w:pPr>
      <w:r w:rsidRPr="00595546">
        <w:t>Fairness Opinion</w:t>
      </w:r>
      <w:r w:rsidR="00C20C6C">
        <w:t>;</w:t>
      </w:r>
    </w:p>
    <w:p w14:paraId="1BFE4CF0" w14:textId="46AE1945" w:rsidR="00892441" w:rsidRPr="00595546" w:rsidRDefault="00CB50E5" w:rsidP="00892441">
      <w:pPr>
        <w:pStyle w:val="DSNumberedListI"/>
        <w:jc w:val="both"/>
      </w:pPr>
      <w:r>
        <w:t>Selskabets å</w:t>
      </w:r>
      <w:r w:rsidR="00892441" w:rsidRPr="00595546">
        <w:t>rsrapport for regnskabsåret 1. januar 2024 – 31. december 2024 (</w:t>
      </w:r>
      <w:r w:rsidR="00B25DC5" w:rsidRPr="00B25DC5">
        <w:rPr>
          <w:b/>
          <w:bCs/>
        </w:rPr>
        <w:t>2024</w:t>
      </w:r>
      <w:r w:rsidR="00B25DC5">
        <w:t xml:space="preserve"> </w:t>
      </w:r>
      <w:r w:rsidR="00B25DC5">
        <w:rPr>
          <w:b/>
        </w:rPr>
        <w:t>Å</w:t>
      </w:r>
      <w:r w:rsidR="00892441" w:rsidRPr="00595546">
        <w:rPr>
          <w:b/>
        </w:rPr>
        <w:t>rsrapporten</w:t>
      </w:r>
      <w:r w:rsidR="00892441" w:rsidRPr="00595546">
        <w:t>)</w:t>
      </w:r>
      <w:r w:rsidR="00C20C6C">
        <w:t>;</w:t>
      </w:r>
    </w:p>
    <w:p w14:paraId="75A518B4" w14:textId="146DBAF4" w:rsidR="005F182A" w:rsidRPr="00595546" w:rsidRDefault="00CB50E5" w:rsidP="00892441">
      <w:pPr>
        <w:pStyle w:val="DSNumberedListI"/>
        <w:jc w:val="both"/>
      </w:pPr>
      <w:r>
        <w:t>Selskabets k</w:t>
      </w:r>
      <w:r w:rsidR="008C48ED">
        <w:t>vartals</w:t>
      </w:r>
      <w:r w:rsidR="00892441" w:rsidRPr="00595546">
        <w:t>rapport for</w:t>
      </w:r>
      <w:r w:rsidR="00184024" w:rsidRPr="00595546">
        <w:t xml:space="preserve"> 3. kvartal</w:t>
      </w:r>
      <w:r w:rsidR="00892441" w:rsidRPr="00595546">
        <w:t xml:space="preserve"> 2025 (</w:t>
      </w:r>
      <w:r w:rsidR="008C48ED" w:rsidRPr="008C48ED">
        <w:rPr>
          <w:b/>
          <w:bCs/>
        </w:rPr>
        <w:t>Kvartalsr</w:t>
      </w:r>
      <w:r w:rsidR="00892441" w:rsidRPr="00595546">
        <w:rPr>
          <w:b/>
          <w:bCs/>
        </w:rPr>
        <w:t>apporten for</w:t>
      </w:r>
      <w:r w:rsidR="00184024" w:rsidRPr="00595546">
        <w:rPr>
          <w:b/>
          <w:bCs/>
        </w:rPr>
        <w:t xml:space="preserve"> 3. kvartal</w:t>
      </w:r>
      <w:r w:rsidR="00892441" w:rsidRPr="00595546">
        <w:rPr>
          <w:b/>
          <w:bCs/>
        </w:rPr>
        <w:t xml:space="preserve"> 2025</w:t>
      </w:r>
      <w:r w:rsidR="00892441" w:rsidRPr="00595546">
        <w:t>)</w:t>
      </w:r>
      <w:r w:rsidR="00C20C6C">
        <w:t>;</w:t>
      </w:r>
    </w:p>
    <w:p w14:paraId="05DA63AA" w14:textId="04D03099" w:rsidR="00892441" w:rsidRPr="00595546" w:rsidRDefault="005F182A" w:rsidP="00892441">
      <w:pPr>
        <w:pStyle w:val="DSNumberedListI"/>
        <w:jc w:val="both"/>
      </w:pPr>
      <w:r w:rsidRPr="00595546">
        <w:t>Selskabets selskabsmeddelelse nr.</w:t>
      </w:r>
      <w:r w:rsidR="00A0320D" w:rsidRPr="00595546">
        <w:t xml:space="preserve"> 15/2025 (</w:t>
      </w:r>
      <w:r w:rsidR="00B25DC5">
        <w:rPr>
          <w:b/>
          <w:bCs/>
        </w:rPr>
        <w:t>M</w:t>
      </w:r>
      <w:r w:rsidR="00A0320D" w:rsidRPr="00595546">
        <w:rPr>
          <w:b/>
          <w:bCs/>
        </w:rPr>
        <w:t>eddelelse 15/2025</w:t>
      </w:r>
      <w:r w:rsidR="00A0320D" w:rsidRPr="00595546">
        <w:t>)</w:t>
      </w:r>
      <w:r w:rsidR="00892441" w:rsidRPr="00595546">
        <w:t xml:space="preserve">; </w:t>
      </w:r>
      <w:r w:rsidR="00D555DA" w:rsidRPr="00595546">
        <w:t>og</w:t>
      </w:r>
    </w:p>
    <w:p w14:paraId="546524F9" w14:textId="012D9F28" w:rsidR="00846A09" w:rsidRPr="00595546" w:rsidRDefault="00892441" w:rsidP="00EE3553">
      <w:pPr>
        <w:pStyle w:val="DSNumberedListI"/>
        <w:jc w:val="both"/>
      </w:pPr>
      <w:r w:rsidRPr="00595546">
        <w:t xml:space="preserve">Rådgivning ydet af </w:t>
      </w:r>
      <w:r w:rsidR="00676F72" w:rsidRPr="00595546">
        <w:t xml:space="preserve">Krogerus, </w:t>
      </w:r>
      <w:r w:rsidR="00DB44D5" w:rsidRPr="00595546">
        <w:t xml:space="preserve">Selskabets </w:t>
      </w:r>
      <w:r w:rsidR="00676F72" w:rsidRPr="00595546">
        <w:t xml:space="preserve">internationale juridiske rådgiver, og </w:t>
      </w:r>
      <w:r w:rsidRPr="00595546">
        <w:t xml:space="preserve">Kromann Reumert, </w:t>
      </w:r>
      <w:r w:rsidR="00DB44D5" w:rsidRPr="00595546">
        <w:t xml:space="preserve">Selskabets </w:t>
      </w:r>
      <w:r w:rsidRPr="00595546">
        <w:t>danske juridiske rådgiver.</w:t>
      </w:r>
    </w:p>
    <w:p w14:paraId="1FADB5CA" w14:textId="77777777" w:rsidR="00C409D1" w:rsidRPr="00595546" w:rsidRDefault="00C409D1" w:rsidP="00A05058">
      <w:pPr>
        <w:spacing w:after="160" w:line="259" w:lineRule="auto"/>
        <w:jc w:val="both"/>
      </w:pPr>
    </w:p>
    <w:p w14:paraId="6623DC66" w14:textId="77777777" w:rsidR="00C409D1" w:rsidRPr="00595546" w:rsidRDefault="00C409D1" w:rsidP="00A05058">
      <w:pPr>
        <w:spacing w:after="160" w:line="259" w:lineRule="auto"/>
        <w:jc w:val="both"/>
        <w:rPr>
          <w:b/>
        </w:rPr>
      </w:pPr>
      <w:r w:rsidRPr="00595546">
        <w:br w:type="page"/>
      </w:r>
    </w:p>
    <w:p w14:paraId="08CB22FA" w14:textId="449070D1" w:rsidR="00C409D1" w:rsidRPr="00595546" w:rsidRDefault="00C409D1" w:rsidP="00A05058">
      <w:pPr>
        <w:pStyle w:val="Heading1"/>
        <w:jc w:val="both"/>
        <w:rPr>
          <w:lang w:bidi="en-GB"/>
        </w:rPr>
      </w:pPr>
      <w:bookmarkStart w:id="24" w:name="_Toc194440306"/>
      <w:bookmarkStart w:id="25" w:name="_Toc218590503"/>
      <w:r w:rsidRPr="00595546">
        <w:rPr>
          <w:lang w:bidi="en-GB"/>
        </w:rPr>
        <w:lastRenderedPageBreak/>
        <w:t xml:space="preserve">baggrunden for </w:t>
      </w:r>
      <w:r w:rsidR="006001DE" w:rsidRPr="00595546">
        <w:t xml:space="preserve">bestyrelsens </w:t>
      </w:r>
      <w:r w:rsidRPr="00595546">
        <w:rPr>
          <w:lang w:bidi="en-GB"/>
        </w:rPr>
        <w:t>analyse af tilbuddet</w:t>
      </w:r>
      <w:bookmarkEnd w:id="24"/>
      <w:bookmarkEnd w:id="25"/>
    </w:p>
    <w:p w14:paraId="74099633" w14:textId="66344E03" w:rsidR="00C409D1" w:rsidRPr="00595546" w:rsidRDefault="006001DE" w:rsidP="00A05058">
      <w:pPr>
        <w:pStyle w:val="Heading2"/>
        <w:jc w:val="both"/>
      </w:pPr>
      <w:bookmarkStart w:id="26" w:name="_Toc132975977"/>
      <w:bookmarkStart w:id="27" w:name="_Toc194440307"/>
      <w:bookmarkStart w:id="28" w:name="_Toc218590504"/>
      <w:r w:rsidRPr="00595546">
        <w:rPr>
          <w:lang w:bidi="en-GB"/>
        </w:rPr>
        <w:t xml:space="preserve">Selskabets </w:t>
      </w:r>
      <w:r w:rsidR="00C409D1" w:rsidRPr="00595546">
        <w:rPr>
          <w:lang w:bidi="en-GB"/>
        </w:rPr>
        <w:t>aktiviteter</w:t>
      </w:r>
      <w:bookmarkEnd w:id="26"/>
      <w:r w:rsidR="00C409D1" w:rsidRPr="00595546">
        <w:rPr>
          <w:lang w:bidi="en-GB"/>
        </w:rPr>
        <w:t xml:space="preserve"> og strategi</w:t>
      </w:r>
      <w:bookmarkEnd w:id="27"/>
      <w:bookmarkEnd w:id="28"/>
    </w:p>
    <w:p w14:paraId="1204A355" w14:textId="3ECB7F67" w:rsidR="004A7653" w:rsidRPr="00595546" w:rsidRDefault="004A7653" w:rsidP="004A7653">
      <w:pPr>
        <w:pStyle w:val="DSBodyTextIndent1"/>
        <w:jc w:val="both"/>
      </w:pPr>
      <w:bookmarkStart w:id="29" w:name="_Toc132975978"/>
      <w:r w:rsidRPr="00595546">
        <w:t xml:space="preserve">Selskabet blev grundlagt i 1906 af den danske ingeniør P.A. Fisker. I dag er </w:t>
      </w:r>
      <w:r w:rsidR="00DB44D5" w:rsidRPr="00595546">
        <w:t xml:space="preserve">Selskabet </w:t>
      </w:r>
      <w:r w:rsidRPr="00595546">
        <w:t>en førende global leverandør af professionelt rengøringsudstyr og -service. Mere end 90 % af omsætningen kommer fra salg til professionelle, mens den resterende del af forretningen, der er rettet mod forbrugere, omfatter gulvplejeudstyr, støvsugere og højtryksrensere.</w:t>
      </w:r>
    </w:p>
    <w:p w14:paraId="5435AB19" w14:textId="77777777" w:rsidR="004A7653" w:rsidRPr="00595546" w:rsidRDefault="004A7653" w:rsidP="00EA6FAF">
      <w:pPr>
        <w:pStyle w:val="DSBodyTextIndent1"/>
        <w:jc w:val="both"/>
      </w:pPr>
    </w:p>
    <w:p w14:paraId="56FAA5A1" w14:textId="0CDA029E" w:rsidR="004A7653" w:rsidRPr="00595546" w:rsidRDefault="004A7653" w:rsidP="00EA6FAF">
      <w:pPr>
        <w:pStyle w:val="DSBodyTextIndent1"/>
        <w:jc w:val="both"/>
      </w:pPr>
      <w:r w:rsidRPr="00595546">
        <w:t xml:space="preserve">Selskabets produkter og tjenester sælges i mere end 100 lande og produceres på 6 produktionssteder over hele verden. De vigtigste produktionsfaciliteter ligger i USA, Mexico, Ungarn, Italien og Kina. I alt ca. 4.500 medarbejdere sikrede en omsætning på 1.027,9 mio. </w:t>
      </w:r>
      <w:proofErr w:type="spellStart"/>
      <w:r w:rsidRPr="00595546">
        <w:t>EUR</w:t>
      </w:r>
      <w:proofErr w:type="spellEnd"/>
      <w:r w:rsidRPr="00595546">
        <w:t xml:space="preserve"> i 2024. Det største enkeltmarked er USA, der dækker 28 % af omsætningen i 2024, efterfulgt af Tyskland (14 %), Frankrig (10 %), Danmark (7 %) og Storbritannien (4 %).</w:t>
      </w:r>
    </w:p>
    <w:p w14:paraId="76BAEFF3" w14:textId="32FCDDDB" w:rsidR="00C409D1" w:rsidRPr="00595546" w:rsidRDefault="00C409D1" w:rsidP="00A05058">
      <w:pPr>
        <w:pStyle w:val="Heading2"/>
        <w:jc w:val="both"/>
      </w:pPr>
      <w:bookmarkStart w:id="30" w:name="_Toc193789802"/>
      <w:bookmarkStart w:id="31" w:name="_Toc194440308"/>
      <w:bookmarkStart w:id="32" w:name="_Toc218590505"/>
      <w:bookmarkStart w:id="33" w:name="_Toc132975980"/>
      <w:bookmarkEnd w:id="29"/>
      <w:r w:rsidRPr="00595546">
        <w:t>Aktiekapital og ejerstruktur</w:t>
      </w:r>
      <w:bookmarkEnd w:id="30"/>
      <w:bookmarkEnd w:id="31"/>
      <w:bookmarkEnd w:id="32"/>
    </w:p>
    <w:p w14:paraId="76A230E9" w14:textId="42BE79E3" w:rsidR="00C409D1" w:rsidRPr="00595546" w:rsidRDefault="00C409D1" w:rsidP="00A05058">
      <w:pPr>
        <w:pStyle w:val="DSBodyTextIndent1"/>
        <w:jc w:val="both"/>
      </w:pPr>
      <w:r w:rsidRPr="00595546">
        <w:t>Pr.</w:t>
      </w:r>
      <w:bookmarkStart w:id="34" w:name="_9kR3WTr2664CHN3Ymv0tmnquwilH05KB2B"/>
      <w:bookmarkStart w:id="35" w:name="_9kR3WTr2664DLQ3Ymv0tmnquwilH05KB2B"/>
      <w:r w:rsidR="00B643F0" w:rsidRPr="00595546">
        <w:t xml:space="preserve"> </w:t>
      </w:r>
      <w:r w:rsidR="00DB44D5" w:rsidRPr="00595546">
        <w:t>7.</w:t>
      </w:r>
      <w:r w:rsidR="00A34AA7">
        <w:t xml:space="preserve"> </w:t>
      </w:r>
      <w:r w:rsidR="00DB44D5" w:rsidRPr="00595546">
        <w:t>januar 2026</w:t>
      </w:r>
      <w:r w:rsidRPr="00595546">
        <w:t>,</w:t>
      </w:r>
      <w:bookmarkEnd w:id="34"/>
      <w:bookmarkEnd w:id="35"/>
      <w:r w:rsidR="007A4B4B" w:rsidRPr="00595546">
        <w:t xml:space="preserve"> </w:t>
      </w:r>
      <w:r w:rsidRPr="00595546">
        <w:t xml:space="preserve">er </w:t>
      </w:r>
      <w:r w:rsidR="00DB44D5" w:rsidRPr="00595546">
        <w:t xml:space="preserve">Selskabets </w:t>
      </w:r>
      <w:r w:rsidRPr="00595546">
        <w:t xml:space="preserve">registrerede aktiekapital </w:t>
      </w:r>
      <w:r w:rsidR="0005219F" w:rsidRPr="00595546">
        <w:t xml:space="preserve">på </w:t>
      </w:r>
      <w:r w:rsidR="00AA3338">
        <w:t xml:space="preserve">DKK </w:t>
      </w:r>
      <w:r w:rsidR="0005219F" w:rsidRPr="00595546">
        <w:t>542.527.380</w:t>
      </w:r>
      <w:r w:rsidR="003B0E0E" w:rsidRPr="00595546">
        <w:t xml:space="preserve"> </w:t>
      </w:r>
      <w:r w:rsidRPr="00595546">
        <w:t xml:space="preserve">fordelt på aktier </w:t>
      </w:r>
      <w:r w:rsidR="00AA3338">
        <w:t xml:space="preserve">á nominelt DKK </w:t>
      </w:r>
      <w:r w:rsidR="0005219F" w:rsidRPr="00595546">
        <w:t>20</w:t>
      </w:r>
      <w:r w:rsidRPr="00595546">
        <w:t xml:space="preserve"> hver, alle udstedt i én aktieklasse. </w:t>
      </w:r>
      <w:r w:rsidR="00A42803" w:rsidRPr="00595546">
        <w:t xml:space="preserve">Aktierne </w:t>
      </w:r>
      <w:r w:rsidR="00DB44D5" w:rsidRPr="00595546">
        <w:t xml:space="preserve">er optaget til handel </w:t>
      </w:r>
      <w:r w:rsidR="00A42803" w:rsidRPr="00595546">
        <w:t>på Nasdaq Copenhagen</w:t>
      </w:r>
      <w:r w:rsidR="001675FA" w:rsidRPr="00595546">
        <w:t>.</w:t>
      </w:r>
    </w:p>
    <w:p w14:paraId="483EE96D" w14:textId="77777777" w:rsidR="00C409D1" w:rsidRPr="00595546" w:rsidRDefault="00C409D1" w:rsidP="00A05058">
      <w:pPr>
        <w:pStyle w:val="DSBodyTextIndent1"/>
        <w:jc w:val="both"/>
      </w:pPr>
    </w:p>
    <w:p w14:paraId="38AD6956" w14:textId="14F92647" w:rsidR="00C409D1" w:rsidRPr="00595546" w:rsidRDefault="00C409D1" w:rsidP="00A05058">
      <w:pPr>
        <w:pStyle w:val="DSBodyTextIndent1"/>
        <w:jc w:val="both"/>
      </w:pPr>
      <w:r w:rsidRPr="00595546">
        <w:t>P</w:t>
      </w:r>
      <w:r w:rsidR="00DB44D5" w:rsidRPr="00595546">
        <w:t>r.</w:t>
      </w:r>
      <w:r w:rsidRPr="00595546">
        <w:t xml:space="preserve"> datoen for denne </w:t>
      </w:r>
      <w:r w:rsidR="00DB44D5" w:rsidRPr="00595546">
        <w:t xml:space="preserve">Redegørelse </w:t>
      </w:r>
      <w:r w:rsidR="00A27F99" w:rsidRPr="00595546">
        <w:t>ejer</w:t>
      </w:r>
      <w:r w:rsidRPr="00595546">
        <w:t xml:space="preserve"> </w:t>
      </w:r>
      <w:r w:rsidR="00DB44D5" w:rsidRPr="00595546">
        <w:t>Selskabet</w:t>
      </w:r>
      <w:r w:rsidR="00DB44D5" w:rsidRPr="00595546">
        <w:rPr>
          <w:szCs w:val="20"/>
        </w:rPr>
        <w:t xml:space="preserve"> </w:t>
      </w:r>
      <w:r w:rsidR="003829FA" w:rsidRPr="00595546">
        <w:rPr>
          <w:szCs w:val="20"/>
        </w:rPr>
        <w:t xml:space="preserve">243 </w:t>
      </w:r>
      <w:r w:rsidR="00DB44D5" w:rsidRPr="00595546">
        <w:t xml:space="preserve">Egne Aktier </w:t>
      </w:r>
      <w:r w:rsidR="004B170B" w:rsidRPr="00595546">
        <w:t>svarende til ca.</w:t>
      </w:r>
      <w:r w:rsidR="00B822BB" w:rsidRPr="00595546">
        <w:t xml:space="preserve"> 0,</w:t>
      </w:r>
      <w:r w:rsidR="0001362D" w:rsidRPr="00595546">
        <w:t>000</w:t>
      </w:r>
      <w:r w:rsidR="0001362D">
        <w:t>9</w:t>
      </w:r>
      <w:r w:rsidR="0001362D" w:rsidRPr="00595546">
        <w:t xml:space="preserve"> </w:t>
      </w:r>
      <w:r w:rsidR="004B170B" w:rsidRPr="00595546">
        <w:t xml:space="preserve">% af </w:t>
      </w:r>
      <w:r w:rsidR="00DB44D5" w:rsidRPr="00595546">
        <w:t xml:space="preserve">Selskabets </w:t>
      </w:r>
      <w:r w:rsidR="004B170B" w:rsidRPr="00595546">
        <w:t>aktiekapital</w:t>
      </w:r>
      <w:r w:rsidRPr="00595546">
        <w:t>.</w:t>
      </w:r>
    </w:p>
    <w:p w14:paraId="22FBD31D" w14:textId="77777777" w:rsidR="00C409D1" w:rsidRPr="00595546" w:rsidRDefault="00C409D1" w:rsidP="00A05058">
      <w:pPr>
        <w:pStyle w:val="DSBodyTextIndent1"/>
        <w:jc w:val="both"/>
      </w:pPr>
    </w:p>
    <w:p w14:paraId="16D8A069" w14:textId="31F78669" w:rsidR="00C409D1" w:rsidRPr="00595546" w:rsidRDefault="00C409D1" w:rsidP="00A05058">
      <w:pPr>
        <w:pStyle w:val="DSBodyTextIndent1"/>
        <w:jc w:val="both"/>
      </w:pPr>
      <w:r w:rsidRPr="00595546">
        <w:t>P</w:t>
      </w:r>
      <w:r w:rsidR="00DB44D5" w:rsidRPr="00595546">
        <w:t>r.</w:t>
      </w:r>
      <w:r w:rsidRPr="00595546">
        <w:t xml:space="preserve"> </w:t>
      </w:r>
      <w:r w:rsidR="00CB33B7" w:rsidRPr="00595546">
        <w:t xml:space="preserve">datoen for denne </w:t>
      </w:r>
      <w:r w:rsidR="00DB44D5" w:rsidRPr="00595546">
        <w:t xml:space="preserve">Redegørelse </w:t>
      </w:r>
      <w:r w:rsidR="00CB33B7" w:rsidRPr="00595546">
        <w:t>har</w:t>
      </w:r>
      <w:r w:rsidRPr="00595546">
        <w:t xml:space="preserve"> følgende </w:t>
      </w:r>
      <w:r w:rsidR="00DB44D5" w:rsidRPr="00595546">
        <w:t xml:space="preserve">Aktionærer </w:t>
      </w:r>
      <w:r w:rsidR="00CB33B7" w:rsidRPr="00595546">
        <w:t xml:space="preserve">meddelt </w:t>
      </w:r>
      <w:r w:rsidR="00DB44D5" w:rsidRPr="00595546">
        <w:t>Selskabet</w:t>
      </w:r>
      <w:r w:rsidR="008A0903">
        <w:t xml:space="preserve"> i henhold til Kapitalmarkedsloven</w:t>
      </w:r>
      <w:r w:rsidR="00CB33B7" w:rsidRPr="00595546">
        <w:t xml:space="preserve">, at de </w:t>
      </w:r>
      <w:r w:rsidR="00A27F99" w:rsidRPr="00595546">
        <w:t xml:space="preserve">ejer </w:t>
      </w:r>
      <w:r w:rsidRPr="00595546">
        <w:t>mere end</w:t>
      </w:r>
      <w:r w:rsidR="009006B7" w:rsidRPr="00595546">
        <w:t xml:space="preserve"> 5 % </w:t>
      </w:r>
      <w:r w:rsidRPr="00595546">
        <w:t xml:space="preserve">af </w:t>
      </w:r>
      <w:r w:rsidR="006E6CF2" w:rsidRPr="00595546">
        <w:t>Nilfisks</w:t>
      </w:r>
      <w:r w:rsidRPr="00595546">
        <w:t xml:space="preserve"> aktiekapital og stemmerettigheder: </w:t>
      </w:r>
    </w:p>
    <w:p w14:paraId="4A5AAB2C" w14:textId="77777777" w:rsidR="00C409D1" w:rsidRPr="00595546" w:rsidRDefault="00C409D1" w:rsidP="00A05058">
      <w:pPr>
        <w:pStyle w:val="DSBodyTextIndent1"/>
        <w:jc w:val="both"/>
      </w:pPr>
    </w:p>
    <w:tbl>
      <w:tblPr>
        <w:tblStyle w:val="TableGrid"/>
        <w:tblW w:w="9013" w:type="dxa"/>
        <w:tblInd w:w="822" w:type="dxa"/>
        <w:tblLook w:val="04A0" w:firstRow="1" w:lastRow="0" w:firstColumn="1" w:lastColumn="0" w:noHBand="0" w:noVBand="1"/>
      </w:tblPr>
      <w:tblGrid>
        <w:gridCol w:w="3033"/>
        <w:gridCol w:w="3003"/>
        <w:gridCol w:w="2977"/>
      </w:tblGrid>
      <w:tr w:rsidR="009553BC" w:rsidRPr="00595546" w14:paraId="6F4D731F" w14:textId="4839097C" w:rsidTr="00D335F6">
        <w:trPr>
          <w:trHeight w:val="402"/>
        </w:trPr>
        <w:tc>
          <w:tcPr>
            <w:tcW w:w="3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E9026" w14:textId="77777777" w:rsidR="009553BC" w:rsidRPr="00595546" w:rsidRDefault="009553BC" w:rsidP="00F840F4">
            <w:pPr>
              <w:spacing w:after="160" w:line="259" w:lineRule="auto"/>
              <w:jc w:val="both"/>
              <w:rPr>
                <w:b/>
                <w:bCs/>
              </w:rPr>
            </w:pPr>
            <w:r w:rsidRPr="00595546">
              <w:rPr>
                <w:b/>
              </w:rPr>
              <w:t xml:space="preserve">Aktionær </w:t>
            </w:r>
          </w:p>
        </w:tc>
        <w:tc>
          <w:tcPr>
            <w:tcW w:w="3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3CB787" w14:textId="1E46F948" w:rsidR="009553BC" w:rsidRPr="00595546" w:rsidRDefault="00C20C6C" w:rsidP="002C5F76">
            <w:pPr>
              <w:spacing w:after="160" w:line="259" w:lineRule="auto"/>
              <w:jc w:val="center"/>
              <w:rPr>
                <w:b/>
                <w:bCs/>
              </w:rPr>
            </w:pPr>
            <w:r>
              <w:rPr>
                <w:b/>
              </w:rPr>
              <w:t>Aktiekapital</w:t>
            </w:r>
            <w:r w:rsidR="009553BC" w:rsidRPr="00595546">
              <w:rPr>
                <w:b/>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5998F4" w14:textId="77777777" w:rsidR="009553BC" w:rsidRPr="00595546" w:rsidRDefault="009553BC" w:rsidP="002C5F76">
            <w:pPr>
              <w:spacing w:after="160" w:line="259" w:lineRule="auto"/>
              <w:jc w:val="center"/>
              <w:rPr>
                <w:b/>
                <w:bCs/>
              </w:rPr>
            </w:pPr>
            <w:r w:rsidRPr="00595546">
              <w:rPr>
                <w:b/>
              </w:rPr>
              <w:t>Stemmerettigheder (%)</w:t>
            </w:r>
          </w:p>
        </w:tc>
      </w:tr>
      <w:tr w:rsidR="009553BC" w:rsidRPr="00595546" w14:paraId="4F6E94D7" w14:textId="2A435BA5" w:rsidTr="00CD3736">
        <w:trPr>
          <w:trHeight w:val="621"/>
        </w:trPr>
        <w:tc>
          <w:tcPr>
            <w:tcW w:w="3033" w:type="dxa"/>
            <w:tcBorders>
              <w:top w:val="single" w:sz="4" w:space="0" w:color="auto"/>
              <w:left w:val="single" w:sz="4" w:space="0" w:color="auto"/>
              <w:bottom w:val="single" w:sz="4" w:space="0" w:color="auto"/>
              <w:right w:val="single" w:sz="4" w:space="0" w:color="auto"/>
            </w:tcBorders>
          </w:tcPr>
          <w:p w14:paraId="09466C18" w14:textId="3A2538C9" w:rsidR="009553BC" w:rsidRPr="00595546" w:rsidRDefault="005B7B6A" w:rsidP="00F840F4">
            <w:pPr>
              <w:spacing w:after="160" w:line="259" w:lineRule="auto"/>
              <w:jc w:val="both"/>
            </w:pPr>
            <w:proofErr w:type="spellStart"/>
            <w:r w:rsidRPr="00595546">
              <w:t>Ferd</w:t>
            </w:r>
            <w:proofErr w:type="spellEnd"/>
            <w:r w:rsidRPr="00595546">
              <w:t xml:space="preserve"> AS</w:t>
            </w:r>
          </w:p>
        </w:tc>
        <w:tc>
          <w:tcPr>
            <w:tcW w:w="3003" w:type="dxa"/>
            <w:tcBorders>
              <w:top w:val="single" w:sz="4" w:space="0" w:color="auto"/>
              <w:left w:val="single" w:sz="4" w:space="0" w:color="auto"/>
              <w:bottom w:val="single" w:sz="4" w:space="0" w:color="auto"/>
              <w:right w:val="single" w:sz="4" w:space="0" w:color="auto"/>
            </w:tcBorders>
            <w:hideMark/>
          </w:tcPr>
          <w:p w14:paraId="6DAD83B2" w14:textId="0F14E659" w:rsidR="009553BC" w:rsidRPr="00595546" w:rsidRDefault="005B7B6A" w:rsidP="002C5F76">
            <w:pPr>
              <w:spacing w:after="160" w:line="259" w:lineRule="auto"/>
              <w:jc w:val="center"/>
            </w:pPr>
            <w:r w:rsidRPr="00595546">
              <w:t>24,3</w:t>
            </w:r>
          </w:p>
        </w:tc>
        <w:tc>
          <w:tcPr>
            <w:tcW w:w="2977" w:type="dxa"/>
            <w:tcBorders>
              <w:top w:val="single" w:sz="4" w:space="0" w:color="auto"/>
              <w:left w:val="single" w:sz="4" w:space="0" w:color="auto"/>
              <w:bottom w:val="single" w:sz="4" w:space="0" w:color="auto"/>
              <w:right w:val="single" w:sz="4" w:space="0" w:color="auto"/>
            </w:tcBorders>
            <w:hideMark/>
          </w:tcPr>
          <w:p w14:paraId="34A23F99" w14:textId="30E1ADE8" w:rsidR="009553BC" w:rsidRPr="00595546" w:rsidRDefault="005B7B6A" w:rsidP="002C5F76">
            <w:pPr>
              <w:spacing w:after="160" w:line="259" w:lineRule="auto"/>
              <w:jc w:val="center"/>
            </w:pPr>
            <w:r w:rsidRPr="00595546">
              <w:t>24,3</w:t>
            </w:r>
          </w:p>
        </w:tc>
      </w:tr>
      <w:tr w:rsidR="005B7B6A" w:rsidRPr="00595546" w14:paraId="36E39325" w14:textId="77777777" w:rsidTr="00CD3736">
        <w:trPr>
          <w:trHeight w:val="621"/>
        </w:trPr>
        <w:tc>
          <w:tcPr>
            <w:tcW w:w="3033" w:type="dxa"/>
            <w:tcBorders>
              <w:top w:val="single" w:sz="4" w:space="0" w:color="auto"/>
              <w:left w:val="single" w:sz="4" w:space="0" w:color="auto"/>
              <w:bottom w:val="single" w:sz="4" w:space="0" w:color="auto"/>
              <w:right w:val="single" w:sz="4" w:space="0" w:color="auto"/>
            </w:tcBorders>
          </w:tcPr>
          <w:p w14:paraId="1EAF5BDC" w14:textId="54F315AE" w:rsidR="005B7B6A" w:rsidRPr="00595546" w:rsidRDefault="005B7B6A" w:rsidP="005B7B6A">
            <w:pPr>
              <w:spacing w:after="160" w:line="259" w:lineRule="auto"/>
              <w:jc w:val="both"/>
            </w:pPr>
            <w:r w:rsidRPr="00595546">
              <w:t>KIRKBI Invest A/S</w:t>
            </w:r>
          </w:p>
        </w:tc>
        <w:tc>
          <w:tcPr>
            <w:tcW w:w="3003" w:type="dxa"/>
            <w:tcBorders>
              <w:top w:val="single" w:sz="4" w:space="0" w:color="auto"/>
              <w:left w:val="single" w:sz="4" w:space="0" w:color="auto"/>
              <w:bottom w:val="single" w:sz="4" w:space="0" w:color="auto"/>
              <w:right w:val="single" w:sz="4" w:space="0" w:color="auto"/>
            </w:tcBorders>
          </w:tcPr>
          <w:p w14:paraId="4863D034" w14:textId="313EC596" w:rsidR="005B7B6A" w:rsidRPr="00595546" w:rsidRDefault="005B7B6A" w:rsidP="005B7B6A">
            <w:pPr>
              <w:spacing w:after="160" w:line="259" w:lineRule="auto"/>
              <w:jc w:val="center"/>
            </w:pPr>
            <w:r w:rsidRPr="00595546">
              <w:t>20,3</w:t>
            </w:r>
          </w:p>
        </w:tc>
        <w:tc>
          <w:tcPr>
            <w:tcW w:w="2977" w:type="dxa"/>
            <w:tcBorders>
              <w:top w:val="single" w:sz="4" w:space="0" w:color="auto"/>
              <w:left w:val="single" w:sz="4" w:space="0" w:color="auto"/>
              <w:bottom w:val="single" w:sz="4" w:space="0" w:color="auto"/>
              <w:right w:val="single" w:sz="4" w:space="0" w:color="auto"/>
            </w:tcBorders>
          </w:tcPr>
          <w:p w14:paraId="38372718" w14:textId="1D3A57C1" w:rsidR="005B7B6A" w:rsidRPr="00595546" w:rsidRDefault="005B7B6A" w:rsidP="005B7B6A">
            <w:pPr>
              <w:spacing w:after="160" w:line="259" w:lineRule="auto"/>
              <w:jc w:val="center"/>
            </w:pPr>
            <w:r w:rsidRPr="00595546">
              <w:t>20,3</w:t>
            </w:r>
          </w:p>
        </w:tc>
      </w:tr>
      <w:tr w:rsidR="00083A05" w:rsidRPr="00595546" w14:paraId="1F3C4488" w14:textId="77777777" w:rsidTr="00D335F6">
        <w:trPr>
          <w:trHeight w:val="621"/>
        </w:trPr>
        <w:tc>
          <w:tcPr>
            <w:tcW w:w="3033" w:type="dxa"/>
            <w:tcBorders>
              <w:top w:val="single" w:sz="4" w:space="0" w:color="auto"/>
              <w:left w:val="single" w:sz="4" w:space="0" w:color="auto"/>
              <w:bottom w:val="single" w:sz="4" w:space="0" w:color="auto"/>
              <w:right w:val="single" w:sz="4" w:space="0" w:color="auto"/>
            </w:tcBorders>
          </w:tcPr>
          <w:p w14:paraId="351200EA" w14:textId="0A5DA1C0" w:rsidR="00083A05" w:rsidRPr="00CD11F8" w:rsidRDefault="00F7479C" w:rsidP="00014A79">
            <w:pPr>
              <w:spacing w:after="160" w:line="259" w:lineRule="auto"/>
              <w:jc w:val="both"/>
              <w:rPr>
                <w:lang w:val="en-US"/>
              </w:rPr>
            </w:pPr>
            <w:proofErr w:type="spellStart"/>
            <w:r w:rsidRPr="00CD11F8">
              <w:rPr>
                <w:lang w:val="en-US"/>
              </w:rPr>
              <w:t>PrimeStone</w:t>
            </w:r>
            <w:proofErr w:type="spellEnd"/>
            <w:r w:rsidRPr="00CD11F8">
              <w:rPr>
                <w:lang w:val="en-US"/>
              </w:rPr>
              <w:t xml:space="preserve"> Capital LLP (</w:t>
            </w:r>
            <w:proofErr w:type="spellStart"/>
            <w:r w:rsidR="00014A79" w:rsidRPr="00CD11F8">
              <w:rPr>
                <w:lang w:val="en-US"/>
              </w:rPr>
              <w:t>PrimeStone</w:t>
            </w:r>
            <w:proofErr w:type="spellEnd"/>
            <w:r w:rsidR="00014A79" w:rsidRPr="00CD11F8">
              <w:rPr>
                <w:lang w:val="en-US"/>
              </w:rPr>
              <w:t xml:space="preserve"> Capital Irish </w:t>
            </w:r>
            <w:proofErr w:type="spellStart"/>
            <w:r w:rsidR="00014A79" w:rsidRPr="00CD11F8">
              <w:rPr>
                <w:lang w:val="en-US"/>
              </w:rPr>
              <w:t>HoldCo</w:t>
            </w:r>
            <w:proofErr w:type="spellEnd"/>
            <w:r w:rsidR="00014A79" w:rsidRPr="00CD11F8">
              <w:rPr>
                <w:lang w:val="en-US"/>
              </w:rPr>
              <w:t xml:space="preserve"> Designated Activity Company)</w:t>
            </w:r>
          </w:p>
        </w:tc>
        <w:tc>
          <w:tcPr>
            <w:tcW w:w="3003" w:type="dxa"/>
            <w:tcBorders>
              <w:top w:val="single" w:sz="4" w:space="0" w:color="auto"/>
              <w:left w:val="single" w:sz="4" w:space="0" w:color="auto"/>
              <w:bottom w:val="single" w:sz="4" w:space="0" w:color="auto"/>
              <w:right w:val="single" w:sz="4" w:space="0" w:color="auto"/>
            </w:tcBorders>
          </w:tcPr>
          <w:p w14:paraId="0EB9E3CF" w14:textId="199FAE15" w:rsidR="00083A05" w:rsidRPr="00595546" w:rsidRDefault="004C5090" w:rsidP="00083A05">
            <w:pPr>
              <w:spacing w:after="160" w:line="259" w:lineRule="auto"/>
              <w:jc w:val="center"/>
            </w:pPr>
            <w:r w:rsidRPr="00595546">
              <w:t>6,</w:t>
            </w:r>
            <w:r w:rsidR="005B7B6A" w:rsidRPr="00595546">
              <w:t>0</w:t>
            </w:r>
          </w:p>
        </w:tc>
        <w:tc>
          <w:tcPr>
            <w:tcW w:w="2977" w:type="dxa"/>
            <w:tcBorders>
              <w:top w:val="single" w:sz="4" w:space="0" w:color="auto"/>
              <w:left w:val="single" w:sz="4" w:space="0" w:color="auto"/>
              <w:bottom w:val="single" w:sz="4" w:space="0" w:color="auto"/>
              <w:right w:val="single" w:sz="4" w:space="0" w:color="auto"/>
            </w:tcBorders>
          </w:tcPr>
          <w:p w14:paraId="0C6524AA" w14:textId="62455A22" w:rsidR="00083A05" w:rsidRPr="00595546" w:rsidRDefault="004C5090" w:rsidP="00083A05">
            <w:pPr>
              <w:spacing w:after="160" w:line="259" w:lineRule="auto"/>
              <w:jc w:val="center"/>
            </w:pPr>
            <w:r w:rsidRPr="00595546">
              <w:t>6,</w:t>
            </w:r>
            <w:r w:rsidR="005B7B6A" w:rsidRPr="00595546">
              <w:t>0</w:t>
            </w:r>
          </w:p>
        </w:tc>
      </w:tr>
      <w:tr w:rsidR="00083A05" w:rsidRPr="00595546" w14:paraId="5204F9AC" w14:textId="77777777" w:rsidTr="00D335F6">
        <w:trPr>
          <w:trHeight w:val="621"/>
        </w:trPr>
        <w:tc>
          <w:tcPr>
            <w:tcW w:w="3033" w:type="dxa"/>
            <w:tcBorders>
              <w:top w:val="single" w:sz="4" w:space="0" w:color="auto"/>
              <w:left w:val="single" w:sz="4" w:space="0" w:color="auto"/>
              <w:bottom w:val="single" w:sz="4" w:space="0" w:color="auto"/>
              <w:right w:val="single" w:sz="4" w:space="0" w:color="auto"/>
            </w:tcBorders>
          </w:tcPr>
          <w:p w14:paraId="71C0EF0E" w14:textId="7BD13694" w:rsidR="00083A05" w:rsidRPr="00595546" w:rsidRDefault="00083A05" w:rsidP="00083A05">
            <w:pPr>
              <w:spacing w:after="160" w:line="259" w:lineRule="auto"/>
            </w:pPr>
            <w:r w:rsidRPr="00595546">
              <w:t xml:space="preserve">Boldhaven Management </w:t>
            </w:r>
            <w:proofErr w:type="spellStart"/>
            <w:r w:rsidRPr="00595546">
              <w:t>LLP</w:t>
            </w:r>
            <w:proofErr w:type="spellEnd"/>
          </w:p>
        </w:tc>
        <w:tc>
          <w:tcPr>
            <w:tcW w:w="3003" w:type="dxa"/>
            <w:tcBorders>
              <w:top w:val="single" w:sz="4" w:space="0" w:color="auto"/>
              <w:left w:val="single" w:sz="4" w:space="0" w:color="auto"/>
              <w:bottom w:val="single" w:sz="4" w:space="0" w:color="auto"/>
              <w:right w:val="single" w:sz="4" w:space="0" w:color="auto"/>
            </w:tcBorders>
          </w:tcPr>
          <w:p w14:paraId="119FDF7B" w14:textId="32548328" w:rsidR="00083A05" w:rsidRPr="00595546" w:rsidRDefault="00D67861" w:rsidP="00083A05">
            <w:pPr>
              <w:spacing w:after="160" w:line="259" w:lineRule="auto"/>
              <w:jc w:val="center"/>
            </w:pPr>
            <w:r w:rsidRPr="00595546">
              <w:t>5,</w:t>
            </w:r>
            <w:r w:rsidR="00083A05" w:rsidRPr="00595546">
              <w:t>07</w:t>
            </w:r>
          </w:p>
        </w:tc>
        <w:tc>
          <w:tcPr>
            <w:tcW w:w="2977" w:type="dxa"/>
            <w:tcBorders>
              <w:top w:val="single" w:sz="4" w:space="0" w:color="auto"/>
              <w:left w:val="single" w:sz="4" w:space="0" w:color="auto"/>
              <w:bottom w:val="single" w:sz="4" w:space="0" w:color="auto"/>
              <w:right w:val="single" w:sz="4" w:space="0" w:color="auto"/>
            </w:tcBorders>
          </w:tcPr>
          <w:p w14:paraId="3D4D1AAB" w14:textId="2CD5086C" w:rsidR="00083A05" w:rsidRPr="00595546" w:rsidRDefault="00D67861" w:rsidP="00083A05">
            <w:pPr>
              <w:spacing w:after="160" w:line="259" w:lineRule="auto"/>
              <w:jc w:val="center"/>
            </w:pPr>
            <w:r w:rsidRPr="00595546">
              <w:t>5,</w:t>
            </w:r>
            <w:r w:rsidR="00083A05" w:rsidRPr="00595546">
              <w:t>07</w:t>
            </w:r>
          </w:p>
        </w:tc>
      </w:tr>
    </w:tbl>
    <w:p w14:paraId="72FEEC40" w14:textId="77777777" w:rsidR="00C409D1" w:rsidRPr="00595546" w:rsidRDefault="00C409D1" w:rsidP="00A05058">
      <w:pPr>
        <w:spacing w:after="160" w:line="259" w:lineRule="auto"/>
        <w:jc w:val="both"/>
      </w:pPr>
    </w:p>
    <w:p w14:paraId="5E3A653B" w14:textId="79843F8C" w:rsidR="00C409D1" w:rsidRPr="00595546" w:rsidRDefault="009006B7" w:rsidP="00A05058">
      <w:pPr>
        <w:pStyle w:val="DSBodyTextIndent1"/>
        <w:jc w:val="both"/>
      </w:pPr>
      <w:r w:rsidRPr="00595546">
        <w:t xml:space="preserve">Ingen andre </w:t>
      </w:r>
      <w:r w:rsidR="00DB44D5" w:rsidRPr="00595546">
        <w:t xml:space="preserve">Aktionærer </w:t>
      </w:r>
      <w:r w:rsidRPr="00595546">
        <w:t xml:space="preserve">havde </w:t>
      </w:r>
      <w:r w:rsidR="00B36048" w:rsidRPr="00595546">
        <w:t>p</w:t>
      </w:r>
      <w:r w:rsidR="00EB1CE3">
        <w:t>r.</w:t>
      </w:r>
      <w:r w:rsidR="00B36048" w:rsidRPr="00595546">
        <w:t xml:space="preserve"> datoen for denne </w:t>
      </w:r>
      <w:r w:rsidR="00DB44D5" w:rsidRPr="00595546">
        <w:t xml:space="preserve">Redegørelse </w:t>
      </w:r>
      <w:r w:rsidRPr="00595546">
        <w:t xml:space="preserve">informeret </w:t>
      </w:r>
      <w:r w:rsidR="00DB44D5" w:rsidRPr="00595546">
        <w:t xml:space="preserve">Selskabet </w:t>
      </w:r>
      <w:r w:rsidRPr="00595546">
        <w:t xml:space="preserve">om, at de besidder 5 % eller mere af aktiekapitalen og/eller stemmerettighederne i </w:t>
      </w:r>
      <w:r w:rsidR="00DB44D5" w:rsidRPr="00595546">
        <w:t>Selskabet</w:t>
      </w:r>
      <w:r w:rsidRPr="00595546">
        <w:t>.</w:t>
      </w:r>
    </w:p>
    <w:p w14:paraId="014A7F93" w14:textId="77777777" w:rsidR="00C409D1" w:rsidRPr="00595546" w:rsidRDefault="00C409D1" w:rsidP="00A05058">
      <w:pPr>
        <w:pStyle w:val="Heading2"/>
        <w:jc w:val="both"/>
      </w:pPr>
      <w:bookmarkStart w:id="36" w:name="_Toc194440309"/>
      <w:bookmarkStart w:id="37" w:name="_Toc218590506"/>
      <w:r w:rsidRPr="00595546">
        <w:lastRenderedPageBreak/>
        <w:t>Finansielle oplysninger</w:t>
      </w:r>
      <w:bookmarkEnd w:id="33"/>
      <w:bookmarkEnd w:id="36"/>
      <w:bookmarkEnd w:id="37"/>
    </w:p>
    <w:p w14:paraId="220CD68A" w14:textId="09DFEF15" w:rsidR="00C409D1" w:rsidRPr="00595546" w:rsidRDefault="00505FA3" w:rsidP="00A05058">
      <w:pPr>
        <w:pStyle w:val="Heading3"/>
        <w:jc w:val="both"/>
      </w:pPr>
      <w:bookmarkStart w:id="38" w:name="_Toc132975981"/>
      <w:bookmarkStart w:id="39" w:name="_Toc194440310"/>
      <w:bookmarkStart w:id="40" w:name="_Toc218590507"/>
      <w:r>
        <w:t xml:space="preserve">2024 </w:t>
      </w:r>
      <w:r w:rsidR="00C409D1" w:rsidRPr="00595546">
        <w:t>Årsrapport</w:t>
      </w:r>
      <w:bookmarkEnd w:id="38"/>
      <w:bookmarkEnd w:id="39"/>
      <w:bookmarkEnd w:id="40"/>
    </w:p>
    <w:p w14:paraId="64F4C7BC" w14:textId="68184533" w:rsidR="00C409D1" w:rsidRPr="00595546" w:rsidRDefault="00C409D1" w:rsidP="00A05058">
      <w:pPr>
        <w:pStyle w:val="DSBodyTextIndent1"/>
        <w:jc w:val="both"/>
      </w:pPr>
      <w:r w:rsidRPr="00595546">
        <w:t xml:space="preserve">Selskabet offentliggjorde </w:t>
      </w:r>
      <w:r w:rsidR="00505FA3">
        <w:t>2024 Å</w:t>
      </w:r>
      <w:r w:rsidRPr="00595546">
        <w:t>rsrapporten den</w:t>
      </w:r>
      <w:r w:rsidR="00110397" w:rsidRPr="00595546">
        <w:t xml:space="preserve"> 20. februar</w:t>
      </w:r>
      <w:r w:rsidRPr="00595546">
        <w:t xml:space="preserve"> 2025.</w:t>
      </w:r>
      <w:r w:rsidRPr="00595546">
        <w:rPr>
          <w:vertAlign w:val="superscript"/>
        </w:rPr>
        <w:footnoteReference w:id="1"/>
      </w:r>
      <w:r w:rsidR="00937764" w:rsidRPr="00595546">
        <w:t xml:space="preserve"> Hovedpunkterne i </w:t>
      </w:r>
      <w:r w:rsidR="002471F1">
        <w:t>2024 Å</w:t>
      </w:r>
      <w:r w:rsidR="009E23DD" w:rsidRPr="00595546">
        <w:t xml:space="preserve">rsrapporten </w:t>
      </w:r>
      <w:r w:rsidR="00AE5077" w:rsidRPr="00595546">
        <w:t xml:space="preserve">er </w:t>
      </w:r>
      <w:r w:rsidR="00081AA4" w:rsidRPr="00595546">
        <w:t>følgende</w:t>
      </w:r>
      <w:r w:rsidR="00937764" w:rsidRPr="00595546">
        <w:t>:</w:t>
      </w:r>
    </w:p>
    <w:p w14:paraId="06B3505C" w14:textId="77777777" w:rsidR="00AE5077" w:rsidRPr="00595546" w:rsidRDefault="00AE5077" w:rsidP="00A05058">
      <w:pPr>
        <w:pStyle w:val="DSBodyTextIndent1"/>
        <w:jc w:val="both"/>
      </w:pPr>
    </w:p>
    <w:p w14:paraId="0DA70EB5" w14:textId="221F2537" w:rsidR="00C23DF2" w:rsidRPr="00595546" w:rsidRDefault="00C23DF2" w:rsidP="0053691E">
      <w:pPr>
        <w:pStyle w:val="ListBullet2"/>
      </w:pPr>
      <w:bookmarkStart w:id="41" w:name="_Toc132975983"/>
      <w:r w:rsidRPr="00595546">
        <w:t xml:space="preserve">Omsætningen udgjorde </w:t>
      </w:r>
      <w:proofErr w:type="spellStart"/>
      <w:r w:rsidR="0049528E">
        <w:t>EUR</w:t>
      </w:r>
      <w:proofErr w:type="spellEnd"/>
      <w:r w:rsidR="0049528E">
        <w:t xml:space="preserve"> </w:t>
      </w:r>
      <w:r w:rsidRPr="00595546">
        <w:t>1.027,9 mio., hvilket svarer til en rapporteret vækst på -0,6 % i forhold til 2023. Den organiske vækst var 1,2 %, drevet af positiv organisk vækst i service-, forbruger- og specialforretningerne. Dette blev delvist opvejet af en negativ organisk vækst på 0,9 % i den professionelle forretning.</w:t>
      </w:r>
    </w:p>
    <w:p w14:paraId="5CEBE39C" w14:textId="5BB82CA2" w:rsidR="00C23DF2" w:rsidRPr="00595546" w:rsidRDefault="00C23DF2" w:rsidP="0053691E">
      <w:pPr>
        <w:pStyle w:val="ListBullet2"/>
      </w:pPr>
      <w:r w:rsidRPr="00595546">
        <w:t xml:space="preserve">Fordelt på regioner leverede </w:t>
      </w:r>
      <w:proofErr w:type="spellStart"/>
      <w:r w:rsidRPr="00595546">
        <w:t>EMEA</w:t>
      </w:r>
      <w:proofErr w:type="spellEnd"/>
      <w:r w:rsidRPr="00595546">
        <w:t xml:space="preserve"> en stærk organisk vækst på 5,9 % i forhold til 2023. Dette var drevet af en bredt funderet vækst på tværs af alle segmenter og understøttet af nye produkter, der blev lanceret i anden halvdel af 2024. </w:t>
      </w:r>
    </w:p>
    <w:p w14:paraId="6087B7CE" w14:textId="389A2B88" w:rsidR="00C23DF2" w:rsidRPr="00595546" w:rsidRDefault="00C23DF2" w:rsidP="0053691E">
      <w:pPr>
        <w:pStyle w:val="ListBullet2"/>
      </w:pPr>
      <w:r w:rsidRPr="00595546">
        <w:t xml:space="preserve">En afmatning i efterspørgslen i USA og orkanens skader på den amerikanske højtryksrensningsforretning havde begge en negativ indvirkning på resultaterne i Amerika, hvilket resulterede i en negativ organisk vækst på 4,3 %. Resultaterne var under forventning, og ledelsen har identificeret vigtige forbedringsområder, der skal implementeres i 2025. </w:t>
      </w:r>
    </w:p>
    <w:p w14:paraId="51A33566" w14:textId="107AE46D" w:rsidR="00C23DF2" w:rsidRPr="00595546" w:rsidRDefault="00C23DF2" w:rsidP="0053691E">
      <w:pPr>
        <w:pStyle w:val="ListBullet2"/>
      </w:pPr>
      <w:proofErr w:type="spellStart"/>
      <w:r w:rsidRPr="00595546">
        <w:t>APAC</w:t>
      </w:r>
      <w:proofErr w:type="spellEnd"/>
      <w:r w:rsidRPr="00595546">
        <w:t xml:space="preserve"> oplevede fortsat svag efterspørgsel gennem hele 2024 på flere vigtige markeder. Som følge heraf leverede regionen en negativ organisk vækst på 8,0 %. </w:t>
      </w:r>
    </w:p>
    <w:p w14:paraId="7D44628B" w14:textId="5C3DEAAC" w:rsidR="00C23DF2" w:rsidRPr="00595546" w:rsidRDefault="00C23DF2" w:rsidP="0053691E">
      <w:pPr>
        <w:pStyle w:val="ListBullet2"/>
      </w:pPr>
      <w:r w:rsidRPr="00595546">
        <w:t>Bruttomarginen steg til 42,2 %, hvilket er 1,3 procentpoint højere end i 2023 og det højeste niveau siden 2017. Dette var det andet år i træk med stigende bruttomargin, drevet af effektiviseringstiltag på tværs af fabrikkerne og en gunstig produktsammensætning kombineret med omhyggelig pris- og rabatstyring.</w:t>
      </w:r>
    </w:p>
    <w:p w14:paraId="43855C31" w14:textId="37CDEB6B" w:rsidR="00C23DF2" w:rsidRPr="00595546" w:rsidRDefault="00C23DF2" w:rsidP="0053691E">
      <w:pPr>
        <w:pStyle w:val="ListBullet2"/>
      </w:pPr>
      <w:r w:rsidRPr="00595546">
        <w:t>Omkostningsprocenten steg svagt fra 34,0 % i 2023 til 35,2 % i 2024. Dette skyldtes primært investeringer i produktlanceringer, herunder salgs- og marketingaktiviteter. Meritforhøjelser og inflationspres på de generelle udgifter bidrog også til højere omkostninger.</w:t>
      </w:r>
    </w:p>
    <w:p w14:paraId="6E2E9AA4" w14:textId="3A1697E8" w:rsidR="00C23DF2" w:rsidRPr="00595546" w:rsidRDefault="00C23DF2" w:rsidP="0053691E">
      <w:pPr>
        <w:pStyle w:val="ListBullet2"/>
      </w:pPr>
      <w:r w:rsidRPr="00595546">
        <w:t xml:space="preserve">Som følge heraf steg </w:t>
      </w:r>
      <w:proofErr w:type="spellStart"/>
      <w:r w:rsidRPr="00595546">
        <w:t>EBITDA</w:t>
      </w:r>
      <w:proofErr w:type="spellEnd"/>
      <w:r w:rsidRPr="00595546">
        <w:t xml:space="preserve"> før særlige poster til </w:t>
      </w:r>
      <w:proofErr w:type="spellStart"/>
      <w:r w:rsidR="0049528E">
        <w:t>EUR</w:t>
      </w:r>
      <w:proofErr w:type="spellEnd"/>
      <w:r w:rsidR="0049528E">
        <w:t xml:space="preserve"> </w:t>
      </w:r>
      <w:r w:rsidRPr="00595546">
        <w:t xml:space="preserve">135,8 mio., svarende til en margin på 13,2 %. Dette var en stigning på 0,4 procentpoint eller </w:t>
      </w:r>
      <w:proofErr w:type="spellStart"/>
      <w:r w:rsidR="0049528E">
        <w:t>EUR</w:t>
      </w:r>
      <w:proofErr w:type="spellEnd"/>
      <w:r w:rsidR="0049528E">
        <w:t xml:space="preserve"> </w:t>
      </w:r>
      <w:r w:rsidRPr="00595546">
        <w:t>3,4 mio. og var hovedsageligt drevet af en stærk styring af bruttomarginen, der fuldt ud opvejede en svag stigning i de faste omkostninger.</w:t>
      </w:r>
    </w:p>
    <w:p w14:paraId="0CEF736D" w14:textId="0FC95017" w:rsidR="00C23DF2" w:rsidRPr="00595546" w:rsidRDefault="00C23DF2" w:rsidP="0053691E">
      <w:pPr>
        <w:pStyle w:val="ListBullet2"/>
      </w:pPr>
      <w:r w:rsidRPr="00595546">
        <w:t>Særlige poster, netto, udgjorde</w:t>
      </w:r>
      <w:r w:rsidR="0049528E">
        <w:t xml:space="preserve"> </w:t>
      </w:r>
      <w:proofErr w:type="spellStart"/>
      <w:r w:rsidR="0049528E">
        <w:t>EUR</w:t>
      </w:r>
      <w:proofErr w:type="spellEnd"/>
      <w:r w:rsidRPr="00595546">
        <w:t xml:space="preserve"> 6,4 mio. sammenlignet med</w:t>
      </w:r>
      <w:r w:rsidR="0049528E">
        <w:t xml:space="preserve"> </w:t>
      </w:r>
      <w:proofErr w:type="spellStart"/>
      <w:r w:rsidR="0049528E">
        <w:t>EUR</w:t>
      </w:r>
      <w:proofErr w:type="spellEnd"/>
      <w:r w:rsidRPr="00595546">
        <w:t xml:space="preserve"> 9,9 mio. i 2023. Særlige poster var primært rådgivningsomkostninger i forbindelse med strategiske forbedringsprojekter, herunder konsolideringen af den amerikanske højtryksrensningsforretning. </w:t>
      </w:r>
    </w:p>
    <w:p w14:paraId="592BDB29" w14:textId="41A4DC78" w:rsidR="00C23DF2" w:rsidRPr="00595546" w:rsidRDefault="00C23DF2" w:rsidP="0053691E">
      <w:pPr>
        <w:pStyle w:val="ListBullet2"/>
      </w:pPr>
      <w:r w:rsidRPr="00595546">
        <w:t xml:space="preserve">Det frie </w:t>
      </w:r>
      <w:proofErr w:type="spellStart"/>
      <w:r w:rsidRPr="00595546">
        <w:t>cash</w:t>
      </w:r>
      <w:proofErr w:type="spellEnd"/>
      <w:r w:rsidRPr="00595546">
        <w:t xml:space="preserve"> flow var</w:t>
      </w:r>
      <w:r w:rsidR="0049528E">
        <w:t xml:space="preserve"> </w:t>
      </w:r>
      <w:proofErr w:type="spellStart"/>
      <w:r w:rsidR="0049528E">
        <w:t>EUR</w:t>
      </w:r>
      <w:proofErr w:type="spellEnd"/>
      <w:r w:rsidRPr="00595546">
        <w:t xml:space="preserve"> 7,7 mio. i 2024 sammenlignet med </w:t>
      </w:r>
      <w:proofErr w:type="spellStart"/>
      <w:r w:rsidR="0049528E">
        <w:t>EUR</w:t>
      </w:r>
      <w:proofErr w:type="spellEnd"/>
      <w:r w:rsidR="0049528E">
        <w:t xml:space="preserve"> </w:t>
      </w:r>
      <w:r w:rsidRPr="00595546">
        <w:t>115,2 mio. i 2023. Cash flow fra driftsaktiviteter blev negativt påvirket af ændringer i arbejdskapitalen, hvilket skyldtes højere lagerbeholdninger i forbindelse med lanceringen af nye produkter, som stadig er i gang. Derudover var der øgede investeringer i forskning og udvikling samt digitalisering.</w:t>
      </w:r>
    </w:p>
    <w:p w14:paraId="74873739" w14:textId="382B9327" w:rsidR="005377E7" w:rsidRPr="00595546" w:rsidRDefault="00C23DF2" w:rsidP="0053691E">
      <w:pPr>
        <w:pStyle w:val="ListBullet2"/>
      </w:pPr>
      <w:r w:rsidRPr="00595546">
        <w:t xml:space="preserve">Netto rentebærende gæld steg til </w:t>
      </w:r>
      <w:proofErr w:type="spellStart"/>
      <w:r w:rsidR="0049528E">
        <w:t>EUR</w:t>
      </w:r>
      <w:proofErr w:type="spellEnd"/>
      <w:r w:rsidR="0049528E">
        <w:t xml:space="preserve"> </w:t>
      </w:r>
      <w:r w:rsidRPr="00595546">
        <w:t xml:space="preserve">270,1 mio. fra </w:t>
      </w:r>
      <w:proofErr w:type="spellStart"/>
      <w:r w:rsidR="0049528E">
        <w:t>EUR</w:t>
      </w:r>
      <w:proofErr w:type="spellEnd"/>
      <w:r w:rsidR="0049528E">
        <w:t xml:space="preserve"> </w:t>
      </w:r>
      <w:r w:rsidRPr="00595546">
        <w:t>252,2 mio. ved udgangen af 2023. Dette skyldtes primært en stigning i arbejdskapitalen samt højere kapitaludgifter. Som følge heraf steg den finansielle gearing fra 1,9x til 2,0x ved udgangen af 2024.</w:t>
      </w:r>
    </w:p>
    <w:p w14:paraId="0CE0DFEC" w14:textId="2B991B82" w:rsidR="005377E7" w:rsidRPr="00595546" w:rsidRDefault="00CD321A" w:rsidP="000A7A94">
      <w:pPr>
        <w:pStyle w:val="Heading3"/>
        <w:jc w:val="both"/>
      </w:pPr>
      <w:bookmarkStart w:id="42" w:name="_Toc218590508"/>
      <w:r>
        <w:lastRenderedPageBreak/>
        <w:t>Kvartals</w:t>
      </w:r>
      <w:r w:rsidRPr="00595546">
        <w:t>rapporten for 3. kvartal 2025</w:t>
      </w:r>
      <w:bookmarkEnd w:id="42"/>
    </w:p>
    <w:p w14:paraId="3F359746" w14:textId="365A3981" w:rsidR="00EC2CC3" w:rsidRPr="00595546" w:rsidRDefault="00EC2CC3" w:rsidP="00A05058">
      <w:pPr>
        <w:pStyle w:val="DSBodyTextIndent1"/>
        <w:jc w:val="both"/>
      </w:pPr>
      <w:r w:rsidRPr="00595546">
        <w:t xml:space="preserve">Selskabet offentliggjorde </w:t>
      </w:r>
      <w:r w:rsidR="00CD321A">
        <w:t>Kvartals</w:t>
      </w:r>
      <w:r w:rsidR="00C924E1" w:rsidRPr="00595546">
        <w:t>rapporten for</w:t>
      </w:r>
      <w:r w:rsidR="00641AD9" w:rsidRPr="00595546">
        <w:t xml:space="preserve"> 3. kvartal 2025 </w:t>
      </w:r>
      <w:r w:rsidR="00C924E1" w:rsidRPr="00595546">
        <w:t xml:space="preserve">for de første </w:t>
      </w:r>
      <w:r w:rsidR="00641AD9" w:rsidRPr="00595546">
        <w:t xml:space="preserve">ni måneder </w:t>
      </w:r>
      <w:r w:rsidR="003B45CC" w:rsidRPr="00595546">
        <w:t>af 2025 den</w:t>
      </w:r>
      <w:r w:rsidR="006D3DC3" w:rsidRPr="00595546">
        <w:t xml:space="preserve"> 20. november</w:t>
      </w:r>
      <w:r w:rsidR="00AC7C34" w:rsidRPr="00595546">
        <w:t xml:space="preserve"> 2025</w:t>
      </w:r>
      <w:r w:rsidR="00C924E1" w:rsidRPr="00595546">
        <w:t>.</w:t>
      </w:r>
      <w:r w:rsidR="0056608C" w:rsidRPr="00595546">
        <w:rPr>
          <w:rStyle w:val="FootnoteReference"/>
        </w:rPr>
        <w:footnoteReference w:id="2"/>
      </w:r>
      <w:r w:rsidR="00C32D68" w:rsidRPr="00595546">
        <w:t xml:space="preserve"> </w:t>
      </w:r>
      <w:r w:rsidR="00BF4DF8" w:rsidRPr="00595546">
        <w:t xml:space="preserve">Hovedpunkterne i </w:t>
      </w:r>
      <w:r w:rsidR="00CD321A">
        <w:t>Kvartals</w:t>
      </w:r>
      <w:r w:rsidR="00CD321A" w:rsidRPr="00595546">
        <w:t xml:space="preserve">rapporten for 3. kvartal 2025 </w:t>
      </w:r>
      <w:r w:rsidR="00BF4DF8" w:rsidRPr="00595546">
        <w:t>er følgende</w:t>
      </w:r>
      <w:r w:rsidR="00C32D68" w:rsidRPr="00595546">
        <w:t>:</w:t>
      </w:r>
    </w:p>
    <w:p w14:paraId="458A73D2" w14:textId="77777777" w:rsidR="008E0247" w:rsidRPr="00595546" w:rsidRDefault="008E0247" w:rsidP="00A05058">
      <w:pPr>
        <w:pStyle w:val="DSBodyTextIndent1"/>
        <w:jc w:val="both"/>
      </w:pPr>
    </w:p>
    <w:tbl>
      <w:tblPr>
        <w:tblW w:w="8363" w:type="dxa"/>
        <w:tblInd w:w="1289" w:type="dxa"/>
        <w:tblCellMar>
          <w:top w:w="15" w:type="dxa"/>
          <w:left w:w="15" w:type="dxa"/>
          <w:bottom w:w="15" w:type="dxa"/>
          <w:right w:w="15" w:type="dxa"/>
        </w:tblCellMar>
        <w:tblLook w:val="04A0" w:firstRow="1" w:lastRow="0" w:firstColumn="1" w:lastColumn="0" w:noHBand="0" w:noVBand="1"/>
      </w:tblPr>
      <w:tblGrid>
        <w:gridCol w:w="3708"/>
        <w:gridCol w:w="2671"/>
        <w:gridCol w:w="1984"/>
      </w:tblGrid>
      <w:tr w:rsidR="008E0247" w:rsidRPr="00595546" w14:paraId="77D4165E" w14:textId="77777777" w:rsidTr="00547E78">
        <w:tc>
          <w:tcPr>
            <w:tcW w:w="3708" w:type="dxa"/>
            <w:tcBorders>
              <w:bottom w:val="single" w:sz="8" w:space="0" w:color="000000"/>
            </w:tcBorders>
            <w:hideMark/>
          </w:tcPr>
          <w:p w14:paraId="224F66CE" w14:textId="046440C5" w:rsidR="008E0247" w:rsidRPr="00595546" w:rsidRDefault="008E0247" w:rsidP="008E0247">
            <w:pPr>
              <w:pStyle w:val="DSBodyTextIndent1"/>
              <w:ind w:left="0"/>
              <w:jc w:val="both"/>
            </w:pPr>
            <w:proofErr w:type="spellStart"/>
            <w:r w:rsidRPr="00595546">
              <w:rPr>
                <w:b/>
                <w:bCs/>
              </w:rPr>
              <w:t>mEUR</w:t>
            </w:r>
            <w:proofErr w:type="spellEnd"/>
          </w:p>
        </w:tc>
        <w:tc>
          <w:tcPr>
            <w:tcW w:w="2671" w:type="dxa"/>
            <w:tcBorders>
              <w:bottom w:val="single" w:sz="8" w:space="0" w:color="000000"/>
            </w:tcBorders>
            <w:hideMark/>
          </w:tcPr>
          <w:p w14:paraId="5B27B883" w14:textId="77777777" w:rsidR="008E0247" w:rsidRPr="00595546" w:rsidRDefault="008E0247" w:rsidP="00547E78">
            <w:pPr>
              <w:pStyle w:val="DSBodyTextIndent1"/>
              <w:ind w:left="0"/>
              <w:jc w:val="center"/>
            </w:pPr>
            <w:r w:rsidRPr="00595546">
              <w:rPr>
                <w:b/>
                <w:bCs/>
              </w:rPr>
              <w:t>3. kvartal 2025</w:t>
            </w:r>
          </w:p>
        </w:tc>
        <w:tc>
          <w:tcPr>
            <w:tcW w:w="1984" w:type="dxa"/>
            <w:tcBorders>
              <w:bottom w:val="single" w:sz="8" w:space="0" w:color="000000"/>
            </w:tcBorders>
            <w:hideMark/>
          </w:tcPr>
          <w:p w14:paraId="1DDE64F7" w14:textId="4C873685" w:rsidR="008E0247" w:rsidRPr="00595546" w:rsidRDefault="008E0247" w:rsidP="00547E78">
            <w:pPr>
              <w:pStyle w:val="DSBodyTextIndent1"/>
              <w:ind w:left="0"/>
              <w:jc w:val="center"/>
            </w:pPr>
            <w:r w:rsidRPr="00595546">
              <w:rPr>
                <w:b/>
                <w:bCs/>
              </w:rPr>
              <w:t>3.</w:t>
            </w:r>
            <w:r w:rsidR="008C56C4">
              <w:rPr>
                <w:b/>
                <w:bCs/>
              </w:rPr>
              <w:t xml:space="preserve"> </w:t>
            </w:r>
            <w:r w:rsidRPr="00595546">
              <w:rPr>
                <w:b/>
                <w:bCs/>
              </w:rPr>
              <w:t>kvartal 2024</w:t>
            </w:r>
            <w:r w:rsidRPr="00595546">
              <w:rPr>
                <w:b/>
                <w:bCs/>
                <w:vertAlign w:val="superscript"/>
              </w:rPr>
              <w:t>1</w:t>
            </w:r>
          </w:p>
        </w:tc>
      </w:tr>
      <w:tr w:rsidR="008E0247" w:rsidRPr="00595546" w14:paraId="07F78BD8" w14:textId="77777777" w:rsidTr="008E0247">
        <w:tc>
          <w:tcPr>
            <w:tcW w:w="3708" w:type="dxa"/>
            <w:tcBorders>
              <w:bottom w:val="single" w:sz="8" w:space="0" w:color="000000"/>
            </w:tcBorders>
            <w:hideMark/>
          </w:tcPr>
          <w:p w14:paraId="1E6B0EA9" w14:textId="77777777" w:rsidR="008E0247" w:rsidRPr="00595546" w:rsidRDefault="008E0247" w:rsidP="008E0247">
            <w:pPr>
              <w:pStyle w:val="DSBodyTextIndent1"/>
              <w:ind w:left="0"/>
              <w:jc w:val="both"/>
            </w:pPr>
            <w:r w:rsidRPr="00595546">
              <w:t>Omsætning</w:t>
            </w:r>
          </w:p>
        </w:tc>
        <w:tc>
          <w:tcPr>
            <w:tcW w:w="2671" w:type="dxa"/>
            <w:tcBorders>
              <w:bottom w:val="single" w:sz="8" w:space="0" w:color="000000"/>
            </w:tcBorders>
            <w:hideMark/>
          </w:tcPr>
          <w:p w14:paraId="0C1E1C46" w14:textId="77777777" w:rsidR="008E0247" w:rsidRPr="00595546" w:rsidRDefault="008E0247" w:rsidP="008E0247">
            <w:pPr>
              <w:pStyle w:val="DSBodyTextIndent1"/>
              <w:jc w:val="both"/>
            </w:pPr>
            <w:r w:rsidRPr="00595546">
              <w:t>238,7</w:t>
            </w:r>
          </w:p>
        </w:tc>
        <w:tc>
          <w:tcPr>
            <w:tcW w:w="1984" w:type="dxa"/>
            <w:tcBorders>
              <w:bottom w:val="single" w:sz="8" w:space="0" w:color="000000"/>
            </w:tcBorders>
            <w:hideMark/>
          </w:tcPr>
          <w:p w14:paraId="7A2F69B7" w14:textId="77777777" w:rsidR="008E0247" w:rsidRPr="00595546" w:rsidRDefault="008E0247" w:rsidP="008E0247">
            <w:pPr>
              <w:pStyle w:val="DSBodyTextIndent1"/>
              <w:jc w:val="both"/>
            </w:pPr>
            <w:r w:rsidRPr="00595546">
              <w:t>240,6</w:t>
            </w:r>
          </w:p>
        </w:tc>
      </w:tr>
      <w:tr w:rsidR="008E0247" w:rsidRPr="00595546" w14:paraId="30BA58FE" w14:textId="77777777" w:rsidTr="008E0247">
        <w:tc>
          <w:tcPr>
            <w:tcW w:w="3708" w:type="dxa"/>
            <w:tcBorders>
              <w:bottom w:val="single" w:sz="8" w:space="0" w:color="000000"/>
            </w:tcBorders>
            <w:hideMark/>
          </w:tcPr>
          <w:p w14:paraId="3EBC8269" w14:textId="77777777" w:rsidR="008E0247" w:rsidRPr="00595546" w:rsidRDefault="008E0247" w:rsidP="008E0247">
            <w:pPr>
              <w:pStyle w:val="DSBodyTextIndent1"/>
              <w:ind w:left="0"/>
              <w:jc w:val="both"/>
            </w:pPr>
            <w:r w:rsidRPr="00595546">
              <w:t>Organisk vækst</w:t>
            </w:r>
          </w:p>
        </w:tc>
        <w:tc>
          <w:tcPr>
            <w:tcW w:w="2671" w:type="dxa"/>
            <w:tcBorders>
              <w:bottom w:val="single" w:sz="8" w:space="0" w:color="000000"/>
            </w:tcBorders>
            <w:hideMark/>
          </w:tcPr>
          <w:p w14:paraId="60E3BEAC" w14:textId="77777777" w:rsidR="008E0247" w:rsidRPr="00595546" w:rsidRDefault="008E0247" w:rsidP="008E0247">
            <w:pPr>
              <w:pStyle w:val="DSBodyTextIndent1"/>
              <w:jc w:val="both"/>
            </w:pPr>
            <w:r w:rsidRPr="00595546">
              <w:t>2,1</w:t>
            </w:r>
          </w:p>
        </w:tc>
        <w:tc>
          <w:tcPr>
            <w:tcW w:w="1984" w:type="dxa"/>
            <w:tcBorders>
              <w:bottom w:val="single" w:sz="8" w:space="0" w:color="000000"/>
            </w:tcBorders>
            <w:hideMark/>
          </w:tcPr>
          <w:p w14:paraId="1C16C618" w14:textId="77777777" w:rsidR="008E0247" w:rsidRPr="00595546" w:rsidRDefault="008E0247" w:rsidP="008E0247">
            <w:pPr>
              <w:pStyle w:val="DSBodyTextIndent1"/>
              <w:jc w:val="both"/>
            </w:pPr>
            <w:r w:rsidRPr="00595546">
              <w:t>-0,8</w:t>
            </w:r>
          </w:p>
        </w:tc>
      </w:tr>
      <w:tr w:rsidR="008E0247" w:rsidRPr="00595546" w14:paraId="0941B42E" w14:textId="77777777" w:rsidTr="008E0247">
        <w:tc>
          <w:tcPr>
            <w:tcW w:w="3708" w:type="dxa"/>
            <w:tcBorders>
              <w:bottom w:val="single" w:sz="8" w:space="0" w:color="000000"/>
            </w:tcBorders>
            <w:hideMark/>
          </w:tcPr>
          <w:p w14:paraId="77F4CCAE" w14:textId="77777777" w:rsidR="008E0247" w:rsidRPr="00595546" w:rsidRDefault="008E0247" w:rsidP="008E0247">
            <w:pPr>
              <w:pStyle w:val="DSBodyTextIndent1"/>
              <w:ind w:left="0"/>
              <w:jc w:val="both"/>
            </w:pPr>
            <w:r w:rsidRPr="00595546">
              <w:t>Bruttomargin</w:t>
            </w:r>
          </w:p>
        </w:tc>
        <w:tc>
          <w:tcPr>
            <w:tcW w:w="2671" w:type="dxa"/>
            <w:tcBorders>
              <w:bottom w:val="single" w:sz="8" w:space="0" w:color="000000"/>
            </w:tcBorders>
            <w:hideMark/>
          </w:tcPr>
          <w:p w14:paraId="055D2933" w14:textId="77777777" w:rsidR="008E0247" w:rsidRPr="00595546" w:rsidRDefault="008E0247" w:rsidP="008E0247">
            <w:pPr>
              <w:pStyle w:val="DSBodyTextIndent1"/>
              <w:jc w:val="both"/>
            </w:pPr>
            <w:r w:rsidRPr="00595546">
              <w:t>41,2</w:t>
            </w:r>
          </w:p>
        </w:tc>
        <w:tc>
          <w:tcPr>
            <w:tcW w:w="1984" w:type="dxa"/>
            <w:tcBorders>
              <w:bottom w:val="single" w:sz="8" w:space="0" w:color="000000"/>
            </w:tcBorders>
            <w:hideMark/>
          </w:tcPr>
          <w:p w14:paraId="620231E9" w14:textId="77777777" w:rsidR="008E0247" w:rsidRPr="00595546" w:rsidRDefault="008E0247" w:rsidP="008E0247">
            <w:pPr>
              <w:pStyle w:val="DSBodyTextIndent1"/>
              <w:jc w:val="both"/>
            </w:pPr>
            <w:r w:rsidRPr="00595546">
              <w:t>42,4</w:t>
            </w:r>
          </w:p>
        </w:tc>
      </w:tr>
      <w:tr w:rsidR="008E0247" w:rsidRPr="00595546" w14:paraId="1ACA7CDB" w14:textId="77777777" w:rsidTr="008E0247">
        <w:tc>
          <w:tcPr>
            <w:tcW w:w="3708" w:type="dxa"/>
            <w:tcBorders>
              <w:bottom w:val="single" w:sz="8" w:space="0" w:color="000000"/>
            </w:tcBorders>
            <w:hideMark/>
          </w:tcPr>
          <w:p w14:paraId="38A9F7D7" w14:textId="77777777" w:rsidR="008E0247" w:rsidRPr="00595546" w:rsidRDefault="008E0247" w:rsidP="008E0247">
            <w:pPr>
              <w:pStyle w:val="DSBodyTextIndent1"/>
              <w:ind w:left="0"/>
              <w:jc w:val="both"/>
            </w:pPr>
            <w:r w:rsidRPr="00595546">
              <w:t>Overheadomkostninger</w:t>
            </w:r>
          </w:p>
        </w:tc>
        <w:tc>
          <w:tcPr>
            <w:tcW w:w="2671" w:type="dxa"/>
            <w:tcBorders>
              <w:bottom w:val="single" w:sz="8" w:space="0" w:color="000000"/>
            </w:tcBorders>
            <w:hideMark/>
          </w:tcPr>
          <w:p w14:paraId="6B95D69C" w14:textId="77777777" w:rsidR="008E0247" w:rsidRPr="00595546" w:rsidRDefault="008E0247" w:rsidP="008E0247">
            <w:pPr>
              <w:pStyle w:val="DSBodyTextIndent1"/>
              <w:jc w:val="both"/>
            </w:pPr>
            <w:r w:rsidRPr="00595546">
              <w:t>84</w:t>
            </w:r>
          </w:p>
        </w:tc>
        <w:tc>
          <w:tcPr>
            <w:tcW w:w="1984" w:type="dxa"/>
            <w:tcBorders>
              <w:bottom w:val="single" w:sz="8" w:space="0" w:color="000000"/>
            </w:tcBorders>
            <w:hideMark/>
          </w:tcPr>
          <w:p w14:paraId="6E5700E6" w14:textId="77777777" w:rsidR="008E0247" w:rsidRPr="00595546" w:rsidRDefault="008E0247" w:rsidP="008E0247">
            <w:pPr>
              <w:pStyle w:val="DSBodyTextIndent1"/>
              <w:jc w:val="both"/>
            </w:pPr>
            <w:r w:rsidRPr="00595546">
              <w:t>87,6</w:t>
            </w:r>
          </w:p>
        </w:tc>
      </w:tr>
      <w:tr w:rsidR="008E0247" w:rsidRPr="00595546" w14:paraId="4514A760" w14:textId="77777777" w:rsidTr="008E0247">
        <w:tc>
          <w:tcPr>
            <w:tcW w:w="3708" w:type="dxa"/>
            <w:tcBorders>
              <w:bottom w:val="single" w:sz="8" w:space="0" w:color="000000"/>
            </w:tcBorders>
            <w:hideMark/>
          </w:tcPr>
          <w:p w14:paraId="6524966D" w14:textId="77777777" w:rsidR="008E0247" w:rsidRPr="00595546" w:rsidRDefault="008E0247" w:rsidP="008E0247">
            <w:pPr>
              <w:pStyle w:val="DSBodyTextIndent1"/>
              <w:ind w:left="0"/>
              <w:jc w:val="both"/>
            </w:pPr>
            <w:r w:rsidRPr="00595546">
              <w:t>Overheadomkostningsprocent</w:t>
            </w:r>
          </w:p>
        </w:tc>
        <w:tc>
          <w:tcPr>
            <w:tcW w:w="2671" w:type="dxa"/>
            <w:tcBorders>
              <w:bottom w:val="single" w:sz="8" w:space="0" w:color="000000"/>
            </w:tcBorders>
            <w:hideMark/>
          </w:tcPr>
          <w:p w14:paraId="47ABCEA1" w14:textId="77777777" w:rsidR="008E0247" w:rsidRPr="00595546" w:rsidRDefault="008E0247" w:rsidP="008E0247">
            <w:pPr>
              <w:pStyle w:val="DSBodyTextIndent1"/>
              <w:jc w:val="both"/>
            </w:pPr>
            <w:r w:rsidRPr="00595546">
              <w:t>35,3</w:t>
            </w:r>
          </w:p>
        </w:tc>
        <w:tc>
          <w:tcPr>
            <w:tcW w:w="1984" w:type="dxa"/>
            <w:tcBorders>
              <w:bottom w:val="single" w:sz="8" w:space="0" w:color="000000"/>
            </w:tcBorders>
            <w:hideMark/>
          </w:tcPr>
          <w:p w14:paraId="2522DA12" w14:textId="77777777" w:rsidR="008E0247" w:rsidRPr="00595546" w:rsidRDefault="008E0247" w:rsidP="008E0247">
            <w:pPr>
              <w:pStyle w:val="DSBodyTextIndent1"/>
              <w:jc w:val="both"/>
            </w:pPr>
            <w:r w:rsidRPr="00595546">
              <w:t>36,4</w:t>
            </w:r>
          </w:p>
        </w:tc>
      </w:tr>
      <w:tr w:rsidR="008E0247" w:rsidRPr="00595546" w14:paraId="009A7C9D" w14:textId="77777777" w:rsidTr="008E0247">
        <w:tc>
          <w:tcPr>
            <w:tcW w:w="3708" w:type="dxa"/>
            <w:tcBorders>
              <w:bottom w:val="single" w:sz="8" w:space="0" w:color="000000"/>
            </w:tcBorders>
            <w:hideMark/>
          </w:tcPr>
          <w:p w14:paraId="4465E89D" w14:textId="77777777" w:rsidR="008E0247" w:rsidRPr="00595546" w:rsidRDefault="008E0247" w:rsidP="008E0247">
            <w:pPr>
              <w:pStyle w:val="DSBodyTextIndent1"/>
              <w:ind w:left="0"/>
              <w:jc w:val="both"/>
            </w:pPr>
            <w:proofErr w:type="spellStart"/>
            <w:r w:rsidRPr="00595546">
              <w:t>EBITDA</w:t>
            </w:r>
            <w:proofErr w:type="spellEnd"/>
            <w:r w:rsidRPr="00595546">
              <w:t xml:space="preserve"> før særlige poster</w:t>
            </w:r>
          </w:p>
        </w:tc>
        <w:tc>
          <w:tcPr>
            <w:tcW w:w="2671" w:type="dxa"/>
            <w:tcBorders>
              <w:bottom w:val="single" w:sz="8" w:space="0" w:color="000000"/>
            </w:tcBorders>
            <w:hideMark/>
          </w:tcPr>
          <w:p w14:paraId="1499A79A" w14:textId="77777777" w:rsidR="008E0247" w:rsidRPr="00595546" w:rsidRDefault="008E0247" w:rsidP="008E0247">
            <w:pPr>
              <w:pStyle w:val="DSBodyTextIndent1"/>
              <w:jc w:val="both"/>
            </w:pPr>
            <w:r w:rsidRPr="00595546">
              <w:t>30,1</w:t>
            </w:r>
          </w:p>
        </w:tc>
        <w:tc>
          <w:tcPr>
            <w:tcW w:w="1984" w:type="dxa"/>
            <w:tcBorders>
              <w:bottom w:val="single" w:sz="8" w:space="0" w:color="000000"/>
            </w:tcBorders>
            <w:hideMark/>
          </w:tcPr>
          <w:p w14:paraId="65BF8D3E" w14:textId="77777777" w:rsidR="008E0247" w:rsidRPr="00595546" w:rsidRDefault="008E0247" w:rsidP="008E0247">
            <w:pPr>
              <w:pStyle w:val="DSBodyTextIndent1"/>
              <w:jc w:val="both"/>
            </w:pPr>
            <w:r w:rsidRPr="00595546">
              <w:t>30,9</w:t>
            </w:r>
          </w:p>
        </w:tc>
      </w:tr>
      <w:tr w:rsidR="008E0247" w:rsidRPr="00595546" w14:paraId="19C18FB6" w14:textId="77777777" w:rsidTr="008E0247">
        <w:tc>
          <w:tcPr>
            <w:tcW w:w="3708" w:type="dxa"/>
            <w:tcBorders>
              <w:bottom w:val="single" w:sz="8" w:space="0" w:color="000000"/>
            </w:tcBorders>
            <w:hideMark/>
          </w:tcPr>
          <w:p w14:paraId="41AB3487" w14:textId="77777777" w:rsidR="008E0247" w:rsidRPr="00595546" w:rsidRDefault="008E0247" w:rsidP="008E0247">
            <w:pPr>
              <w:pStyle w:val="DSBodyTextIndent1"/>
              <w:ind w:left="0"/>
              <w:jc w:val="both"/>
            </w:pPr>
            <w:proofErr w:type="spellStart"/>
            <w:r w:rsidRPr="00595546">
              <w:t>EBITDA</w:t>
            </w:r>
            <w:proofErr w:type="spellEnd"/>
            <w:r w:rsidRPr="00595546">
              <w:t>-margin før særlige poster</w:t>
            </w:r>
          </w:p>
        </w:tc>
        <w:tc>
          <w:tcPr>
            <w:tcW w:w="2671" w:type="dxa"/>
            <w:tcBorders>
              <w:bottom w:val="single" w:sz="8" w:space="0" w:color="000000"/>
            </w:tcBorders>
            <w:hideMark/>
          </w:tcPr>
          <w:p w14:paraId="600B004D" w14:textId="77777777" w:rsidR="008E0247" w:rsidRPr="00595546" w:rsidRDefault="008E0247" w:rsidP="008E0247">
            <w:pPr>
              <w:pStyle w:val="DSBodyTextIndent1"/>
              <w:jc w:val="both"/>
            </w:pPr>
            <w:r w:rsidRPr="00595546">
              <w:t>12,6</w:t>
            </w:r>
          </w:p>
        </w:tc>
        <w:tc>
          <w:tcPr>
            <w:tcW w:w="1984" w:type="dxa"/>
            <w:tcBorders>
              <w:bottom w:val="single" w:sz="8" w:space="0" w:color="000000"/>
            </w:tcBorders>
            <w:hideMark/>
          </w:tcPr>
          <w:p w14:paraId="21176670" w14:textId="77777777" w:rsidR="008E0247" w:rsidRPr="00595546" w:rsidRDefault="008E0247" w:rsidP="008E0247">
            <w:pPr>
              <w:pStyle w:val="DSBodyTextIndent1"/>
              <w:jc w:val="both"/>
            </w:pPr>
            <w:r w:rsidRPr="00595546">
              <w:t>12,8</w:t>
            </w:r>
          </w:p>
        </w:tc>
      </w:tr>
      <w:tr w:rsidR="008E0247" w:rsidRPr="00595546" w14:paraId="3AAB424B" w14:textId="77777777" w:rsidTr="008E0247">
        <w:tc>
          <w:tcPr>
            <w:tcW w:w="3708" w:type="dxa"/>
            <w:tcBorders>
              <w:bottom w:val="single" w:sz="8" w:space="0" w:color="000000"/>
            </w:tcBorders>
            <w:hideMark/>
          </w:tcPr>
          <w:p w14:paraId="31B2F55C" w14:textId="77777777" w:rsidR="008E0247" w:rsidRPr="00595546" w:rsidRDefault="008E0247" w:rsidP="008E0247">
            <w:pPr>
              <w:pStyle w:val="DSBodyTextIndent1"/>
              <w:ind w:left="0"/>
              <w:jc w:val="both"/>
            </w:pPr>
            <w:r w:rsidRPr="00595546">
              <w:t>Særlige poster, netto</w:t>
            </w:r>
          </w:p>
        </w:tc>
        <w:tc>
          <w:tcPr>
            <w:tcW w:w="2671" w:type="dxa"/>
            <w:tcBorders>
              <w:bottom w:val="single" w:sz="8" w:space="0" w:color="000000"/>
            </w:tcBorders>
            <w:hideMark/>
          </w:tcPr>
          <w:p w14:paraId="397BA5C3" w14:textId="77777777" w:rsidR="008E0247" w:rsidRPr="00595546" w:rsidRDefault="008E0247" w:rsidP="008E0247">
            <w:pPr>
              <w:pStyle w:val="DSBodyTextIndent1"/>
              <w:jc w:val="both"/>
            </w:pPr>
            <w:r w:rsidRPr="00595546">
              <w:t>-47,4</w:t>
            </w:r>
          </w:p>
        </w:tc>
        <w:tc>
          <w:tcPr>
            <w:tcW w:w="1984" w:type="dxa"/>
            <w:tcBorders>
              <w:bottom w:val="single" w:sz="8" w:space="0" w:color="000000"/>
            </w:tcBorders>
            <w:hideMark/>
          </w:tcPr>
          <w:p w14:paraId="5792ED6D" w14:textId="77777777" w:rsidR="008E0247" w:rsidRPr="00595546" w:rsidRDefault="008E0247" w:rsidP="008E0247">
            <w:pPr>
              <w:pStyle w:val="DSBodyTextIndent1"/>
              <w:jc w:val="both"/>
            </w:pPr>
            <w:r w:rsidRPr="00595546">
              <w:t>-</w:t>
            </w:r>
          </w:p>
        </w:tc>
      </w:tr>
      <w:tr w:rsidR="008E0247" w:rsidRPr="00595546" w14:paraId="16CA85E1" w14:textId="77777777" w:rsidTr="008E0247">
        <w:tc>
          <w:tcPr>
            <w:tcW w:w="3708" w:type="dxa"/>
            <w:tcBorders>
              <w:bottom w:val="single" w:sz="8" w:space="0" w:color="000000"/>
            </w:tcBorders>
            <w:hideMark/>
          </w:tcPr>
          <w:p w14:paraId="571B0CF7" w14:textId="77777777" w:rsidR="008E0247" w:rsidRPr="00595546" w:rsidRDefault="008E0247" w:rsidP="008E0247">
            <w:pPr>
              <w:pStyle w:val="DSBodyTextIndent1"/>
              <w:ind w:left="0"/>
              <w:jc w:val="both"/>
            </w:pPr>
            <w:proofErr w:type="spellStart"/>
            <w:r w:rsidRPr="00595546">
              <w:t>CAPEX</w:t>
            </w:r>
            <w:proofErr w:type="spellEnd"/>
            <w:r w:rsidRPr="00595546">
              <w:t>-ratio</w:t>
            </w:r>
          </w:p>
        </w:tc>
        <w:tc>
          <w:tcPr>
            <w:tcW w:w="2671" w:type="dxa"/>
            <w:tcBorders>
              <w:bottom w:val="single" w:sz="8" w:space="0" w:color="000000"/>
            </w:tcBorders>
            <w:hideMark/>
          </w:tcPr>
          <w:p w14:paraId="43CD31C7" w14:textId="77777777" w:rsidR="008E0247" w:rsidRPr="00595546" w:rsidRDefault="008E0247" w:rsidP="008E0247">
            <w:pPr>
              <w:pStyle w:val="DSBodyTextIndent1"/>
              <w:jc w:val="both"/>
            </w:pPr>
            <w:r w:rsidRPr="00595546">
              <w:t>3,5</w:t>
            </w:r>
          </w:p>
        </w:tc>
        <w:tc>
          <w:tcPr>
            <w:tcW w:w="1984" w:type="dxa"/>
            <w:tcBorders>
              <w:bottom w:val="single" w:sz="8" w:space="0" w:color="000000"/>
            </w:tcBorders>
            <w:hideMark/>
          </w:tcPr>
          <w:p w14:paraId="31FB7529" w14:textId="77777777" w:rsidR="008E0247" w:rsidRPr="00595546" w:rsidRDefault="008E0247" w:rsidP="008E0247">
            <w:pPr>
              <w:pStyle w:val="DSBodyTextIndent1"/>
              <w:jc w:val="both"/>
            </w:pPr>
            <w:r w:rsidRPr="00595546">
              <w:t>4,4</w:t>
            </w:r>
          </w:p>
        </w:tc>
      </w:tr>
      <w:tr w:rsidR="008E0247" w:rsidRPr="00595546" w14:paraId="4A13174F" w14:textId="77777777" w:rsidTr="008E0247">
        <w:tc>
          <w:tcPr>
            <w:tcW w:w="3708" w:type="dxa"/>
            <w:tcBorders>
              <w:bottom w:val="single" w:sz="8" w:space="0" w:color="000000"/>
            </w:tcBorders>
            <w:hideMark/>
          </w:tcPr>
          <w:p w14:paraId="727ED65C" w14:textId="77777777" w:rsidR="008E0247" w:rsidRPr="00595546" w:rsidRDefault="008E0247" w:rsidP="008E0247">
            <w:pPr>
              <w:pStyle w:val="DSBodyTextIndent1"/>
              <w:ind w:left="0"/>
              <w:jc w:val="both"/>
            </w:pPr>
            <w:r w:rsidRPr="00595546">
              <w:t>Fri pengestrøm</w:t>
            </w:r>
          </w:p>
        </w:tc>
        <w:tc>
          <w:tcPr>
            <w:tcW w:w="2671" w:type="dxa"/>
            <w:tcBorders>
              <w:bottom w:val="single" w:sz="8" w:space="0" w:color="000000"/>
            </w:tcBorders>
            <w:hideMark/>
          </w:tcPr>
          <w:p w14:paraId="06F28E85" w14:textId="77777777" w:rsidR="008E0247" w:rsidRPr="00595546" w:rsidRDefault="008E0247" w:rsidP="008E0247">
            <w:pPr>
              <w:pStyle w:val="DSBodyTextIndent1"/>
              <w:jc w:val="both"/>
            </w:pPr>
            <w:r w:rsidRPr="00595546">
              <w:t>10,5</w:t>
            </w:r>
          </w:p>
        </w:tc>
        <w:tc>
          <w:tcPr>
            <w:tcW w:w="1984" w:type="dxa"/>
            <w:tcBorders>
              <w:bottom w:val="single" w:sz="8" w:space="0" w:color="000000"/>
            </w:tcBorders>
            <w:hideMark/>
          </w:tcPr>
          <w:p w14:paraId="22524AFA" w14:textId="77777777" w:rsidR="008E0247" w:rsidRPr="00595546" w:rsidRDefault="008E0247" w:rsidP="008E0247">
            <w:pPr>
              <w:pStyle w:val="DSBodyTextIndent1"/>
              <w:jc w:val="both"/>
            </w:pPr>
            <w:r w:rsidRPr="00595546">
              <w:t>7,4</w:t>
            </w:r>
          </w:p>
        </w:tc>
      </w:tr>
      <w:tr w:rsidR="008E0247" w:rsidRPr="00595546" w14:paraId="61AF97FC" w14:textId="77777777" w:rsidTr="008E0247">
        <w:tc>
          <w:tcPr>
            <w:tcW w:w="3708" w:type="dxa"/>
            <w:tcBorders>
              <w:bottom w:val="single" w:sz="8" w:space="0" w:color="000000"/>
            </w:tcBorders>
            <w:hideMark/>
          </w:tcPr>
          <w:p w14:paraId="59721E45" w14:textId="77777777" w:rsidR="008E0247" w:rsidRPr="00595546" w:rsidRDefault="008E0247" w:rsidP="008E0247">
            <w:pPr>
              <w:pStyle w:val="DSBodyTextIndent1"/>
              <w:ind w:left="0"/>
              <w:jc w:val="both"/>
            </w:pPr>
            <w:r w:rsidRPr="00595546">
              <w:t>Netto rentebærende gæld</w:t>
            </w:r>
          </w:p>
        </w:tc>
        <w:tc>
          <w:tcPr>
            <w:tcW w:w="2671" w:type="dxa"/>
            <w:tcBorders>
              <w:bottom w:val="single" w:sz="8" w:space="0" w:color="000000"/>
            </w:tcBorders>
            <w:hideMark/>
          </w:tcPr>
          <w:p w14:paraId="0A001E7A" w14:textId="77777777" w:rsidR="008E0247" w:rsidRPr="00595546" w:rsidRDefault="008E0247" w:rsidP="008E0247">
            <w:pPr>
              <w:pStyle w:val="DSBodyTextIndent1"/>
              <w:jc w:val="both"/>
            </w:pPr>
            <w:r w:rsidRPr="00595546">
              <w:t>312,6</w:t>
            </w:r>
          </w:p>
        </w:tc>
        <w:tc>
          <w:tcPr>
            <w:tcW w:w="1984" w:type="dxa"/>
            <w:tcBorders>
              <w:bottom w:val="single" w:sz="8" w:space="0" w:color="000000"/>
            </w:tcBorders>
            <w:hideMark/>
          </w:tcPr>
          <w:p w14:paraId="419DE6E4" w14:textId="77777777" w:rsidR="008E0247" w:rsidRPr="00595546" w:rsidRDefault="008E0247" w:rsidP="008E0247">
            <w:pPr>
              <w:pStyle w:val="DSBodyTextIndent1"/>
              <w:jc w:val="both"/>
            </w:pPr>
            <w:r w:rsidRPr="00595546">
              <w:t>257,7</w:t>
            </w:r>
          </w:p>
        </w:tc>
      </w:tr>
      <w:tr w:rsidR="008E0247" w:rsidRPr="00595546" w14:paraId="0E299482" w14:textId="77777777" w:rsidTr="008E0247">
        <w:tc>
          <w:tcPr>
            <w:tcW w:w="3708" w:type="dxa"/>
            <w:tcBorders>
              <w:bottom w:val="single" w:sz="8" w:space="0" w:color="000000"/>
            </w:tcBorders>
            <w:hideMark/>
          </w:tcPr>
          <w:p w14:paraId="2866929D" w14:textId="77777777" w:rsidR="008E0247" w:rsidRPr="00595546" w:rsidRDefault="008E0247" w:rsidP="008E0247">
            <w:pPr>
              <w:pStyle w:val="DSBodyTextIndent1"/>
              <w:ind w:left="0"/>
              <w:jc w:val="both"/>
            </w:pPr>
            <w:r w:rsidRPr="00595546">
              <w:t>Finansiel gearing</w:t>
            </w:r>
          </w:p>
        </w:tc>
        <w:tc>
          <w:tcPr>
            <w:tcW w:w="2671" w:type="dxa"/>
            <w:tcBorders>
              <w:bottom w:val="single" w:sz="8" w:space="0" w:color="000000"/>
            </w:tcBorders>
            <w:hideMark/>
          </w:tcPr>
          <w:p w14:paraId="02135260" w14:textId="77777777" w:rsidR="008E0247" w:rsidRPr="00595546" w:rsidRDefault="008E0247" w:rsidP="008E0247">
            <w:pPr>
              <w:pStyle w:val="DSBodyTextIndent1"/>
              <w:jc w:val="both"/>
            </w:pPr>
            <w:r w:rsidRPr="00595546">
              <w:t>2,3</w:t>
            </w:r>
          </w:p>
        </w:tc>
        <w:tc>
          <w:tcPr>
            <w:tcW w:w="1984" w:type="dxa"/>
            <w:tcBorders>
              <w:bottom w:val="single" w:sz="8" w:space="0" w:color="000000"/>
            </w:tcBorders>
            <w:hideMark/>
          </w:tcPr>
          <w:p w14:paraId="3A4BEF56" w14:textId="77777777" w:rsidR="008E0247" w:rsidRPr="00595546" w:rsidRDefault="008E0247" w:rsidP="008E0247">
            <w:pPr>
              <w:pStyle w:val="DSBodyTextIndent1"/>
              <w:jc w:val="both"/>
            </w:pPr>
            <w:r w:rsidRPr="00595546">
              <w:t>1,8</w:t>
            </w:r>
          </w:p>
        </w:tc>
      </w:tr>
      <w:tr w:rsidR="008E0247" w:rsidRPr="00595546" w14:paraId="69F413CE" w14:textId="77777777" w:rsidTr="008E0247">
        <w:tc>
          <w:tcPr>
            <w:tcW w:w="3708" w:type="dxa"/>
            <w:tcBorders>
              <w:bottom w:val="single" w:sz="8" w:space="0" w:color="000000"/>
            </w:tcBorders>
            <w:hideMark/>
          </w:tcPr>
          <w:p w14:paraId="6C32F6AC" w14:textId="77777777" w:rsidR="008E0247" w:rsidRPr="00595546" w:rsidRDefault="008E0247" w:rsidP="008E0247">
            <w:pPr>
              <w:pStyle w:val="DSBodyTextIndent1"/>
              <w:ind w:left="0"/>
              <w:jc w:val="both"/>
            </w:pPr>
            <w:r w:rsidRPr="00595546">
              <w:t>Grundlæggende indtjening pr. aktie (EPS)</w:t>
            </w:r>
          </w:p>
        </w:tc>
        <w:tc>
          <w:tcPr>
            <w:tcW w:w="2671" w:type="dxa"/>
            <w:tcBorders>
              <w:bottom w:val="single" w:sz="8" w:space="0" w:color="000000"/>
            </w:tcBorders>
            <w:hideMark/>
          </w:tcPr>
          <w:p w14:paraId="7A2E0E34" w14:textId="77777777" w:rsidR="008E0247" w:rsidRPr="00595546" w:rsidRDefault="008E0247" w:rsidP="008E0247">
            <w:pPr>
              <w:pStyle w:val="DSBodyTextIndent1"/>
              <w:jc w:val="both"/>
            </w:pPr>
            <w:r w:rsidRPr="00595546">
              <w:t>-1,05</w:t>
            </w:r>
          </w:p>
        </w:tc>
        <w:tc>
          <w:tcPr>
            <w:tcW w:w="1984" w:type="dxa"/>
            <w:tcBorders>
              <w:bottom w:val="single" w:sz="8" w:space="0" w:color="000000"/>
            </w:tcBorders>
            <w:hideMark/>
          </w:tcPr>
          <w:p w14:paraId="53E3EC7B" w14:textId="77777777" w:rsidR="008E0247" w:rsidRPr="00595546" w:rsidRDefault="008E0247" w:rsidP="008E0247">
            <w:pPr>
              <w:pStyle w:val="DSBodyTextIndent1"/>
              <w:jc w:val="both"/>
            </w:pPr>
            <w:r w:rsidRPr="00595546">
              <w:t>0,20</w:t>
            </w:r>
          </w:p>
        </w:tc>
      </w:tr>
    </w:tbl>
    <w:p w14:paraId="21C5F4A9" w14:textId="77777777" w:rsidR="009107AC" w:rsidRDefault="009107AC" w:rsidP="00A05058">
      <w:pPr>
        <w:pStyle w:val="DSBodyTextIndent1"/>
        <w:jc w:val="both"/>
      </w:pPr>
    </w:p>
    <w:p w14:paraId="2D93A5E9" w14:textId="2D75F85E" w:rsidR="008E0247" w:rsidRPr="00595546" w:rsidRDefault="009107AC" w:rsidP="00A05058">
      <w:pPr>
        <w:pStyle w:val="DSBodyTextIndent1"/>
        <w:jc w:val="both"/>
      </w:pPr>
      <w:r>
        <w:t xml:space="preserve">1 </w:t>
      </w:r>
      <w:r w:rsidR="00712639" w:rsidRPr="00712639">
        <w:t xml:space="preserve">Fra 3. kvartal 2025 er andelen af overskud fra associerede virksomheder blevet </w:t>
      </w:r>
      <w:proofErr w:type="spellStart"/>
      <w:r w:rsidR="00712639" w:rsidRPr="00712639">
        <w:t>omklassificeret</w:t>
      </w:r>
      <w:proofErr w:type="spellEnd"/>
      <w:r w:rsidR="00712639" w:rsidRPr="00712639">
        <w:t xml:space="preserve"> til at indgå i driftsresultatet. Sammenligningstal og nøgletal er blevet tilpasset i overensstemmelse hermed. Læs mere i </w:t>
      </w:r>
      <w:r w:rsidR="00712639">
        <w:t>Kvartals</w:t>
      </w:r>
      <w:r w:rsidR="00712639" w:rsidRPr="00712639">
        <w:t>rapporten for 3. kvartal 2025.</w:t>
      </w:r>
    </w:p>
    <w:p w14:paraId="74627660" w14:textId="1ECBB6AF" w:rsidR="00C409D1" w:rsidRPr="00595546" w:rsidRDefault="00C409D1" w:rsidP="00A05058">
      <w:pPr>
        <w:pStyle w:val="Heading3"/>
        <w:jc w:val="both"/>
      </w:pPr>
      <w:bookmarkStart w:id="43" w:name="_Toc206831191"/>
      <w:bookmarkStart w:id="44" w:name="_Ref206835125"/>
      <w:bookmarkStart w:id="45" w:name="_Toc218590509"/>
      <w:bookmarkEnd w:id="43"/>
      <w:r w:rsidRPr="00595546">
        <w:t xml:space="preserve">Finansielle </w:t>
      </w:r>
      <w:r w:rsidR="00496C77">
        <w:t>forventninger</w:t>
      </w:r>
      <w:r w:rsidR="00D64E82" w:rsidRPr="00595546">
        <w:t xml:space="preserve"> </w:t>
      </w:r>
      <w:r w:rsidRPr="00595546">
        <w:t>for 2025</w:t>
      </w:r>
      <w:bookmarkEnd w:id="44"/>
      <w:bookmarkEnd w:id="45"/>
      <w:r w:rsidR="00F6113D" w:rsidRPr="00595546">
        <w:t xml:space="preserve"> </w:t>
      </w:r>
      <w:bookmarkStart w:id="46" w:name="_Toc206831192"/>
      <w:bookmarkEnd w:id="41"/>
      <w:bookmarkEnd w:id="46"/>
    </w:p>
    <w:p w14:paraId="56385D52" w14:textId="5E5BCDCB" w:rsidR="00A21290" w:rsidRPr="00595546" w:rsidRDefault="00D64E82" w:rsidP="009B7F81">
      <w:pPr>
        <w:pStyle w:val="DSBodyTextIndent1"/>
        <w:jc w:val="both"/>
      </w:pPr>
      <w:r w:rsidRPr="00595546">
        <w:t xml:space="preserve">I </w:t>
      </w:r>
      <w:r w:rsidR="002471F1">
        <w:t>2024 Å</w:t>
      </w:r>
      <w:r w:rsidRPr="00595546">
        <w:t xml:space="preserve">rsrapporten offentliggjorde </w:t>
      </w:r>
      <w:r w:rsidR="00DB44D5" w:rsidRPr="00595546">
        <w:t xml:space="preserve">Selskabet </w:t>
      </w:r>
      <w:r w:rsidRPr="00595546">
        <w:t xml:space="preserve">sine finansielle </w:t>
      </w:r>
      <w:r w:rsidR="00496C77">
        <w:t>forventninger</w:t>
      </w:r>
      <w:r w:rsidRPr="00595546">
        <w:t xml:space="preserve"> for regnskabsåret 2025. </w:t>
      </w:r>
    </w:p>
    <w:p w14:paraId="15A0B2F1" w14:textId="77777777" w:rsidR="00082D36" w:rsidRPr="00595546" w:rsidRDefault="00082D36" w:rsidP="009B7F81">
      <w:pPr>
        <w:pStyle w:val="DSBodyTextIndent1"/>
        <w:jc w:val="both"/>
      </w:pPr>
    </w:p>
    <w:p w14:paraId="2873C10F" w14:textId="0354271A" w:rsidR="00082D36" w:rsidRPr="00595546" w:rsidRDefault="00862DBC" w:rsidP="009B7F81">
      <w:pPr>
        <w:pStyle w:val="DSBodyTextIndent1"/>
        <w:jc w:val="both"/>
      </w:pPr>
      <w:r w:rsidRPr="00595546">
        <w:t xml:space="preserve">I </w:t>
      </w:r>
      <w:r w:rsidR="00CD321A">
        <w:t>Kvartals</w:t>
      </w:r>
      <w:r w:rsidRPr="00595546">
        <w:t xml:space="preserve">rapporten for 3. kvartal 2025 </w:t>
      </w:r>
      <w:r w:rsidR="001B23C8" w:rsidRPr="00595546">
        <w:t>præciserede</w:t>
      </w:r>
      <w:r w:rsidRPr="00595546">
        <w:t xml:space="preserve"> </w:t>
      </w:r>
      <w:r w:rsidR="00DB44D5" w:rsidRPr="00595546">
        <w:t xml:space="preserve">Selskabet </w:t>
      </w:r>
      <w:r w:rsidR="001A13BC" w:rsidRPr="00595546">
        <w:t xml:space="preserve">dele af de finansielle </w:t>
      </w:r>
      <w:r w:rsidR="00F5013D">
        <w:t>forventninger</w:t>
      </w:r>
      <w:r w:rsidR="001A13BC" w:rsidRPr="00595546">
        <w:t xml:space="preserve"> for regnskabsåret 2025. </w:t>
      </w:r>
      <w:r w:rsidR="00E3764A" w:rsidRPr="00595546">
        <w:t xml:space="preserve">I </w:t>
      </w:r>
      <w:r w:rsidR="00CD321A">
        <w:t>M</w:t>
      </w:r>
      <w:r w:rsidR="00E3764A" w:rsidRPr="00595546">
        <w:t xml:space="preserve">eddelelse 15/2025 </w:t>
      </w:r>
      <w:r w:rsidR="00F430AC" w:rsidRPr="00595546">
        <w:t xml:space="preserve">præciserede </w:t>
      </w:r>
      <w:r w:rsidR="00DB44D5" w:rsidRPr="00595546">
        <w:t xml:space="preserve">Selskabet </w:t>
      </w:r>
      <w:r w:rsidR="00F430AC" w:rsidRPr="00595546">
        <w:t xml:space="preserve">yderligere dele af de finansielle </w:t>
      </w:r>
      <w:r w:rsidR="00F5013D">
        <w:t>forventninger</w:t>
      </w:r>
      <w:r w:rsidR="00F430AC" w:rsidRPr="00595546">
        <w:t xml:space="preserve"> for 2025. </w:t>
      </w:r>
      <w:r w:rsidR="001A13BC" w:rsidRPr="00595546">
        <w:t xml:space="preserve">De </w:t>
      </w:r>
      <w:r w:rsidR="00F73C78" w:rsidRPr="00595546">
        <w:t xml:space="preserve">præciserede finansielle </w:t>
      </w:r>
      <w:r w:rsidR="00F5013D">
        <w:t>forventninger</w:t>
      </w:r>
      <w:r w:rsidR="00F73C78" w:rsidRPr="00595546">
        <w:t xml:space="preserve"> for regnskabsåret 2025 er som følger:</w:t>
      </w:r>
    </w:p>
    <w:p w14:paraId="54D0B6A9" w14:textId="77777777" w:rsidR="00F73C78" w:rsidRPr="00595546" w:rsidRDefault="00F73C78" w:rsidP="009B7F81">
      <w:pPr>
        <w:pStyle w:val="DSBodyTextIndent1"/>
        <w:jc w:val="both"/>
      </w:pPr>
    </w:p>
    <w:p w14:paraId="551FB195" w14:textId="44C83A70" w:rsidR="009B7F81" w:rsidRPr="00595546" w:rsidRDefault="009B7F81" w:rsidP="009B7F81">
      <w:pPr>
        <w:pStyle w:val="DSBodyTextIndent1"/>
        <w:jc w:val="both"/>
      </w:pPr>
      <w:r w:rsidRPr="00595546">
        <w:t>Den organiske vækst forventes at blive</w:t>
      </w:r>
      <w:r w:rsidR="007E25AF" w:rsidRPr="00595546">
        <w:t xml:space="preserve"> 0 % til</w:t>
      </w:r>
      <w:r w:rsidRPr="00595546">
        <w:t xml:space="preserve"> 1 % (</w:t>
      </w:r>
      <w:r w:rsidR="002B34D5">
        <w:t>I Kvartalsrapporten for 3. kvartal 2025</w:t>
      </w:r>
      <w:r w:rsidRPr="00595546">
        <w:t xml:space="preserve"> </w:t>
      </w:r>
      <w:r w:rsidR="000A73FC" w:rsidRPr="00595546">
        <w:t>ca.</w:t>
      </w:r>
      <w:r w:rsidRPr="00595546">
        <w:t xml:space="preserve"> 1 % </w:t>
      </w:r>
      <w:r w:rsidR="00FB1536" w:rsidRPr="00595546">
        <w:t xml:space="preserve">og </w:t>
      </w:r>
      <w:r w:rsidR="007722E7">
        <w:t xml:space="preserve">i 2024 Årsrapporten </w:t>
      </w:r>
      <w:r w:rsidR="00FB1536" w:rsidRPr="00595546">
        <w:t>1 % til 3 %</w:t>
      </w:r>
      <w:r w:rsidRPr="00595546">
        <w:t xml:space="preserve">). </w:t>
      </w:r>
      <w:proofErr w:type="spellStart"/>
      <w:r w:rsidRPr="00595546">
        <w:t>EBITDA</w:t>
      </w:r>
      <w:proofErr w:type="spellEnd"/>
      <w:r w:rsidRPr="00595546">
        <w:t>-marginen før særlige poster forventes at ligge i intervallet 13 % til 14 % baseret på, at takster udlignes med aktiviteter i forsyningskæden og prisfastsættelse samt fortsatte strukturelle omkostningsreduktioner.</w:t>
      </w:r>
    </w:p>
    <w:p w14:paraId="3BEC7D24" w14:textId="77777777" w:rsidR="009B7F81" w:rsidRPr="00595546" w:rsidRDefault="009B7F81" w:rsidP="009B7F81">
      <w:pPr>
        <w:pStyle w:val="DSBodyTextIndent1"/>
        <w:jc w:val="both"/>
      </w:pPr>
    </w:p>
    <w:p w14:paraId="7A89AA03" w14:textId="7CDD641C" w:rsidR="009B7F81" w:rsidRPr="00595546" w:rsidRDefault="009B7F81" w:rsidP="009B7F81">
      <w:pPr>
        <w:pStyle w:val="DSBodyTextIndent1"/>
        <w:jc w:val="both"/>
      </w:pPr>
      <w:r w:rsidRPr="00595546">
        <w:t xml:space="preserve">De finansielle </w:t>
      </w:r>
      <w:r w:rsidR="00F5013D">
        <w:t>forventninger</w:t>
      </w:r>
      <w:r w:rsidRPr="00595546">
        <w:t xml:space="preserve"> er baseret på flere antagelser, herunder:</w:t>
      </w:r>
    </w:p>
    <w:p w14:paraId="1BEA787A" w14:textId="77777777" w:rsidR="009B7F81" w:rsidRPr="00595546" w:rsidRDefault="009B7F81" w:rsidP="008B185A">
      <w:pPr>
        <w:pStyle w:val="ListBullet2"/>
      </w:pPr>
      <w:r w:rsidRPr="00595546">
        <w:t xml:space="preserve">Stabile markedsforhold i </w:t>
      </w:r>
      <w:proofErr w:type="spellStart"/>
      <w:r w:rsidRPr="00595546">
        <w:t>EMEA</w:t>
      </w:r>
      <w:proofErr w:type="spellEnd"/>
    </w:p>
    <w:p w14:paraId="0D1CA09D" w14:textId="77777777" w:rsidR="009B7F81" w:rsidRPr="00595546" w:rsidRDefault="009B7F81" w:rsidP="008B185A">
      <w:pPr>
        <w:pStyle w:val="ListBullet2"/>
      </w:pPr>
      <w:r w:rsidRPr="00595546">
        <w:t>Reduceret markedsusikkerhed efter regeringens genåbning og stabilitet i toldsatserne i USA</w:t>
      </w:r>
    </w:p>
    <w:p w14:paraId="1E4A54AB" w14:textId="77777777" w:rsidR="009B7F81" w:rsidRPr="00595546" w:rsidRDefault="009B7F81" w:rsidP="008B185A">
      <w:pPr>
        <w:pStyle w:val="ListBullet2"/>
      </w:pPr>
      <w:proofErr w:type="spellStart"/>
      <w:r w:rsidRPr="00595546">
        <w:t>APAC</w:t>
      </w:r>
      <w:proofErr w:type="spellEnd"/>
      <w:r w:rsidRPr="00595546">
        <w:t>-regionen opretholder moderat vækst</w:t>
      </w:r>
    </w:p>
    <w:p w14:paraId="249EEF5A" w14:textId="77777777" w:rsidR="009B7F81" w:rsidRPr="00595546" w:rsidRDefault="009B7F81" w:rsidP="008B185A">
      <w:pPr>
        <w:pStyle w:val="ListBullet2"/>
      </w:pPr>
      <w:r w:rsidRPr="00595546">
        <w:t>Handelskrige ikke intensiveres og/eller fører til recession på vigtige markeder</w:t>
      </w:r>
    </w:p>
    <w:p w14:paraId="49DDAB21" w14:textId="77777777" w:rsidR="008B185A" w:rsidRPr="00595546" w:rsidRDefault="008B185A" w:rsidP="009B7F81">
      <w:pPr>
        <w:pStyle w:val="DSBodyTextIndent1"/>
        <w:jc w:val="both"/>
      </w:pPr>
    </w:p>
    <w:p w14:paraId="329CAB0B" w14:textId="21EB2370" w:rsidR="00F547E8" w:rsidRDefault="009B7F81" w:rsidP="00A05058">
      <w:pPr>
        <w:pStyle w:val="DSBodyTextIndent1"/>
        <w:jc w:val="both"/>
      </w:pPr>
      <w:r w:rsidRPr="00595546">
        <w:t xml:space="preserve">Andelen af overskud fra associerede virksomheder er blevet </w:t>
      </w:r>
      <w:proofErr w:type="spellStart"/>
      <w:r w:rsidRPr="00595546">
        <w:t>omklassificeret</w:t>
      </w:r>
      <w:proofErr w:type="spellEnd"/>
      <w:r w:rsidRPr="00595546">
        <w:t xml:space="preserve"> som en del af driftsresultatet for at afspejle Nilfisks øgede fokus på M2H inden for sin markedsføringsstrategi. Denne ændring har også haft en positiv indvirkning på </w:t>
      </w:r>
      <w:proofErr w:type="spellStart"/>
      <w:r w:rsidRPr="00595546">
        <w:t>EBITDA</w:t>
      </w:r>
      <w:proofErr w:type="spellEnd"/>
      <w:r w:rsidRPr="00595546">
        <w:t xml:space="preserve"> før særlige poster. Udsigterne for </w:t>
      </w:r>
      <w:proofErr w:type="spellStart"/>
      <w:r w:rsidRPr="00595546">
        <w:t>EBITDA</w:t>
      </w:r>
      <w:proofErr w:type="spellEnd"/>
      <w:r w:rsidRPr="00595546">
        <w:t xml:space="preserve"> </w:t>
      </w:r>
      <w:r w:rsidR="008338D4">
        <w:t>før særlige poster</w:t>
      </w:r>
      <w:r w:rsidR="008338D4" w:rsidRPr="00595546">
        <w:t xml:space="preserve"> </w:t>
      </w:r>
      <w:r w:rsidRPr="00595546">
        <w:t>forbliver uændrede og forventes stadig at ligge i intervallet 13 %</w:t>
      </w:r>
      <w:r w:rsidR="008338D4">
        <w:t xml:space="preserve"> </w:t>
      </w:r>
      <w:r w:rsidRPr="00595546">
        <w:t>-</w:t>
      </w:r>
      <w:r w:rsidR="008338D4">
        <w:t xml:space="preserve"> </w:t>
      </w:r>
      <w:r w:rsidRPr="00595546">
        <w:t xml:space="preserve">14 %, både med og uden </w:t>
      </w:r>
      <w:proofErr w:type="spellStart"/>
      <w:r w:rsidRPr="00595546">
        <w:t>omklassificeringen</w:t>
      </w:r>
      <w:proofErr w:type="spellEnd"/>
      <w:r w:rsidRPr="00595546">
        <w:t>.</w:t>
      </w:r>
    </w:p>
    <w:p w14:paraId="7770D443" w14:textId="77777777" w:rsidR="007722E7" w:rsidRDefault="007722E7" w:rsidP="00A05058">
      <w:pPr>
        <w:pStyle w:val="DSBodyTextIndent1"/>
        <w:jc w:val="both"/>
      </w:pPr>
    </w:p>
    <w:p w14:paraId="0B370159" w14:textId="17618CAE" w:rsidR="00EC7F7A" w:rsidRPr="00595546" w:rsidRDefault="00EC7F7A" w:rsidP="00A05058">
      <w:pPr>
        <w:pStyle w:val="DSBodyTextIndent1"/>
        <w:jc w:val="both"/>
      </w:pPr>
      <w:r>
        <w:t>Selskabets f</w:t>
      </w:r>
      <w:r w:rsidRPr="00EC7F7A">
        <w:t>inansielle forventninger for 2025</w:t>
      </w:r>
      <w:r>
        <w:t xml:space="preserve"> </w:t>
      </w:r>
      <w:r w:rsidR="00214F93">
        <w:t>er</w:t>
      </w:r>
      <w:r>
        <w:t xml:space="preserve"> fre</w:t>
      </w:r>
      <w:r w:rsidR="0096607B">
        <w:t>madrettede udsagn.</w:t>
      </w:r>
      <w:r w:rsidR="00D40727">
        <w:t xml:space="preserve"> Se venligst afsnit </w:t>
      </w:r>
      <w:r w:rsidR="00D40727">
        <w:fldChar w:fldCharType="begin"/>
      </w:r>
      <w:r w:rsidR="00D40727">
        <w:instrText xml:space="preserve"> REF _Ref218559776 \r \h </w:instrText>
      </w:r>
      <w:r w:rsidR="00D40727">
        <w:fldChar w:fldCharType="separate"/>
      </w:r>
      <w:r w:rsidR="00433DF7">
        <w:t>10.2</w:t>
      </w:r>
      <w:r w:rsidR="00D40727">
        <w:fldChar w:fldCharType="end"/>
      </w:r>
      <w:r w:rsidR="00D40727">
        <w:t xml:space="preserve"> for </w:t>
      </w:r>
      <w:r w:rsidR="00A632C5" w:rsidRPr="00A632C5">
        <w:t xml:space="preserve">en advarsel </w:t>
      </w:r>
      <w:r w:rsidR="00214F93">
        <w:t>vedrørende</w:t>
      </w:r>
      <w:r w:rsidR="00A632C5" w:rsidRPr="00A632C5">
        <w:t xml:space="preserve"> fremadrettede </w:t>
      </w:r>
      <w:r w:rsidR="00A632C5">
        <w:t>udsagn</w:t>
      </w:r>
      <w:r w:rsidR="00A632C5" w:rsidRPr="00A632C5">
        <w:t>.</w:t>
      </w:r>
    </w:p>
    <w:p w14:paraId="3FCE2B51" w14:textId="2793DFD8" w:rsidR="006C422A" w:rsidRPr="00595546" w:rsidRDefault="00C409D1" w:rsidP="00327FDB">
      <w:pPr>
        <w:pStyle w:val="DSHeadingNoToc3"/>
        <w:jc w:val="both"/>
        <w:rPr>
          <w:b/>
          <w:bCs/>
        </w:rPr>
      </w:pPr>
      <w:bookmarkStart w:id="47" w:name="_Toc132975985"/>
      <w:bookmarkStart w:id="48" w:name="_Toc194440312"/>
      <w:r w:rsidRPr="00595546">
        <w:rPr>
          <w:b/>
          <w:bCs/>
          <w:lang w:bidi="en-GB"/>
        </w:rPr>
        <w:t>Risikofaktorer</w:t>
      </w:r>
      <w:bookmarkEnd w:id="47"/>
      <w:bookmarkEnd w:id="48"/>
    </w:p>
    <w:p w14:paraId="71B4E60F" w14:textId="44DB6997" w:rsidR="000C3A64" w:rsidRPr="00595546" w:rsidRDefault="000C3A64" w:rsidP="000C3A64">
      <w:pPr>
        <w:pStyle w:val="DSBodyTextIndent1"/>
        <w:jc w:val="both"/>
        <w:rPr>
          <w:lang w:bidi="en-GB"/>
        </w:rPr>
      </w:pPr>
      <w:r w:rsidRPr="00595546">
        <w:rPr>
          <w:lang w:bidi="en-GB"/>
        </w:rPr>
        <w:t xml:space="preserve">Ovennævnte finansielle </w:t>
      </w:r>
      <w:r w:rsidR="00F5013D">
        <w:rPr>
          <w:lang w:bidi="en-GB"/>
        </w:rPr>
        <w:t>forventninger</w:t>
      </w:r>
      <w:r w:rsidRPr="00595546">
        <w:rPr>
          <w:lang w:bidi="en-GB"/>
        </w:rPr>
        <w:t xml:space="preserve"> for 2025 for </w:t>
      </w:r>
      <w:r w:rsidR="00DB44D5" w:rsidRPr="00595546">
        <w:rPr>
          <w:lang w:bidi="en-GB"/>
        </w:rPr>
        <w:t xml:space="preserve">Selskabet </w:t>
      </w:r>
      <w:r w:rsidRPr="00595546">
        <w:rPr>
          <w:lang w:bidi="en-GB"/>
        </w:rPr>
        <w:t>skal ses i lyset af de risici, der er forbundet</w:t>
      </w:r>
    </w:p>
    <w:p w14:paraId="00B70A09" w14:textId="17F0153F" w:rsidR="000E2F11" w:rsidRPr="00595546" w:rsidRDefault="00ED5235" w:rsidP="000C3A64">
      <w:pPr>
        <w:pStyle w:val="DSBodyTextIndent1"/>
        <w:jc w:val="both"/>
        <w:rPr>
          <w:lang w:bidi="en-GB"/>
        </w:rPr>
      </w:pPr>
      <w:r>
        <w:rPr>
          <w:lang w:bidi="en-GB"/>
        </w:rPr>
        <w:t>med Selskabets virksomhed</w:t>
      </w:r>
      <w:r w:rsidR="000C3A64" w:rsidRPr="00595546">
        <w:rPr>
          <w:lang w:bidi="en-GB"/>
        </w:rPr>
        <w:t xml:space="preserve">. Nedenfor </w:t>
      </w:r>
      <w:r w:rsidR="00DF5401">
        <w:rPr>
          <w:lang w:bidi="en-GB"/>
        </w:rPr>
        <w:t>følger</w:t>
      </w:r>
      <w:r w:rsidR="000C3A64" w:rsidRPr="00595546">
        <w:rPr>
          <w:lang w:bidi="en-GB"/>
        </w:rPr>
        <w:t xml:space="preserve"> en ikke-udtømmende </w:t>
      </w:r>
      <w:r>
        <w:rPr>
          <w:lang w:bidi="en-GB"/>
        </w:rPr>
        <w:t xml:space="preserve">oplistning af </w:t>
      </w:r>
      <w:r w:rsidR="000C3A64" w:rsidRPr="00595546">
        <w:rPr>
          <w:lang w:bidi="en-GB"/>
        </w:rPr>
        <w:t xml:space="preserve">de væsentligste risici, der kan påvirke </w:t>
      </w:r>
      <w:r w:rsidR="00DB44D5" w:rsidRPr="00595546">
        <w:rPr>
          <w:lang w:bidi="en-GB"/>
        </w:rPr>
        <w:t>Selskabet</w:t>
      </w:r>
      <w:r w:rsidR="000C3A64" w:rsidRPr="00595546">
        <w:rPr>
          <w:lang w:bidi="en-GB"/>
        </w:rPr>
        <w:t>:</w:t>
      </w:r>
    </w:p>
    <w:p w14:paraId="0A382EC6" w14:textId="77777777" w:rsidR="005A77EC" w:rsidRPr="00595546" w:rsidRDefault="005A77EC" w:rsidP="000C3A64">
      <w:pPr>
        <w:pStyle w:val="DSBodyTextIndent1"/>
        <w:jc w:val="both"/>
        <w:rPr>
          <w:lang w:bidi="en-GB"/>
        </w:rPr>
      </w:pPr>
    </w:p>
    <w:p w14:paraId="1B44CF9D" w14:textId="25D3DC74" w:rsidR="000C3A64" w:rsidRPr="00595546" w:rsidRDefault="00866F58" w:rsidP="000C3A64">
      <w:pPr>
        <w:pStyle w:val="ListBullet2"/>
      </w:pPr>
      <w:proofErr w:type="spellStart"/>
      <w:r w:rsidRPr="00595546">
        <w:t>Kommoditisering</w:t>
      </w:r>
      <w:proofErr w:type="spellEnd"/>
      <w:r w:rsidRPr="00595546">
        <w:t xml:space="preserve"> og konkurrence</w:t>
      </w:r>
    </w:p>
    <w:p w14:paraId="7EAB49BA" w14:textId="74D43AA1" w:rsidR="00866F58" w:rsidRPr="00595546" w:rsidRDefault="00866F58" w:rsidP="000C3A64">
      <w:pPr>
        <w:pStyle w:val="ListBullet2"/>
      </w:pPr>
      <w:r w:rsidRPr="00595546">
        <w:t>Økonomisk og politisk ustabilitet</w:t>
      </w:r>
    </w:p>
    <w:p w14:paraId="25FD8E55" w14:textId="6A404D19" w:rsidR="00866F58" w:rsidRPr="00595546" w:rsidRDefault="00866F58" w:rsidP="000C3A64">
      <w:pPr>
        <w:pStyle w:val="ListBullet2"/>
      </w:pPr>
      <w:proofErr w:type="spellStart"/>
      <w:r w:rsidRPr="00595546">
        <w:t>Cyber</w:t>
      </w:r>
      <w:proofErr w:type="spellEnd"/>
      <w:r w:rsidRPr="00595546">
        <w:t>- og it-sikkerhed</w:t>
      </w:r>
    </w:p>
    <w:p w14:paraId="43BA4741" w14:textId="11BDF022" w:rsidR="00866F58" w:rsidRPr="00595546" w:rsidRDefault="00866F58" w:rsidP="000C3A64">
      <w:pPr>
        <w:pStyle w:val="ListBullet2"/>
      </w:pPr>
      <w:r w:rsidRPr="00595546">
        <w:t>Manglende innovation</w:t>
      </w:r>
    </w:p>
    <w:p w14:paraId="4F332D60" w14:textId="5BC11E2D" w:rsidR="00866F58" w:rsidRPr="00595546" w:rsidRDefault="00866F58" w:rsidP="000C3A64">
      <w:pPr>
        <w:pStyle w:val="ListBullet2"/>
      </w:pPr>
      <w:r w:rsidRPr="00595546">
        <w:t>Dataintegritet, kvalitet og privatliv</w:t>
      </w:r>
    </w:p>
    <w:p w14:paraId="4DF81B5F" w14:textId="77777777" w:rsidR="00C61CDF" w:rsidRPr="00595546" w:rsidRDefault="00C61CDF" w:rsidP="00C61CDF">
      <w:pPr>
        <w:pStyle w:val="ListBullet"/>
      </w:pPr>
    </w:p>
    <w:p w14:paraId="1EF1C604" w14:textId="307B365A" w:rsidR="00C61CDF" w:rsidRPr="00595546" w:rsidRDefault="00C61CDF" w:rsidP="002471F1">
      <w:pPr>
        <w:pStyle w:val="DSBodyTextIndent1"/>
        <w:jc w:val="both"/>
        <w:rPr>
          <w:lang w:bidi="en-GB"/>
        </w:rPr>
      </w:pPr>
      <w:r w:rsidRPr="00595546">
        <w:rPr>
          <w:lang w:bidi="en-GB"/>
        </w:rPr>
        <w:t xml:space="preserve">De væsentligste risici er </w:t>
      </w:r>
      <w:r w:rsidR="00462280">
        <w:rPr>
          <w:lang w:bidi="en-GB"/>
        </w:rPr>
        <w:t xml:space="preserve">nærmere </w:t>
      </w:r>
      <w:r w:rsidR="004B61EA" w:rsidRPr="00595546">
        <w:rPr>
          <w:lang w:bidi="en-GB"/>
        </w:rPr>
        <w:t xml:space="preserve">beskrevet </w:t>
      </w:r>
      <w:r w:rsidRPr="00595546">
        <w:rPr>
          <w:lang w:bidi="en-GB"/>
        </w:rPr>
        <w:t xml:space="preserve">sammen med </w:t>
      </w:r>
      <w:r w:rsidR="00462280">
        <w:rPr>
          <w:lang w:bidi="en-GB"/>
        </w:rPr>
        <w:t>afhjælpende</w:t>
      </w:r>
      <w:r w:rsidR="00912185">
        <w:rPr>
          <w:lang w:bidi="en-GB"/>
        </w:rPr>
        <w:t xml:space="preserve"> </w:t>
      </w:r>
      <w:r w:rsidRPr="00595546">
        <w:rPr>
          <w:lang w:bidi="en-GB"/>
        </w:rPr>
        <w:t xml:space="preserve">foranstaltninger på side 59-60 i </w:t>
      </w:r>
      <w:r w:rsidR="002471F1">
        <w:rPr>
          <w:lang w:bidi="en-GB"/>
        </w:rPr>
        <w:t>2024 Å</w:t>
      </w:r>
      <w:r w:rsidRPr="00595546">
        <w:rPr>
          <w:lang w:bidi="en-GB"/>
        </w:rPr>
        <w:t>rsrapporten.</w:t>
      </w:r>
    </w:p>
    <w:p w14:paraId="157A59D0" w14:textId="7886C273" w:rsidR="00C409D1" w:rsidRPr="00595546" w:rsidRDefault="00912185" w:rsidP="00A05058">
      <w:pPr>
        <w:pStyle w:val="Heading2"/>
        <w:jc w:val="both"/>
      </w:pPr>
      <w:bookmarkStart w:id="49" w:name="_Toc206831195"/>
      <w:bookmarkStart w:id="50" w:name="_Toc218590510"/>
      <w:bookmarkStart w:id="51" w:name="_Hlk194307928"/>
      <w:bookmarkEnd w:id="49"/>
      <w:r>
        <w:rPr>
          <w:lang w:bidi="en-GB"/>
        </w:rPr>
        <w:t>Kontrolskifte</w:t>
      </w:r>
      <w:bookmarkEnd w:id="50"/>
    </w:p>
    <w:p w14:paraId="732F640B" w14:textId="1C0BCE4C" w:rsidR="00C75B16" w:rsidRPr="00595546" w:rsidRDefault="00C75B16" w:rsidP="00C75B16">
      <w:pPr>
        <w:pStyle w:val="NormalIndent"/>
        <w:jc w:val="both"/>
        <w:rPr>
          <w:lang w:bidi="en-GB"/>
        </w:rPr>
      </w:pPr>
      <w:bookmarkStart w:id="52" w:name="_Ref194221540"/>
      <w:bookmarkStart w:id="53" w:name="_Ref194424395"/>
      <w:bookmarkStart w:id="54" w:name="_Toc194440314"/>
      <w:bookmarkStart w:id="55" w:name="_Ref206086921"/>
      <w:bookmarkEnd w:id="51"/>
      <w:r w:rsidRPr="00595546">
        <w:rPr>
          <w:lang w:bidi="en-GB"/>
        </w:rPr>
        <w:t xml:space="preserve">Nogle af de aftaler, herunder finansieringsaftaler, som </w:t>
      </w:r>
      <w:r w:rsidR="00DB44D5" w:rsidRPr="00595546">
        <w:rPr>
          <w:lang w:bidi="en-GB"/>
        </w:rPr>
        <w:t xml:space="preserve">Koncernen </w:t>
      </w:r>
      <w:r w:rsidRPr="00595546">
        <w:rPr>
          <w:lang w:bidi="en-GB"/>
        </w:rPr>
        <w:t xml:space="preserve">er part i, indeholder bestemmelser, der vil eller kan træde i kraft i tilfælde af </w:t>
      </w:r>
      <w:r w:rsidR="00912185">
        <w:rPr>
          <w:lang w:bidi="en-GB"/>
        </w:rPr>
        <w:t>et</w:t>
      </w:r>
      <w:r w:rsidRPr="00595546">
        <w:rPr>
          <w:lang w:bidi="en-GB"/>
        </w:rPr>
        <w:t xml:space="preserve"> kontrol</w:t>
      </w:r>
      <w:r w:rsidR="00912185">
        <w:rPr>
          <w:lang w:bidi="en-GB"/>
        </w:rPr>
        <w:t>skifte</w:t>
      </w:r>
      <w:r w:rsidRPr="00595546">
        <w:rPr>
          <w:lang w:bidi="en-GB"/>
        </w:rPr>
        <w:t xml:space="preserve"> </w:t>
      </w:r>
      <w:r w:rsidR="007851E9">
        <w:rPr>
          <w:lang w:bidi="en-GB"/>
        </w:rPr>
        <w:t>i</w:t>
      </w:r>
      <w:r w:rsidR="00662780">
        <w:rPr>
          <w:lang w:bidi="en-GB"/>
        </w:rPr>
        <w:t xml:space="preserve"> </w:t>
      </w:r>
      <w:r w:rsidR="00DB44D5" w:rsidRPr="00595546">
        <w:rPr>
          <w:lang w:bidi="en-GB"/>
        </w:rPr>
        <w:t>Selskabet</w:t>
      </w:r>
      <w:r w:rsidRPr="00595546">
        <w:rPr>
          <w:lang w:bidi="en-GB"/>
        </w:rPr>
        <w:t xml:space="preserve">, som det vil være tilfældet ved </w:t>
      </w:r>
      <w:r w:rsidR="00595546" w:rsidRPr="00595546">
        <w:rPr>
          <w:lang w:bidi="en-GB"/>
        </w:rPr>
        <w:t>Gennemførelsen</w:t>
      </w:r>
      <w:r w:rsidRPr="00595546">
        <w:rPr>
          <w:lang w:bidi="en-GB"/>
        </w:rPr>
        <w:t xml:space="preserve"> af </w:t>
      </w:r>
      <w:r w:rsidR="00DB44D5" w:rsidRPr="00595546">
        <w:rPr>
          <w:lang w:bidi="en-GB"/>
        </w:rPr>
        <w:t>Tilbuddet</w:t>
      </w:r>
      <w:r w:rsidRPr="00595546">
        <w:rPr>
          <w:lang w:bidi="en-GB"/>
        </w:rPr>
        <w:t xml:space="preserve">. </w:t>
      </w:r>
      <w:r w:rsidR="00CE3C7A" w:rsidRPr="00CE3C7A">
        <w:rPr>
          <w:lang w:bidi="en-GB"/>
        </w:rPr>
        <w:t xml:space="preserve">Tilbudsgiveren har forelagt </w:t>
      </w:r>
      <w:r w:rsidR="00CE3C7A">
        <w:rPr>
          <w:lang w:bidi="en-GB"/>
        </w:rPr>
        <w:t>S</w:t>
      </w:r>
      <w:r w:rsidR="00CE3C7A" w:rsidRPr="00CE3C7A">
        <w:rPr>
          <w:lang w:bidi="en-GB"/>
        </w:rPr>
        <w:t xml:space="preserve">elskabet dokumentation for, at </w:t>
      </w:r>
      <w:r w:rsidR="00231713">
        <w:rPr>
          <w:lang w:bidi="en-GB"/>
        </w:rPr>
        <w:t>man</w:t>
      </w:r>
      <w:r w:rsidR="00CE3C7A" w:rsidRPr="00CE3C7A">
        <w:rPr>
          <w:lang w:bidi="en-GB"/>
        </w:rPr>
        <w:t xml:space="preserve"> råder over de nødvendige midler til at refinansiere </w:t>
      </w:r>
      <w:r w:rsidR="00231713">
        <w:rPr>
          <w:lang w:bidi="en-GB"/>
        </w:rPr>
        <w:t>S</w:t>
      </w:r>
      <w:r w:rsidR="00CE3C7A" w:rsidRPr="00CE3C7A">
        <w:rPr>
          <w:lang w:bidi="en-GB"/>
        </w:rPr>
        <w:t xml:space="preserve">elskabets eksisterende gæld, som kan forfalde </w:t>
      </w:r>
      <w:r w:rsidR="00231713">
        <w:rPr>
          <w:lang w:bidi="en-GB"/>
        </w:rPr>
        <w:t xml:space="preserve">i forbindelse med Gennemførelse </w:t>
      </w:r>
      <w:r w:rsidR="00636D80">
        <w:rPr>
          <w:lang w:bidi="en-GB"/>
        </w:rPr>
        <w:t>af T</w:t>
      </w:r>
      <w:r w:rsidR="00CE3C7A" w:rsidRPr="00CE3C7A">
        <w:rPr>
          <w:lang w:bidi="en-GB"/>
        </w:rPr>
        <w:t>ilbuddet.</w:t>
      </w:r>
      <w:r w:rsidR="00636D80">
        <w:rPr>
          <w:lang w:bidi="en-GB"/>
        </w:rPr>
        <w:t xml:space="preserve"> </w:t>
      </w:r>
      <w:r w:rsidRPr="00595546">
        <w:rPr>
          <w:lang w:bidi="en-GB"/>
        </w:rPr>
        <w:t xml:space="preserve">For nuværende </w:t>
      </w:r>
      <w:r w:rsidR="00DB44D5" w:rsidRPr="00595546">
        <w:rPr>
          <w:lang w:bidi="en-GB"/>
        </w:rPr>
        <w:t xml:space="preserve">Aktionærer </w:t>
      </w:r>
      <w:r w:rsidRPr="00595546">
        <w:rPr>
          <w:lang w:bidi="en-GB"/>
        </w:rPr>
        <w:t>er bestemmelser om kontrol</w:t>
      </w:r>
      <w:r w:rsidR="007851E9">
        <w:rPr>
          <w:lang w:bidi="en-GB"/>
        </w:rPr>
        <w:t>skifte</w:t>
      </w:r>
      <w:r w:rsidRPr="00595546">
        <w:rPr>
          <w:lang w:bidi="en-GB"/>
        </w:rPr>
        <w:t xml:space="preserve"> i eksisterende aftaler</w:t>
      </w:r>
      <w:r w:rsidR="00827461" w:rsidRPr="00595546">
        <w:rPr>
          <w:lang w:bidi="en-GB"/>
        </w:rPr>
        <w:t>,</w:t>
      </w:r>
      <w:r w:rsidRPr="00595546">
        <w:rPr>
          <w:lang w:bidi="en-GB"/>
        </w:rPr>
        <w:t xml:space="preserve"> som </w:t>
      </w:r>
      <w:r w:rsidR="00DB44D5" w:rsidRPr="00595546">
        <w:rPr>
          <w:lang w:bidi="en-GB"/>
        </w:rPr>
        <w:t xml:space="preserve">Koncernen </w:t>
      </w:r>
      <w:r w:rsidRPr="00595546">
        <w:rPr>
          <w:lang w:bidi="en-GB"/>
        </w:rPr>
        <w:t xml:space="preserve">er part i, primært relevante, hvis disse </w:t>
      </w:r>
      <w:r w:rsidR="00DB44D5" w:rsidRPr="00595546">
        <w:rPr>
          <w:lang w:bidi="en-GB"/>
        </w:rPr>
        <w:t xml:space="preserve">Aktionærer </w:t>
      </w:r>
      <w:r w:rsidRPr="00595546">
        <w:rPr>
          <w:lang w:bidi="en-GB"/>
        </w:rPr>
        <w:t xml:space="preserve">ikke accepterer </w:t>
      </w:r>
      <w:r w:rsidR="00DB44D5" w:rsidRPr="00595546">
        <w:rPr>
          <w:lang w:bidi="en-GB"/>
        </w:rPr>
        <w:t>Tilbuddet</w:t>
      </w:r>
      <w:r w:rsidRPr="00595546">
        <w:rPr>
          <w:lang w:bidi="en-GB"/>
        </w:rPr>
        <w:t xml:space="preserve">. Det kan ikke udelukkes, at andre aftaleparter, herunder </w:t>
      </w:r>
      <w:r w:rsidR="00DB44D5" w:rsidRPr="00595546">
        <w:rPr>
          <w:lang w:bidi="en-GB"/>
        </w:rPr>
        <w:t xml:space="preserve">Koncernens </w:t>
      </w:r>
      <w:r w:rsidRPr="00595546">
        <w:rPr>
          <w:lang w:bidi="en-GB"/>
        </w:rPr>
        <w:t xml:space="preserve">strategiske </w:t>
      </w:r>
      <w:r w:rsidR="002D24DA">
        <w:rPr>
          <w:lang w:bidi="en-GB"/>
        </w:rPr>
        <w:t>samarbejd</w:t>
      </w:r>
      <w:r w:rsidRPr="00595546">
        <w:rPr>
          <w:lang w:bidi="en-GB"/>
        </w:rPr>
        <w:t xml:space="preserve">spartnere, måtte ønske at opsige aftaler indgået med </w:t>
      </w:r>
      <w:r w:rsidR="00DB44D5" w:rsidRPr="00595546">
        <w:rPr>
          <w:lang w:bidi="en-GB"/>
        </w:rPr>
        <w:t>Koncernen</w:t>
      </w:r>
      <w:r w:rsidRPr="00595546">
        <w:rPr>
          <w:lang w:bidi="en-GB"/>
        </w:rPr>
        <w:t xml:space="preserve">, </w:t>
      </w:r>
      <w:r w:rsidR="002D24DA">
        <w:rPr>
          <w:lang w:bidi="en-GB"/>
        </w:rPr>
        <w:t xml:space="preserve">såfremt </w:t>
      </w:r>
      <w:r w:rsidR="00DB44D5" w:rsidRPr="00595546">
        <w:rPr>
          <w:lang w:bidi="en-GB"/>
        </w:rPr>
        <w:t xml:space="preserve">Tilbuddet </w:t>
      </w:r>
      <w:r w:rsidRPr="00595546">
        <w:rPr>
          <w:lang w:bidi="en-GB"/>
        </w:rPr>
        <w:t>gennemføres.</w:t>
      </w:r>
    </w:p>
    <w:p w14:paraId="7C1E0117" w14:textId="77777777" w:rsidR="00C75B16" w:rsidRPr="00595546" w:rsidRDefault="00C75B16" w:rsidP="00C75B16">
      <w:pPr>
        <w:pStyle w:val="DSBodyTextIndent1"/>
        <w:jc w:val="both"/>
        <w:rPr>
          <w:lang w:bidi="en-GB"/>
        </w:rPr>
      </w:pPr>
    </w:p>
    <w:p w14:paraId="67FA1303" w14:textId="54BB3D6D" w:rsidR="00C75B16" w:rsidRPr="00595546" w:rsidRDefault="00A66C30" w:rsidP="00C75B16">
      <w:pPr>
        <w:pStyle w:val="DSBodyTextIndent1"/>
        <w:jc w:val="both"/>
        <w:rPr>
          <w:bCs/>
          <w:iCs/>
        </w:rPr>
      </w:pPr>
      <w:r w:rsidRPr="00595546">
        <w:rPr>
          <w:bCs/>
          <w:iCs/>
        </w:rPr>
        <w:t xml:space="preserve">I tilfælde af </w:t>
      </w:r>
      <w:r w:rsidR="0092325A">
        <w:rPr>
          <w:bCs/>
          <w:iCs/>
        </w:rPr>
        <w:t xml:space="preserve">et kontrolskifte i </w:t>
      </w:r>
      <w:r w:rsidR="00DB44D5" w:rsidRPr="00595546">
        <w:rPr>
          <w:bCs/>
          <w:iCs/>
        </w:rPr>
        <w:t xml:space="preserve">Selskabet </w:t>
      </w:r>
      <w:r w:rsidRPr="00595546">
        <w:rPr>
          <w:bCs/>
          <w:iCs/>
        </w:rPr>
        <w:t xml:space="preserve">som defineret i </w:t>
      </w:r>
      <w:r w:rsidR="00DB44D5" w:rsidRPr="00595546">
        <w:rPr>
          <w:bCs/>
          <w:iCs/>
        </w:rPr>
        <w:t xml:space="preserve">Selskabets </w:t>
      </w:r>
      <w:r w:rsidRPr="00595546">
        <w:rPr>
          <w:bCs/>
          <w:iCs/>
        </w:rPr>
        <w:t xml:space="preserve">vederlagspolitik, som vil finde sted ved </w:t>
      </w:r>
      <w:r w:rsidR="00595546" w:rsidRPr="00595546">
        <w:rPr>
          <w:bCs/>
          <w:iCs/>
        </w:rPr>
        <w:t>Gennemførelsen</w:t>
      </w:r>
      <w:r w:rsidRPr="00595546">
        <w:rPr>
          <w:bCs/>
          <w:iCs/>
        </w:rPr>
        <w:t xml:space="preserve"> af </w:t>
      </w:r>
      <w:r w:rsidR="00DB44D5" w:rsidRPr="00595546">
        <w:rPr>
          <w:bCs/>
          <w:iCs/>
        </w:rPr>
        <w:t>Tilbuddet</w:t>
      </w:r>
      <w:r w:rsidRPr="00595546">
        <w:rPr>
          <w:bCs/>
          <w:iCs/>
        </w:rPr>
        <w:t xml:space="preserve">, vil </w:t>
      </w:r>
      <w:r w:rsidR="00DB44D5" w:rsidRPr="00595546">
        <w:rPr>
          <w:bCs/>
          <w:iCs/>
        </w:rPr>
        <w:t xml:space="preserve">Selskabets </w:t>
      </w:r>
      <w:r w:rsidRPr="00595546">
        <w:rPr>
          <w:bCs/>
          <w:iCs/>
        </w:rPr>
        <w:t xml:space="preserve">opsigelsesvarsel blive forlænget fra 18 til 24 måneder for </w:t>
      </w:r>
      <w:proofErr w:type="spellStart"/>
      <w:r w:rsidRPr="00595546">
        <w:rPr>
          <w:bCs/>
          <w:iCs/>
        </w:rPr>
        <w:t>CEO</w:t>
      </w:r>
      <w:proofErr w:type="spellEnd"/>
      <w:r w:rsidRPr="00595546">
        <w:rPr>
          <w:bCs/>
          <w:iCs/>
        </w:rPr>
        <w:t xml:space="preserve"> Jon </w:t>
      </w:r>
      <w:proofErr w:type="spellStart"/>
      <w:r w:rsidRPr="00595546">
        <w:rPr>
          <w:bCs/>
          <w:iCs/>
        </w:rPr>
        <w:t>Sintorn</w:t>
      </w:r>
      <w:proofErr w:type="spellEnd"/>
      <w:r w:rsidRPr="00595546">
        <w:rPr>
          <w:bCs/>
          <w:iCs/>
        </w:rPr>
        <w:t xml:space="preserve"> og fra 12 til 18 måneder for CFO Carl Bandhold, mens </w:t>
      </w:r>
      <w:proofErr w:type="spellStart"/>
      <w:r w:rsidRPr="00595546">
        <w:rPr>
          <w:bCs/>
          <w:iCs/>
        </w:rPr>
        <w:t>CEO'ens</w:t>
      </w:r>
      <w:proofErr w:type="spellEnd"/>
      <w:r w:rsidRPr="00595546">
        <w:rPr>
          <w:bCs/>
          <w:iCs/>
        </w:rPr>
        <w:t xml:space="preserve"> opsigelsesvarsel i denne situation forlænges fra 9 til 12 måneder og </w:t>
      </w:r>
      <w:proofErr w:type="spellStart"/>
      <w:r w:rsidRPr="00595546">
        <w:rPr>
          <w:bCs/>
          <w:iCs/>
        </w:rPr>
        <w:t>CFO'ens</w:t>
      </w:r>
      <w:proofErr w:type="spellEnd"/>
      <w:r w:rsidRPr="00595546">
        <w:rPr>
          <w:bCs/>
          <w:iCs/>
        </w:rPr>
        <w:t xml:space="preserve"> opsigelsesvarsel forlænges fra 6 til 9 måneder. De forlængede opsigelsesfrister gælder ikke, hvis </w:t>
      </w:r>
      <w:proofErr w:type="spellStart"/>
      <w:r w:rsidRPr="00595546">
        <w:rPr>
          <w:bCs/>
          <w:iCs/>
        </w:rPr>
        <w:t>CEO'en</w:t>
      </w:r>
      <w:proofErr w:type="spellEnd"/>
      <w:r w:rsidRPr="00595546">
        <w:rPr>
          <w:bCs/>
          <w:iCs/>
        </w:rPr>
        <w:t xml:space="preserve"> eller </w:t>
      </w:r>
      <w:proofErr w:type="spellStart"/>
      <w:r w:rsidRPr="00595546">
        <w:rPr>
          <w:bCs/>
          <w:iCs/>
        </w:rPr>
        <w:t>CFO'en</w:t>
      </w:r>
      <w:proofErr w:type="spellEnd"/>
      <w:r w:rsidRPr="00595546">
        <w:rPr>
          <w:bCs/>
          <w:iCs/>
        </w:rPr>
        <w:t xml:space="preserve"> har givet rimelig grund til opsigelsen. I tilfælde af opsigelse fra en af parternes side på grund af </w:t>
      </w:r>
      <w:r w:rsidR="0092325A">
        <w:rPr>
          <w:bCs/>
          <w:iCs/>
        </w:rPr>
        <w:t>et kontrolskifte</w:t>
      </w:r>
      <w:r w:rsidRPr="00595546">
        <w:rPr>
          <w:bCs/>
          <w:iCs/>
        </w:rPr>
        <w:t xml:space="preserve">, kan </w:t>
      </w:r>
      <w:r w:rsidR="00DB44D5" w:rsidRPr="00595546">
        <w:rPr>
          <w:bCs/>
          <w:iCs/>
        </w:rPr>
        <w:t xml:space="preserve">Selskabet </w:t>
      </w:r>
      <w:r w:rsidRPr="00595546">
        <w:rPr>
          <w:bCs/>
          <w:iCs/>
        </w:rPr>
        <w:t xml:space="preserve">ikke foretage modregning i eventuelle nye indtægter, hvis den ledende medarbejder </w:t>
      </w:r>
      <w:r w:rsidR="004430E5">
        <w:rPr>
          <w:bCs/>
          <w:iCs/>
        </w:rPr>
        <w:t>fritstilles</w:t>
      </w:r>
      <w:r w:rsidR="008732C8" w:rsidRPr="00595546">
        <w:rPr>
          <w:bCs/>
          <w:iCs/>
        </w:rPr>
        <w:t xml:space="preserve"> </w:t>
      </w:r>
      <w:r w:rsidRPr="00595546">
        <w:rPr>
          <w:bCs/>
          <w:iCs/>
        </w:rPr>
        <w:t xml:space="preserve">i opsigelsesperioden. </w:t>
      </w:r>
    </w:p>
    <w:p w14:paraId="7FB8375F" w14:textId="77777777" w:rsidR="00C75B16" w:rsidRPr="00595546" w:rsidRDefault="00C75B16" w:rsidP="00C75B16">
      <w:pPr>
        <w:pStyle w:val="DSBodyTextIndent1"/>
        <w:jc w:val="both"/>
      </w:pPr>
    </w:p>
    <w:p w14:paraId="59313D2F" w14:textId="0D3DCF7E" w:rsidR="00C75B16" w:rsidRPr="00595546" w:rsidRDefault="00C75B16" w:rsidP="00C75B16">
      <w:pPr>
        <w:pStyle w:val="DSBodyTextIndent1"/>
        <w:jc w:val="both"/>
      </w:pPr>
      <w:r w:rsidRPr="00595546">
        <w:t xml:space="preserve">Konsekvenserne for </w:t>
      </w:r>
      <w:r w:rsidR="00DB44D5" w:rsidRPr="00595546">
        <w:t xml:space="preserve">Koncernens </w:t>
      </w:r>
      <w:r w:rsidR="00595546" w:rsidRPr="00595546">
        <w:t xml:space="preserve">Aktiebaserede Incitamentsprogrammer </w:t>
      </w:r>
      <w:r w:rsidRPr="00595546">
        <w:t xml:space="preserve">som følge af </w:t>
      </w:r>
      <w:r w:rsidR="00595546" w:rsidRPr="00595546">
        <w:t xml:space="preserve">Gennemførelsen </w:t>
      </w:r>
      <w:r w:rsidRPr="00595546">
        <w:t xml:space="preserve">af </w:t>
      </w:r>
      <w:r w:rsidR="00DB44D5" w:rsidRPr="00595546">
        <w:t xml:space="preserve">Tilbuddet </w:t>
      </w:r>
      <w:r w:rsidRPr="00595546">
        <w:t xml:space="preserve">er beskrevet i afsnit </w:t>
      </w:r>
      <w:r w:rsidRPr="00595546">
        <w:fldChar w:fldCharType="begin"/>
      </w:r>
      <w:r w:rsidRPr="00595546">
        <w:instrText xml:space="preserve"> REF _Ref134025496 \r \h  \* MERGEFORMAT </w:instrText>
      </w:r>
      <w:r w:rsidRPr="00595546">
        <w:fldChar w:fldCharType="separate"/>
      </w:r>
      <w:r w:rsidR="00433DF7">
        <w:t>5</w:t>
      </w:r>
      <w:r w:rsidRPr="00595546">
        <w:fldChar w:fldCharType="end"/>
      </w:r>
      <w:r w:rsidRPr="00595546">
        <w:t xml:space="preserve"> nedenfor.</w:t>
      </w:r>
    </w:p>
    <w:p w14:paraId="51050FB6" w14:textId="77777777" w:rsidR="00C75B16" w:rsidRPr="00595546" w:rsidRDefault="00C75B16" w:rsidP="00C75B16">
      <w:pPr>
        <w:pStyle w:val="DSBodyTextIndent1"/>
        <w:jc w:val="both"/>
      </w:pPr>
    </w:p>
    <w:p w14:paraId="4A389893" w14:textId="595E2069" w:rsidR="00C75B16" w:rsidRPr="00595546" w:rsidRDefault="00C75B16" w:rsidP="00C75B16">
      <w:pPr>
        <w:pStyle w:val="DSBodyTextIndent1"/>
        <w:jc w:val="both"/>
      </w:pPr>
      <w:r w:rsidRPr="00595546">
        <w:lastRenderedPageBreak/>
        <w:t xml:space="preserve">Med henvisning til § 19 i </w:t>
      </w:r>
      <w:r w:rsidR="00EE7736">
        <w:t>O</w:t>
      </w:r>
      <w:r w:rsidRPr="00595546">
        <w:t xml:space="preserve">vertagelsesbekendtgørelse har hverken </w:t>
      </w:r>
      <w:r w:rsidR="00DB44D5" w:rsidRPr="00595546">
        <w:t>Tilbudsgiver</w:t>
      </w:r>
      <w:r w:rsidRPr="00595546">
        <w:t xml:space="preserve"> eller nogen person, der handler i forståelse med </w:t>
      </w:r>
      <w:r w:rsidR="00DB44D5" w:rsidRPr="00595546">
        <w:t>Tilbudsgiver</w:t>
      </w:r>
      <w:r w:rsidRPr="00595546">
        <w:t xml:space="preserve">, indgået nogen aftale om ændringer af eksisterende aftaler om bonus- eller lignende incitamentsordninger for medlemmerne af </w:t>
      </w:r>
      <w:r w:rsidR="00595546" w:rsidRPr="00595546">
        <w:t>Bestyrelsen</w:t>
      </w:r>
      <w:r w:rsidRPr="00595546">
        <w:t xml:space="preserve"> eller </w:t>
      </w:r>
      <w:r w:rsidR="00E66984">
        <w:t>Direktionen</w:t>
      </w:r>
      <w:r w:rsidRPr="00595546">
        <w:t xml:space="preserve">, og der vil heller ikke blive indgået nogen sådan aftale inden </w:t>
      </w:r>
      <w:r w:rsidR="00595546" w:rsidRPr="00595546">
        <w:t>Gennemførelsen</w:t>
      </w:r>
      <w:r w:rsidRPr="00595546">
        <w:t>.</w:t>
      </w:r>
    </w:p>
    <w:p w14:paraId="251503B9" w14:textId="6AB3C021" w:rsidR="00C409D1" w:rsidRPr="00595546" w:rsidRDefault="00C409D1" w:rsidP="00A05058">
      <w:pPr>
        <w:pStyle w:val="Heading2"/>
        <w:jc w:val="both"/>
        <w:rPr>
          <w:lang w:bidi="en-GB"/>
        </w:rPr>
      </w:pPr>
      <w:bookmarkStart w:id="56" w:name="_Ref216246704"/>
      <w:bookmarkStart w:id="57" w:name="_Toc218590511"/>
      <w:r w:rsidRPr="00595546">
        <w:rPr>
          <w:lang w:bidi="en-GB"/>
        </w:rPr>
        <w:t>Fairness</w:t>
      </w:r>
      <w:bookmarkEnd w:id="52"/>
      <w:bookmarkEnd w:id="53"/>
      <w:bookmarkEnd w:id="54"/>
      <w:r w:rsidRPr="00595546">
        <w:rPr>
          <w:lang w:bidi="en-GB"/>
        </w:rPr>
        <w:t xml:space="preserve"> Opinion</w:t>
      </w:r>
      <w:bookmarkEnd w:id="55"/>
      <w:bookmarkEnd w:id="56"/>
      <w:bookmarkEnd w:id="57"/>
    </w:p>
    <w:p w14:paraId="316404A5" w14:textId="490D9789" w:rsidR="00F326E2" w:rsidRPr="00595546" w:rsidRDefault="00F326E2" w:rsidP="007232AC">
      <w:pPr>
        <w:pStyle w:val="DSBodyTextIndent1"/>
        <w:jc w:val="both"/>
      </w:pPr>
      <w:r w:rsidRPr="00595546">
        <w:t xml:space="preserve">Bestyrelsens </w:t>
      </w:r>
      <w:r w:rsidRPr="00595546">
        <w:rPr>
          <w:lang w:bidi="en-GB"/>
        </w:rPr>
        <w:t>vurdering af</w:t>
      </w:r>
      <w:r w:rsidR="00002073">
        <w:rPr>
          <w:lang w:bidi="en-GB"/>
        </w:rPr>
        <w:t xml:space="preserve"> de</w:t>
      </w:r>
      <w:r w:rsidRPr="00595546">
        <w:rPr>
          <w:lang w:bidi="en-GB"/>
        </w:rPr>
        <w:t xml:space="preserve"> økonomiske fordele </w:t>
      </w:r>
      <w:r w:rsidR="00002073">
        <w:rPr>
          <w:lang w:bidi="en-GB"/>
        </w:rPr>
        <w:t xml:space="preserve">ved Tilbuddet </w:t>
      </w:r>
      <w:r w:rsidR="00D61643">
        <w:t xml:space="preserve">er </w:t>
      </w:r>
      <w:r w:rsidRPr="00595546">
        <w:t xml:space="preserve">blandt andet </w:t>
      </w:r>
      <w:r w:rsidR="00D61643">
        <w:t>baseret på en</w:t>
      </w:r>
      <w:r w:rsidRPr="00595546">
        <w:t xml:space="preserve"> Fairness Opinion af</w:t>
      </w:r>
      <w:r w:rsidR="000F770A" w:rsidRPr="00595546">
        <w:t xml:space="preserve"> 10. december 2025 </w:t>
      </w:r>
      <w:r w:rsidRPr="00595546">
        <w:t xml:space="preserve">fra </w:t>
      </w:r>
      <w:proofErr w:type="spellStart"/>
      <w:r w:rsidR="00AB5749" w:rsidRPr="00595546">
        <w:t>DNB</w:t>
      </w:r>
      <w:proofErr w:type="spellEnd"/>
      <w:r w:rsidR="00AB5749" w:rsidRPr="00595546">
        <w:t xml:space="preserve"> Carnegie</w:t>
      </w:r>
      <w:r w:rsidRPr="00595546">
        <w:t xml:space="preserve">, hvori det fastslås, at </w:t>
      </w:r>
      <w:r w:rsidR="00DB44D5" w:rsidRPr="00595546">
        <w:t xml:space="preserve">Tilbuddet </w:t>
      </w:r>
      <w:r w:rsidRPr="00595546">
        <w:t xml:space="preserve">på denne dato </w:t>
      </w:r>
      <w:r w:rsidR="007232AC">
        <w:t xml:space="preserve">baseret på og underlagt </w:t>
      </w:r>
      <w:r w:rsidRPr="00595546">
        <w:t xml:space="preserve">de forskellige antagelser, procedurer, overvejelser og begrænsninger og forbehold i forbindelse med </w:t>
      </w:r>
      <w:proofErr w:type="spellStart"/>
      <w:r w:rsidR="001629B2" w:rsidRPr="00595546">
        <w:t>DNB</w:t>
      </w:r>
      <w:proofErr w:type="spellEnd"/>
      <w:r w:rsidRPr="00595546">
        <w:t xml:space="preserve"> </w:t>
      </w:r>
      <w:r w:rsidR="00AB5749" w:rsidRPr="00595546">
        <w:t>Carnegies</w:t>
      </w:r>
      <w:r w:rsidRPr="00595546">
        <w:t xml:space="preserve"> gennemgang, som beskrevet i den skriftlige udtalelse, ud fra et finansielt synspunkt </w:t>
      </w:r>
      <w:r w:rsidR="00572612">
        <w:t xml:space="preserve">er </w:t>
      </w:r>
      <w:r w:rsidR="00586F62" w:rsidRPr="00595546">
        <w:t xml:space="preserve">rimeligt </w:t>
      </w:r>
      <w:r w:rsidRPr="00595546">
        <w:t xml:space="preserve">for </w:t>
      </w:r>
      <w:r w:rsidR="00DB44D5" w:rsidRPr="00595546">
        <w:t>Aktionærerne</w:t>
      </w:r>
      <w:r w:rsidRPr="00595546">
        <w:t>.</w:t>
      </w:r>
    </w:p>
    <w:p w14:paraId="6512EA1B" w14:textId="77777777" w:rsidR="00F326E2" w:rsidRPr="00595546" w:rsidRDefault="00F326E2" w:rsidP="00F326E2">
      <w:pPr>
        <w:pStyle w:val="DSBodyTextIndent1"/>
        <w:jc w:val="both"/>
      </w:pPr>
    </w:p>
    <w:p w14:paraId="21AC088B" w14:textId="03303926" w:rsidR="00F5133F" w:rsidRPr="00595546" w:rsidRDefault="00F326E2" w:rsidP="00F326E2">
      <w:pPr>
        <w:pStyle w:val="DSBodyTextIndent1"/>
        <w:jc w:val="both"/>
      </w:pPr>
      <w:r w:rsidRPr="00595546">
        <w:t xml:space="preserve">Den fulde tekst af Fairness Opinion er tilgængelig, med visse begrænsninger, på </w:t>
      </w:r>
      <w:r w:rsidR="00B135A0" w:rsidRPr="00595546">
        <w:t>https://investor.nilfisk.com/offer-site-to-shareholders</w:t>
      </w:r>
      <w:r w:rsidR="00AB5749" w:rsidRPr="00595546">
        <w:t xml:space="preserve">. </w:t>
      </w:r>
      <w:r w:rsidRPr="00595546">
        <w:t xml:space="preserve">Fairness Opinion blev udelukkende udarbejdet til </w:t>
      </w:r>
      <w:r w:rsidR="00A16068">
        <w:t>brug</w:t>
      </w:r>
      <w:r w:rsidRPr="00595546">
        <w:t xml:space="preserve"> for </w:t>
      </w:r>
      <w:r w:rsidR="00595546" w:rsidRPr="00595546">
        <w:t>Bestyrelsen</w:t>
      </w:r>
      <w:r w:rsidRPr="00595546">
        <w:t xml:space="preserve"> i forbindelse med dens vurdering af </w:t>
      </w:r>
      <w:r w:rsidR="00DB44D5" w:rsidRPr="00595546">
        <w:t xml:space="preserve">Tilbuddet </w:t>
      </w:r>
      <w:r w:rsidRPr="00595546">
        <w:t xml:space="preserve">og udgør ikke en anbefaling til nogen </w:t>
      </w:r>
      <w:r w:rsidR="00DB44D5" w:rsidRPr="00595546">
        <w:t xml:space="preserve">Aktionær </w:t>
      </w:r>
      <w:r w:rsidRPr="00595546">
        <w:t xml:space="preserve">om, hvordan </w:t>
      </w:r>
      <w:r w:rsidR="00B3233D">
        <w:t xml:space="preserve">vedkommende </w:t>
      </w:r>
      <w:r w:rsidR="007D43BC">
        <w:t xml:space="preserve">skal </w:t>
      </w:r>
      <w:r w:rsidRPr="00595546">
        <w:t>forhold</w:t>
      </w:r>
      <w:r w:rsidR="00B3233D">
        <w:t>e sig</w:t>
      </w:r>
      <w:r w:rsidRPr="00595546">
        <w:t xml:space="preserve"> til </w:t>
      </w:r>
      <w:r w:rsidR="00DB44D5" w:rsidRPr="00595546">
        <w:t>Tilbuddet</w:t>
      </w:r>
      <w:r w:rsidRPr="00595546">
        <w:t xml:space="preserve">, og </w:t>
      </w:r>
      <w:r w:rsidR="00B3233D">
        <w:t xml:space="preserve">tredjeparter kan </w:t>
      </w:r>
      <w:r w:rsidRPr="00595546">
        <w:t xml:space="preserve">ikke </w:t>
      </w:r>
      <w:r w:rsidR="00385FB8">
        <w:t>større ret på Fairness Opinion eller a</w:t>
      </w:r>
      <w:r w:rsidRPr="00595546">
        <w:t>nvende</w:t>
      </w:r>
      <w:r w:rsidR="00385FB8">
        <w:t xml:space="preserve"> Fairness Opinion </w:t>
      </w:r>
      <w:r w:rsidRPr="00595546">
        <w:t>til andre formål.</w:t>
      </w:r>
    </w:p>
    <w:p w14:paraId="6422B7D4" w14:textId="0652CBEF" w:rsidR="00F5133F" w:rsidRPr="00595546" w:rsidRDefault="00F5133F">
      <w:pPr>
        <w:spacing w:after="160" w:line="259" w:lineRule="auto"/>
      </w:pPr>
    </w:p>
    <w:p w14:paraId="24EAD178" w14:textId="6D261F8B" w:rsidR="00C409D1" w:rsidRPr="00595546" w:rsidRDefault="00C409D1" w:rsidP="007833EC">
      <w:pPr>
        <w:pStyle w:val="Heading1"/>
        <w:jc w:val="both"/>
      </w:pPr>
      <w:bookmarkStart w:id="58" w:name="_Ref134025496"/>
      <w:bookmarkStart w:id="59" w:name="_Toc194440315"/>
      <w:bookmarkStart w:id="60" w:name="_Toc218590512"/>
      <w:r w:rsidRPr="00595546">
        <w:t>Incitamentsprogrammer</w:t>
      </w:r>
      <w:bookmarkEnd w:id="58"/>
      <w:bookmarkEnd w:id="59"/>
      <w:bookmarkEnd w:id="60"/>
      <w:r w:rsidR="00F46D99" w:rsidRPr="00595546">
        <w:t xml:space="preserve"> </w:t>
      </w:r>
    </w:p>
    <w:p w14:paraId="144E55B6" w14:textId="7BB2E142" w:rsidR="00394F83" w:rsidRPr="00595546" w:rsidRDefault="001904F8" w:rsidP="007833EC">
      <w:pPr>
        <w:pStyle w:val="DSBodyTextIndent1"/>
        <w:jc w:val="both"/>
      </w:pPr>
      <w:bookmarkStart w:id="61" w:name="_Toc194440320"/>
      <w:r w:rsidRPr="00595546">
        <w:t>P</w:t>
      </w:r>
      <w:r w:rsidR="00DB44D5" w:rsidRPr="00595546">
        <w:t>r.</w:t>
      </w:r>
      <w:r w:rsidRPr="00595546">
        <w:t xml:space="preserve"> </w:t>
      </w:r>
      <w:r w:rsidR="00B36048" w:rsidRPr="00595546">
        <w:t xml:space="preserve">datoen for denne </w:t>
      </w:r>
      <w:r w:rsidR="00DB44D5" w:rsidRPr="00595546">
        <w:t xml:space="preserve">Redegørelse </w:t>
      </w:r>
      <w:r w:rsidR="00595546" w:rsidRPr="00595546">
        <w:t xml:space="preserve">har </w:t>
      </w:r>
      <w:r w:rsidR="00DB44D5" w:rsidRPr="00595546">
        <w:t xml:space="preserve">Koncernen </w:t>
      </w:r>
      <w:r w:rsidR="00FE66E6" w:rsidRPr="00595546">
        <w:t xml:space="preserve">to </w:t>
      </w:r>
      <w:r w:rsidR="00434638" w:rsidRPr="00595546">
        <w:t xml:space="preserve">(2) </w:t>
      </w:r>
      <w:r w:rsidR="00394F83" w:rsidRPr="00595546">
        <w:t xml:space="preserve">aktiebaserede </w:t>
      </w:r>
      <w:r w:rsidR="00F3778E" w:rsidRPr="00595546">
        <w:t xml:space="preserve">incitamentsprogrammer </w:t>
      </w:r>
      <w:r w:rsidR="00394F83" w:rsidRPr="00595546">
        <w:t>(</w:t>
      </w:r>
      <w:r w:rsidR="00595546" w:rsidRPr="00595546">
        <w:rPr>
          <w:b/>
          <w:bCs/>
        </w:rPr>
        <w:t>Aktiebaserede Incitamentsprogrammer</w:t>
      </w:r>
      <w:r w:rsidR="00394F83" w:rsidRPr="00595546">
        <w:t>):</w:t>
      </w:r>
    </w:p>
    <w:p w14:paraId="1C3AEED3" w14:textId="77777777" w:rsidR="00394F83" w:rsidRPr="00595546" w:rsidRDefault="00394F83" w:rsidP="007833EC">
      <w:pPr>
        <w:pStyle w:val="DSBodyTextIndent1"/>
        <w:jc w:val="both"/>
      </w:pPr>
    </w:p>
    <w:p w14:paraId="1BE8E7FA" w14:textId="73ACA78F" w:rsidR="00394F83" w:rsidRPr="00595546" w:rsidRDefault="00394F83" w:rsidP="007833EC">
      <w:pPr>
        <w:pStyle w:val="ListBullet"/>
        <w:numPr>
          <w:ilvl w:val="0"/>
          <w:numId w:val="28"/>
        </w:numPr>
        <w:jc w:val="both"/>
      </w:pPr>
      <w:r w:rsidRPr="00595546">
        <w:t>E</w:t>
      </w:r>
      <w:r w:rsidR="00595546" w:rsidRPr="00595546">
        <w:t>t</w:t>
      </w:r>
      <w:r w:rsidRPr="00595546">
        <w:t xml:space="preserve"> </w:t>
      </w:r>
      <w:proofErr w:type="spellStart"/>
      <w:r w:rsidR="00595546" w:rsidRPr="00595546">
        <w:t>one-off</w:t>
      </w:r>
      <w:proofErr w:type="spellEnd"/>
      <w:r w:rsidR="00595546" w:rsidRPr="00595546">
        <w:t xml:space="preserve"> warrantprogram </w:t>
      </w:r>
      <w:r w:rsidR="008C50FF" w:rsidRPr="00595546">
        <w:t>(</w:t>
      </w:r>
      <w:r w:rsidR="00595546" w:rsidRPr="00595546">
        <w:rPr>
          <w:b/>
          <w:bCs/>
        </w:rPr>
        <w:t>Warrantprogrammet</w:t>
      </w:r>
      <w:r w:rsidR="008C50FF" w:rsidRPr="00595546">
        <w:t xml:space="preserve">), </w:t>
      </w:r>
      <w:r w:rsidRPr="00595546">
        <w:t xml:space="preserve">i henhold til hvilke </w:t>
      </w:r>
      <w:r w:rsidR="00DB44D5" w:rsidRPr="00595546">
        <w:t xml:space="preserve">Selskabet </w:t>
      </w:r>
      <w:r w:rsidRPr="00595546">
        <w:t xml:space="preserve">har tildelt warrants </w:t>
      </w:r>
      <w:r w:rsidR="008C50FF" w:rsidRPr="00595546">
        <w:t>(</w:t>
      </w:r>
      <w:r w:rsidR="00595546" w:rsidRPr="00595546">
        <w:rPr>
          <w:b/>
          <w:bCs/>
        </w:rPr>
        <w:t>Warrants</w:t>
      </w:r>
      <w:r w:rsidR="008C50FF" w:rsidRPr="00595546">
        <w:t xml:space="preserve">) </w:t>
      </w:r>
      <w:r w:rsidRPr="00595546">
        <w:t xml:space="preserve">til </w:t>
      </w:r>
      <w:r w:rsidR="00595546" w:rsidRPr="00595546">
        <w:t xml:space="preserve">Direktionen </w:t>
      </w:r>
      <w:r w:rsidRPr="00595546">
        <w:t xml:space="preserve">og udvalgte medarbejdere i </w:t>
      </w:r>
      <w:r w:rsidR="00DB44D5" w:rsidRPr="00595546">
        <w:t>Koncernen</w:t>
      </w:r>
      <w:r w:rsidRPr="00595546">
        <w:t xml:space="preserve">, </w:t>
      </w:r>
      <w:r w:rsidR="00B16D86" w:rsidRPr="00595546">
        <w:t>og</w:t>
      </w:r>
    </w:p>
    <w:p w14:paraId="3F8A8476" w14:textId="7E2898BB" w:rsidR="00394F83" w:rsidRPr="00595546" w:rsidRDefault="008A4842" w:rsidP="007833EC">
      <w:pPr>
        <w:pStyle w:val="ListBullet"/>
        <w:numPr>
          <w:ilvl w:val="0"/>
          <w:numId w:val="28"/>
        </w:numPr>
        <w:jc w:val="both"/>
      </w:pPr>
      <w:r w:rsidRPr="00595546">
        <w:t xml:space="preserve">Årligt </w:t>
      </w:r>
      <w:r w:rsidR="00E635E1" w:rsidRPr="00595546">
        <w:t xml:space="preserve">tilbagevendende </w:t>
      </w:r>
      <w:r w:rsidR="00595546" w:rsidRPr="00595546">
        <w:t xml:space="preserve">performance </w:t>
      </w:r>
      <w:proofErr w:type="spellStart"/>
      <w:r w:rsidR="00595546" w:rsidRPr="00595546">
        <w:t>share</w:t>
      </w:r>
      <w:proofErr w:type="spellEnd"/>
      <w:r w:rsidR="00595546" w:rsidRPr="00595546">
        <w:t xml:space="preserve"> plans </w:t>
      </w:r>
      <w:r w:rsidR="00900F61" w:rsidRPr="00595546">
        <w:t>(</w:t>
      </w:r>
      <w:proofErr w:type="spellStart"/>
      <w:r w:rsidR="00E635E1" w:rsidRPr="00595546">
        <w:rPr>
          <w:b/>
          <w:bCs/>
        </w:rPr>
        <w:t>PSP'er</w:t>
      </w:r>
      <w:proofErr w:type="spellEnd"/>
      <w:r w:rsidR="00900F61" w:rsidRPr="00595546">
        <w:t xml:space="preserve">), i henhold til hvilke </w:t>
      </w:r>
      <w:r w:rsidR="00DB44D5" w:rsidRPr="00595546">
        <w:t xml:space="preserve">Selskabet </w:t>
      </w:r>
      <w:r w:rsidR="00394F83" w:rsidRPr="00595546">
        <w:t xml:space="preserve">har tildelt </w:t>
      </w:r>
      <w:r w:rsidR="00595546" w:rsidRPr="00595546">
        <w:t xml:space="preserve">performance </w:t>
      </w:r>
      <w:proofErr w:type="spellStart"/>
      <w:r w:rsidR="00595546" w:rsidRPr="00595546">
        <w:t>share</w:t>
      </w:r>
      <w:proofErr w:type="spellEnd"/>
      <w:r w:rsidR="00595546" w:rsidRPr="00595546">
        <w:t xml:space="preserve"> units </w:t>
      </w:r>
      <w:r w:rsidR="00900F61" w:rsidRPr="00595546">
        <w:t>(</w:t>
      </w:r>
      <w:proofErr w:type="spellStart"/>
      <w:r w:rsidR="00900F61" w:rsidRPr="00595546">
        <w:rPr>
          <w:b/>
          <w:bCs/>
        </w:rPr>
        <w:t>PSU'er</w:t>
      </w:r>
      <w:proofErr w:type="spellEnd"/>
      <w:r w:rsidR="00900F61" w:rsidRPr="00595546">
        <w:t xml:space="preserve">) </w:t>
      </w:r>
      <w:r w:rsidR="00394F83" w:rsidRPr="00595546">
        <w:t xml:space="preserve">til </w:t>
      </w:r>
      <w:r w:rsidR="00595546" w:rsidRPr="00595546">
        <w:t xml:space="preserve">Direktionen </w:t>
      </w:r>
      <w:r w:rsidR="00B16D86" w:rsidRPr="00595546">
        <w:t xml:space="preserve">og udvalgte </w:t>
      </w:r>
      <w:r w:rsidR="009A0E56" w:rsidRPr="00595546">
        <w:t xml:space="preserve">medarbejdere i </w:t>
      </w:r>
      <w:r w:rsidR="00DB44D5" w:rsidRPr="00595546">
        <w:t>Koncernen</w:t>
      </w:r>
      <w:r w:rsidR="00B16D86" w:rsidRPr="00595546">
        <w:t>.</w:t>
      </w:r>
    </w:p>
    <w:p w14:paraId="5CF872EC" w14:textId="77777777" w:rsidR="007B2D48" w:rsidRPr="00595546" w:rsidRDefault="007B2D48" w:rsidP="007833EC">
      <w:pPr>
        <w:pStyle w:val="DSBodyTextIndent1"/>
        <w:jc w:val="both"/>
      </w:pPr>
    </w:p>
    <w:p w14:paraId="1B1D64D3" w14:textId="103EC0B6" w:rsidR="00ED7231" w:rsidRPr="00595546" w:rsidRDefault="00ED7231" w:rsidP="007833EC">
      <w:pPr>
        <w:pStyle w:val="DSBodyTextIndent1"/>
        <w:jc w:val="both"/>
      </w:pPr>
      <w:r w:rsidRPr="00595546">
        <w:t xml:space="preserve">Selskabet har </w:t>
      </w:r>
      <w:r w:rsidR="00AB6785" w:rsidRPr="00595546">
        <w:t xml:space="preserve">i </w:t>
      </w:r>
      <w:r w:rsidR="00DB44D5" w:rsidRPr="00595546">
        <w:t>Offentliggørelsesaftalen</w:t>
      </w:r>
      <w:r w:rsidR="00AB6785" w:rsidRPr="00595546">
        <w:t xml:space="preserve"> </w:t>
      </w:r>
      <w:r w:rsidRPr="00595546">
        <w:t xml:space="preserve">forpligtet sig over </w:t>
      </w:r>
      <w:r w:rsidR="00474B4C" w:rsidRPr="00595546">
        <w:t xml:space="preserve">for </w:t>
      </w:r>
      <w:r w:rsidR="00DB44D5" w:rsidRPr="00595546">
        <w:t>Tilbudsgiver</w:t>
      </w:r>
      <w:r w:rsidR="00474B4C" w:rsidRPr="00595546">
        <w:t xml:space="preserve"> til ikke at fremskynde </w:t>
      </w:r>
      <w:r w:rsidR="00595546" w:rsidRPr="00595546">
        <w:t xml:space="preserve">modningen </w:t>
      </w:r>
      <w:r w:rsidR="00474B4C" w:rsidRPr="00595546">
        <w:t xml:space="preserve">af </w:t>
      </w:r>
      <w:r w:rsidR="00595546" w:rsidRPr="00595546">
        <w:t xml:space="preserve">Warrants </w:t>
      </w:r>
      <w:r w:rsidR="00474B4C" w:rsidRPr="00595546">
        <w:t xml:space="preserve">og </w:t>
      </w:r>
      <w:proofErr w:type="spellStart"/>
      <w:r w:rsidR="00474B4C" w:rsidRPr="00595546">
        <w:t>PSU'er</w:t>
      </w:r>
      <w:proofErr w:type="spellEnd"/>
      <w:r w:rsidR="00474B4C" w:rsidRPr="00595546">
        <w:t xml:space="preserve"> som følge af </w:t>
      </w:r>
      <w:r w:rsidR="00DB44D5" w:rsidRPr="00595546">
        <w:t>Tilbuddet</w:t>
      </w:r>
      <w:r w:rsidR="00474B4C" w:rsidRPr="00595546">
        <w:t>.</w:t>
      </w:r>
    </w:p>
    <w:p w14:paraId="28E59EA7" w14:textId="77777777" w:rsidR="00ED7231" w:rsidRPr="00595546" w:rsidRDefault="00ED7231" w:rsidP="007833EC">
      <w:pPr>
        <w:pStyle w:val="DSBodyTextIndent1"/>
        <w:jc w:val="both"/>
      </w:pPr>
    </w:p>
    <w:p w14:paraId="2AC64EE8" w14:textId="56558ABD" w:rsidR="003D3415" w:rsidRPr="00595546" w:rsidRDefault="00CD09A1" w:rsidP="003D3415">
      <w:pPr>
        <w:pStyle w:val="DSBodyTextIndent1"/>
        <w:jc w:val="both"/>
      </w:pPr>
      <w:r w:rsidRPr="00595546">
        <w:t xml:space="preserve">I henhold til </w:t>
      </w:r>
      <w:r w:rsidR="00DB44D5" w:rsidRPr="00595546">
        <w:t>Offentliggørelsesaftalen</w:t>
      </w:r>
      <w:r w:rsidRPr="00595546">
        <w:t xml:space="preserve"> </w:t>
      </w:r>
      <w:r w:rsidR="003D3415" w:rsidRPr="00595546">
        <w:t xml:space="preserve">har </w:t>
      </w:r>
      <w:r w:rsidR="00DB44D5" w:rsidRPr="00595546">
        <w:t xml:space="preserve">Selskabet </w:t>
      </w:r>
      <w:r w:rsidR="003D3415" w:rsidRPr="00595546">
        <w:t xml:space="preserve">ret til at fortsætte </w:t>
      </w:r>
      <w:proofErr w:type="spellStart"/>
      <w:r w:rsidR="00595546" w:rsidRPr="00595546">
        <w:t>PSP'erne</w:t>
      </w:r>
      <w:proofErr w:type="spellEnd"/>
      <w:r w:rsidR="00595546" w:rsidRPr="00595546">
        <w:t xml:space="preserve"> </w:t>
      </w:r>
      <w:r w:rsidR="003D3415" w:rsidRPr="00595546">
        <w:t>i</w:t>
      </w:r>
      <w:r w:rsidR="0000131E">
        <w:t xml:space="preserve"> al væsentlighed i</w:t>
      </w:r>
      <w:r w:rsidR="003D3415" w:rsidRPr="00595546">
        <w:t xml:space="preserve"> </w:t>
      </w:r>
      <w:r w:rsidR="00595546" w:rsidRPr="00595546">
        <w:t>henhold til sædvanlig forretningsdrift i overensstemmelse med hidtidig praksis</w:t>
      </w:r>
      <w:r w:rsidR="003D3415" w:rsidRPr="00595546">
        <w:t>, herunder ved at implementere e</w:t>
      </w:r>
      <w:r w:rsidR="00595546" w:rsidRPr="00595546">
        <w:t>t</w:t>
      </w:r>
      <w:r w:rsidR="003D3415" w:rsidRPr="00595546">
        <w:t xml:space="preserve"> 2026 </w:t>
      </w:r>
      <w:proofErr w:type="spellStart"/>
      <w:r w:rsidR="003D3415" w:rsidRPr="00595546">
        <w:t>PSP</w:t>
      </w:r>
      <w:proofErr w:type="spellEnd"/>
      <w:r w:rsidR="003D3415" w:rsidRPr="00595546">
        <w:t xml:space="preserve"> </w:t>
      </w:r>
      <w:r w:rsidR="0000131E" w:rsidRPr="00595546">
        <w:t>i</w:t>
      </w:r>
      <w:r w:rsidR="0000131E">
        <w:t xml:space="preserve"> al væsentlighed </w:t>
      </w:r>
      <w:r w:rsidR="00D0111A" w:rsidRPr="00595546">
        <w:t xml:space="preserve">i </w:t>
      </w:r>
      <w:r w:rsidR="00595546" w:rsidRPr="00595546">
        <w:t>henhold til sædvanlig forretningsdrift i overensstemmelse med hidtidig praksis</w:t>
      </w:r>
      <w:r w:rsidR="00D0111A" w:rsidRPr="00595546">
        <w:t xml:space="preserve"> på vilkår</w:t>
      </w:r>
      <w:r w:rsidR="003D3415" w:rsidRPr="00595546">
        <w:t>,</w:t>
      </w:r>
      <w:r w:rsidR="00D0111A" w:rsidRPr="00595546">
        <w:t xml:space="preserve"> der i det væsentlige svarer til de eksisterende </w:t>
      </w:r>
      <w:proofErr w:type="spellStart"/>
      <w:r w:rsidR="00D0111A" w:rsidRPr="00595546">
        <w:t>PSP'er</w:t>
      </w:r>
      <w:proofErr w:type="spellEnd"/>
      <w:r w:rsidR="003D3415" w:rsidRPr="00595546">
        <w:t xml:space="preserve">, og til at udstede </w:t>
      </w:r>
      <w:proofErr w:type="spellStart"/>
      <w:r w:rsidR="003D3415" w:rsidRPr="00595546">
        <w:t>PSU'er</w:t>
      </w:r>
      <w:proofErr w:type="spellEnd"/>
      <w:r w:rsidR="003D3415" w:rsidRPr="00595546">
        <w:t xml:space="preserve"> </w:t>
      </w:r>
      <w:r w:rsidR="00D0111A" w:rsidRPr="00595546">
        <w:t xml:space="preserve">under </w:t>
      </w:r>
      <w:r w:rsidR="00595546" w:rsidRPr="00595546">
        <w:t xml:space="preserve">et </w:t>
      </w:r>
      <w:r w:rsidR="00D0111A" w:rsidRPr="00595546">
        <w:t xml:space="preserve">sådan 2026 </w:t>
      </w:r>
      <w:proofErr w:type="spellStart"/>
      <w:r w:rsidR="00D0111A" w:rsidRPr="00595546">
        <w:t>PSP</w:t>
      </w:r>
      <w:proofErr w:type="spellEnd"/>
      <w:r w:rsidR="00D0111A" w:rsidRPr="00595546">
        <w:t xml:space="preserve"> </w:t>
      </w:r>
      <w:r w:rsidR="003D3415" w:rsidRPr="00595546">
        <w:t xml:space="preserve">til </w:t>
      </w:r>
      <w:r w:rsidR="00595546" w:rsidRPr="00595546">
        <w:t>Direktionen</w:t>
      </w:r>
      <w:r w:rsidR="003D3415" w:rsidRPr="00595546">
        <w:t xml:space="preserve"> og udvalgte medarbejdere i </w:t>
      </w:r>
      <w:r w:rsidR="00DB44D5" w:rsidRPr="00595546">
        <w:t>Koncernen</w:t>
      </w:r>
      <w:r w:rsidR="0000131E" w:rsidRPr="0000131E">
        <w:t xml:space="preserve"> </w:t>
      </w:r>
      <w:r w:rsidR="0000131E" w:rsidRPr="00595546">
        <w:t>i</w:t>
      </w:r>
      <w:r w:rsidR="0000131E">
        <w:t xml:space="preserve"> al væsentlighed</w:t>
      </w:r>
      <w:r w:rsidR="00DB44D5" w:rsidRPr="00595546">
        <w:t xml:space="preserve"> </w:t>
      </w:r>
      <w:r w:rsidR="003D3415" w:rsidRPr="00595546">
        <w:t xml:space="preserve">i </w:t>
      </w:r>
      <w:r w:rsidR="00595546" w:rsidRPr="00595546">
        <w:t>henhold til sædvanlig forretningsdrift i overensstemmelse med hidtidig praksis</w:t>
      </w:r>
      <w:r w:rsidR="003D3415" w:rsidRPr="00595546">
        <w:t>.</w:t>
      </w:r>
    </w:p>
    <w:p w14:paraId="36DF9733" w14:textId="77777777" w:rsidR="003D3415" w:rsidRPr="00595546" w:rsidRDefault="003D3415" w:rsidP="003D3415">
      <w:pPr>
        <w:pStyle w:val="DSBodyTextIndent1"/>
        <w:jc w:val="both"/>
      </w:pPr>
    </w:p>
    <w:p w14:paraId="191540A8" w14:textId="77777777" w:rsidR="00F5133F" w:rsidRPr="00595546" w:rsidRDefault="00F5133F" w:rsidP="003D3415">
      <w:pPr>
        <w:pStyle w:val="DSBodyTextIndent1"/>
        <w:jc w:val="both"/>
      </w:pPr>
      <w:r w:rsidRPr="00595546">
        <w:br w:type="page"/>
      </w:r>
    </w:p>
    <w:p w14:paraId="76A3CA6E" w14:textId="00030CCD" w:rsidR="00624173" w:rsidRPr="00595546" w:rsidRDefault="00DB44D5" w:rsidP="007833EC">
      <w:pPr>
        <w:pStyle w:val="Heading1"/>
        <w:jc w:val="both"/>
      </w:pPr>
      <w:bookmarkStart w:id="62" w:name="_Ref132647155"/>
      <w:bookmarkStart w:id="63" w:name="_Ref132647935"/>
      <w:bookmarkStart w:id="64" w:name="_Ref132648454"/>
      <w:bookmarkStart w:id="65" w:name="_Toc136939183"/>
      <w:bookmarkStart w:id="66" w:name="_Toc218590513"/>
      <w:bookmarkStart w:id="67" w:name="_Ref203811163"/>
      <w:bookmarkEnd w:id="62"/>
      <w:bookmarkEnd w:id="63"/>
      <w:bookmarkEnd w:id="64"/>
      <w:bookmarkEnd w:id="65"/>
      <w:r w:rsidRPr="00595546">
        <w:lastRenderedPageBreak/>
        <w:t>Offentliggørelsesaftalen</w:t>
      </w:r>
      <w:bookmarkEnd w:id="66"/>
      <w:r w:rsidR="00624173" w:rsidRPr="00595546">
        <w:t xml:space="preserve"> </w:t>
      </w:r>
      <w:bookmarkEnd w:id="67"/>
    </w:p>
    <w:p w14:paraId="1485891F" w14:textId="7A71E7B1" w:rsidR="00236702" w:rsidRDefault="00236702" w:rsidP="00236702">
      <w:pPr>
        <w:ind w:left="851"/>
        <w:jc w:val="both"/>
        <w:rPr>
          <w:lang w:bidi="en-GB"/>
        </w:rPr>
      </w:pPr>
      <w:r>
        <w:rPr>
          <w:lang w:bidi="en-GB"/>
        </w:rPr>
        <w:t>Nedenfor opsummeres nogle af de vilkår i Offentliggørelsesaftalen, som Bestyrelsen mener er særligt vigtige for formålet med denne Redegørelse.</w:t>
      </w:r>
    </w:p>
    <w:p w14:paraId="441BE13B" w14:textId="77777777" w:rsidR="00236702" w:rsidRDefault="00236702" w:rsidP="00236702">
      <w:pPr>
        <w:ind w:left="851"/>
        <w:jc w:val="both"/>
        <w:rPr>
          <w:lang w:bidi="en-GB"/>
        </w:rPr>
      </w:pPr>
    </w:p>
    <w:p w14:paraId="61EA25C1" w14:textId="1D363855" w:rsidR="00236702" w:rsidRDefault="00236702" w:rsidP="00236702">
      <w:pPr>
        <w:ind w:left="851"/>
        <w:jc w:val="both"/>
        <w:rPr>
          <w:lang w:bidi="en-GB"/>
        </w:rPr>
      </w:pPr>
      <w:r>
        <w:rPr>
          <w:lang w:bidi="en-GB"/>
        </w:rPr>
        <w:t>I henhold til Offentliggørelsesaftalen har Tilbudsgiver, med forbehold for opfyldelse af visse forudgående betingelser, forpligtet sig til at fremsætte Tilbuddet. Ved offentliggørelsen af Tilbudsdokumentet har Tilbudsgiver bekræftet, at alle forudgående betingelser for fremsættelsen af Tilbuddet er opfyldt.</w:t>
      </w:r>
    </w:p>
    <w:p w14:paraId="6E46624E" w14:textId="77777777" w:rsidR="00236702" w:rsidRDefault="00236702" w:rsidP="00236702">
      <w:pPr>
        <w:ind w:left="851"/>
        <w:jc w:val="both"/>
        <w:rPr>
          <w:lang w:bidi="en-GB"/>
        </w:rPr>
      </w:pPr>
    </w:p>
    <w:p w14:paraId="6EB73F7E" w14:textId="4CFF5CFC" w:rsidR="00236702" w:rsidRDefault="00236702" w:rsidP="00236702">
      <w:pPr>
        <w:ind w:left="851"/>
        <w:jc w:val="both"/>
        <w:rPr>
          <w:lang w:bidi="en-GB"/>
        </w:rPr>
      </w:pPr>
      <w:r>
        <w:rPr>
          <w:lang w:bidi="en-GB"/>
        </w:rPr>
        <w:t>Tilbudsgiver har i Offentliggørelsesaftalen givet visse tilsagn og forpligtet sig vedrørende finansieringen af Tilbuddet og en eventuel efterfølgende tvangsindløsning, herunder med henblik på at sikre, at Tilbudsgiver ved Gennemførelsen og frem til Long Stop Datoen (som defineret nedenfor) har de nødvendige midler til rådighed til at betale Tilbuds</w:t>
      </w:r>
      <w:r w:rsidR="00E65402">
        <w:rPr>
          <w:lang w:bidi="en-GB"/>
        </w:rPr>
        <w:t>kursen</w:t>
      </w:r>
      <w:r>
        <w:rPr>
          <w:lang w:bidi="en-GB"/>
        </w:rPr>
        <w:t xml:space="preserve"> for samtlige Aktier, der </w:t>
      </w:r>
      <w:r w:rsidR="00892567">
        <w:rPr>
          <w:lang w:bidi="en-GB"/>
        </w:rPr>
        <w:t xml:space="preserve">sælges </w:t>
      </w:r>
      <w:r>
        <w:rPr>
          <w:lang w:bidi="en-GB"/>
        </w:rPr>
        <w:t>i Tilbuddet, på vilkår, der er tilstrækkelige til at sikre overholdelse af kravene i Overtagelsesbekendtgørelsen</w:t>
      </w:r>
      <w:r w:rsidR="00892567">
        <w:rPr>
          <w:lang w:bidi="en-GB"/>
        </w:rPr>
        <w:t xml:space="preserve"> samt til at refina</w:t>
      </w:r>
      <w:r w:rsidR="00DC3D88">
        <w:rPr>
          <w:lang w:bidi="en-GB"/>
        </w:rPr>
        <w:t>n</w:t>
      </w:r>
      <w:r w:rsidR="00892567">
        <w:rPr>
          <w:lang w:bidi="en-GB"/>
        </w:rPr>
        <w:t xml:space="preserve">siere </w:t>
      </w:r>
      <w:r w:rsidR="00C344DD">
        <w:rPr>
          <w:lang w:bidi="en-GB"/>
        </w:rPr>
        <w:t>Koncernens gæld</w:t>
      </w:r>
      <w:r w:rsidR="00DC3D88">
        <w:rPr>
          <w:lang w:bidi="en-GB"/>
        </w:rPr>
        <w:t>,</w:t>
      </w:r>
      <w:r w:rsidR="00C344DD">
        <w:rPr>
          <w:lang w:bidi="en-GB"/>
        </w:rPr>
        <w:t xml:space="preserve"> som måtte forfalde som følge af Gennemførelsen af Tilbuddet</w:t>
      </w:r>
      <w:r>
        <w:rPr>
          <w:lang w:bidi="en-GB"/>
        </w:rPr>
        <w:t>.</w:t>
      </w:r>
    </w:p>
    <w:p w14:paraId="129D94D3" w14:textId="77777777" w:rsidR="00236702" w:rsidRDefault="00236702" w:rsidP="00236702">
      <w:pPr>
        <w:ind w:left="851"/>
        <w:jc w:val="both"/>
        <w:rPr>
          <w:lang w:bidi="en-GB"/>
        </w:rPr>
      </w:pPr>
    </w:p>
    <w:p w14:paraId="5B533507" w14:textId="246C8C2F" w:rsidR="00B144B7" w:rsidRPr="00595546" w:rsidRDefault="00236702" w:rsidP="00236474">
      <w:pPr>
        <w:ind w:left="851"/>
        <w:jc w:val="both"/>
        <w:rPr>
          <w:rFonts w:asciiTheme="minorHAnsi" w:hAnsiTheme="minorHAnsi" w:cstheme="minorHAnsi"/>
          <w:lang w:bidi="en-GB"/>
        </w:rPr>
      </w:pPr>
      <w:r>
        <w:rPr>
          <w:lang w:bidi="en-GB"/>
        </w:rPr>
        <w:t>Forudsat at Tilbuddet fremsættes og Tilbudsdokumentet offentliggøres i overensstemmelse med vilkårene i Offentliggørelsesaftalen, har Bestyrelsen i Offentliggørelsesaftalen forpligtet sig til at anbefale Aktionærerne at acceptere Tilbuddet og til ikke at trække en sådan anbefaling tilbage eller ændre den på en måde, der er ugunstig for Tilbuddet. Offentliggørelsesaftalen fastslår dog udtrykkeligt, at såfremt en tredjepart offentliggør et konkurrerende tilbud eller på anden vis offentliggør en beslutning om at foretage en alternativ transaktion eller offentliggør en beslutning om at gennemføre et konkurrerende tilbud eller en alternativ transaktion - i hvert tilfælde forudsat at et sådant konkurrerende tilbud eller anden alternativ transaktion udgør et bedre alternativt transaktions</w:t>
      </w:r>
      <w:r w:rsidR="00EF1BDC">
        <w:rPr>
          <w:lang w:bidi="en-GB"/>
        </w:rPr>
        <w:t>forslag</w:t>
      </w:r>
      <w:r w:rsidR="00883041">
        <w:rPr>
          <w:lang w:bidi="en-GB"/>
        </w:rPr>
        <w:t xml:space="preserve"> </w:t>
      </w:r>
      <w:r w:rsidR="00236474" w:rsidRPr="00595546">
        <w:rPr>
          <w:rFonts w:asciiTheme="minorHAnsi" w:hAnsiTheme="minorHAnsi" w:cstheme="minorHAnsi"/>
          <w:lang w:bidi="en-GB"/>
        </w:rPr>
        <w:t xml:space="preserve">er </w:t>
      </w:r>
      <w:r w:rsidR="00595546" w:rsidRPr="00595546">
        <w:rPr>
          <w:rFonts w:asciiTheme="minorHAnsi" w:hAnsiTheme="minorHAnsi" w:cstheme="minorHAnsi"/>
          <w:lang w:bidi="en-GB"/>
        </w:rPr>
        <w:t>Bestyrelsen</w:t>
      </w:r>
      <w:r w:rsidR="00236474" w:rsidRPr="00595546">
        <w:rPr>
          <w:rFonts w:asciiTheme="minorHAnsi" w:hAnsiTheme="minorHAnsi" w:cstheme="minorHAnsi"/>
          <w:lang w:bidi="en-GB"/>
        </w:rPr>
        <w:t xml:space="preserve"> ikke forpligtet til </w:t>
      </w:r>
      <w:r w:rsidR="00BF439C">
        <w:rPr>
          <w:rFonts w:asciiTheme="minorHAnsi" w:hAnsiTheme="minorHAnsi" w:cstheme="minorHAnsi"/>
          <w:lang w:bidi="en-GB"/>
        </w:rPr>
        <w:t xml:space="preserve">ikke </w:t>
      </w:r>
      <w:r w:rsidR="00942474" w:rsidRPr="00595546">
        <w:rPr>
          <w:rFonts w:asciiTheme="minorHAnsi" w:hAnsiTheme="minorHAnsi" w:cstheme="minorHAnsi"/>
          <w:lang w:bidi="en-GB"/>
        </w:rPr>
        <w:t xml:space="preserve">at trække </w:t>
      </w:r>
      <w:r w:rsidR="001F7315" w:rsidRPr="00595546">
        <w:rPr>
          <w:rFonts w:asciiTheme="minorHAnsi" w:hAnsiTheme="minorHAnsi" w:cstheme="minorHAnsi"/>
          <w:lang w:bidi="en-GB"/>
        </w:rPr>
        <w:t xml:space="preserve">sin </w:t>
      </w:r>
      <w:r w:rsidR="00F146B1" w:rsidRPr="00595546">
        <w:rPr>
          <w:rFonts w:asciiTheme="minorHAnsi" w:hAnsiTheme="minorHAnsi" w:cstheme="minorHAnsi"/>
          <w:lang w:bidi="en-GB"/>
        </w:rPr>
        <w:t xml:space="preserve">anbefaling </w:t>
      </w:r>
      <w:r w:rsidR="00942474" w:rsidRPr="00595546">
        <w:rPr>
          <w:rFonts w:asciiTheme="minorHAnsi" w:hAnsiTheme="minorHAnsi" w:cstheme="minorHAnsi"/>
          <w:lang w:bidi="en-GB"/>
        </w:rPr>
        <w:t xml:space="preserve">tilbage </w:t>
      </w:r>
      <w:r w:rsidR="00F146B1" w:rsidRPr="00595546">
        <w:rPr>
          <w:rFonts w:asciiTheme="minorHAnsi" w:hAnsiTheme="minorHAnsi" w:cstheme="minorHAnsi"/>
          <w:lang w:bidi="en-GB"/>
        </w:rPr>
        <w:t xml:space="preserve">eller ændre den </w:t>
      </w:r>
      <w:r w:rsidR="00DA5EC8" w:rsidRPr="00595546">
        <w:rPr>
          <w:rFonts w:asciiTheme="minorHAnsi" w:hAnsiTheme="minorHAnsi" w:cstheme="minorHAnsi"/>
          <w:lang w:bidi="en-GB"/>
        </w:rPr>
        <w:t>på en måde</w:t>
      </w:r>
      <w:r w:rsidR="000F12ED" w:rsidRPr="00595546">
        <w:rPr>
          <w:rFonts w:asciiTheme="minorHAnsi" w:hAnsiTheme="minorHAnsi" w:cstheme="minorHAnsi"/>
          <w:lang w:bidi="en-GB"/>
        </w:rPr>
        <w:t>,</w:t>
      </w:r>
      <w:r w:rsidR="00DA5EC8" w:rsidRPr="00595546">
        <w:rPr>
          <w:rFonts w:asciiTheme="minorHAnsi" w:hAnsiTheme="minorHAnsi" w:cstheme="minorHAnsi"/>
          <w:lang w:bidi="en-GB"/>
        </w:rPr>
        <w:t xml:space="preserve"> der er </w:t>
      </w:r>
      <w:r w:rsidR="0009393B">
        <w:rPr>
          <w:rFonts w:asciiTheme="minorHAnsi" w:hAnsiTheme="minorHAnsi" w:cstheme="minorHAnsi"/>
          <w:lang w:bidi="en-GB"/>
        </w:rPr>
        <w:t>ugunstig</w:t>
      </w:r>
      <w:r w:rsidR="00DA5EC8" w:rsidRPr="00595546">
        <w:rPr>
          <w:rFonts w:asciiTheme="minorHAnsi" w:hAnsiTheme="minorHAnsi" w:cstheme="minorHAnsi"/>
          <w:lang w:bidi="en-GB"/>
        </w:rPr>
        <w:t xml:space="preserve"> </w:t>
      </w:r>
      <w:r w:rsidR="00DB44D5" w:rsidRPr="00595546">
        <w:rPr>
          <w:rFonts w:asciiTheme="minorHAnsi" w:hAnsiTheme="minorHAnsi" w:cstheme="minorHAnsi"/>
          <w:lang w:bidi="en-GB"/>
        </w:rPr>
        <w:t>Tilbuddet</w:t>
      </w:r>
      <w:r w:rsidR="000F12ED" w:rsidRPr="00595546">
        <w:rPr>
          <w:rFonts w:asciiTheme="minorHAnsi" w:hAnsiTheme="minorHAnsi" w:cstheme="minorHAnsi"/>
          <w:lang w:bidi="en-GB"/>
        </w:rPr>
        <w:t xml:space="preserve">, forudsat at </w:t>
      </w:r>
      <w:r w:rsidR="00595546" w:rsidRPr="00595546">
        <w:rPr>
          <w:rFonts w:asciiTheme="minorHAnsi" w:hAnsiTheme="minorHAnsi" w:cstheme="minorHAnsi"/>
          <w:lang w:bidi="en-GB"/>
        </w:rPr>
        <w:t>Bestyrelsen</w:t>
      </w:r>
      <w:r w:rsidR="00614342" w:rsidRPr="00595546">
        <w:rPr>
          <w:rFonts w:asciiTheme="minorHAnsi" w:hAnsiTheme="minorHAnsi" w:cstheme="minorHAnsi"/>
          <w:lang w:bidi="en-GB"/>
        </w:rPr>
        <w:t xml:space="preserve"> giver </w:t>
      </w:r>
      <w:r w:rsidR="00DB44D5" w:rsidRPr="00595546">
        <w:rPr>
          <w:rFonts w:asciiTheme="minorHAnsi" w:hAnsiTheme="minorHAnsi" w:cstheme="minorHAnsi"/>
          <w:lang w:bidi="en-GB"/>
        </w:rPr>
        <w:t>Tilbudsgiver</w:t>
      </w:r>
      <w:r w:rsidR="00614342" w:rsidRPr="00595546">
        <w:rPr>
          <w:rFonts w:asciiTheme="minorHAnsi" w:hAnsiTheme="minorHAnsi" w:cstheme="minorHAnsi"/>
          <w:lang w:bidi="en-GB"/>
        </w:rPr>
        <w:t xml:space="preserve"> </w:t>
      </w:r>
      <w:r w:rsidR="00494B07" w:rsidRPr="00595546">
        <w:rPr>
          <w:rFonts w:asciiTheme="minorHAnsi" w:hAnsiTheme="minorHAnsi" w:cstheme="minorHAnsi"/>
          <w:lang w:bidi="en-GB"/>
        </w:rPr>
        <w:t>fem (</w:t>
      </w:r>
      <w:r w:rsidR="00614342" w:rsidRPr="00595546">
        <w:rPr>
          <w:rFonts w:asciiTheme="minorHAnsi" w:hAnsiTheme="minorHAnsi" w:cstheme="minorHAnsi"/>
          <w:lang w:bidi="en-GB"/>
        </w:rPr>
        <w:t>5</w:t>
      </w:r>
      <w:r w:rsidR="00494B07" w:rsidRPr="00595546">
        <w:rPr>
          <w:rFonts w:asciiTheme="minorHAnsi" w:hAnsiTheme="minorHAnsi" w:cstheme="minorHAnsi"/>
          <w:lang w:bidi="en-GB"/>
        </w:rPr>
        <w:t xml:space="preserve">) </w:t>
      </w:r>
      <w:r w:rsidR="00614342" w:rsidRPr="00595546">
        <w:rPr>
          <w:rFonts w:asciiTheme="minorHAnsi" w:hAnsiTheme="minorHAnsi" w:cstheme="minorHAnsi"/>
          <w:lang w:bidi="en-GB"/>
        </w:rPr>
        <w:t xml:space="preserve">hverdage skriftlig </w:t>
      </w:r>
      <w:r w:rsidR="00930171">
        <w:rPr>
          <w:rFonts w:asciiTheme="minorHAnsi" w:hAnsiTheme="minorHAnsi" w:cstheme="minorHAnsi"/>
          <w:lang w:bidi="en-GB"/>
        </w:rPr>
        <w:t>varsel</w:t>
      </w:r>
      <w:r w:rsidR="00614342" w:rsidRPr="00595546">
        <w:rPr>
          <w:rFonts w:asciiTheme="minorHAnsi" w:hAnsiTheme="minorHAnsi" w:cstheme="minorHAnsi"/>
          <w:lang w:bidi="en-GB"/>
        </w:rPr>
        <w:t xml:space="preserve"> om sin hensigt om </w:t>
      </w:r>
      <w:r w:rsidR="00ED1766" w:rsidRPr="00595546">
        <w:rPr>
          <w:rFonts w:asciiTheme="minorHAnsi" w:hAnsiTheme="minorHAnsi" w:cstheme="minorHAnsi"/>
          <w:lang w:bidi="en-GB"/>
        </w:rPr>
        <w:t xml:space="preserve">at trække </w:t>
      </w:r>
      <w:r w:rsidR="002125F2" w:rsidRPr="00595546">
        <w:rPr>
          <w:rFonts w:asciiTheme="minorHAnsi" w:hAnsiTheme="minorHAnsi" w:cstheme="minorHAnsi"/>
          <w:lang w:bidi="en-GB"/>
        </w:rPr>
        <w:t xml:space="preserve">sin anbefaling </w:t>
      </w:r>
      <w:r w:rsidR="00ED1766" w:rsidRPr="00595546">
        <w:rPr>
          <w:rFonts w:asciiTheme="minorHAnsi" w:hAnsiTheme="minorHAnsi" w:cstheme="minorHAnsi"/>
          <w:lang w:bidi="en-GB"/>
        </w:rPr>
        <w:t>tilbage eller ændre den på en måde</w:t>
      </w:r>
      <w:r w:rsidR="00EC568B" w:rsidRPr="00595546">
        <w:rPr>
          <w:rFonts w:asciiTheme="minorHAnsi" w:hAnsiTheme="minorHAnsi" w:cstheme="minorHAnsi"/>
          <w:lang w:bidi="en-GB"/>
        </w:rPr>
        <w:t>,</w:t>
      </w:r>
      <w:r w:rsidR="00ED1766" w:rsidRPr="00595546">
        <w:rPr>
          <w:rFonts w:asciiTheme="minorHAnsi" w:hAnsiTheme="minorHAnsi" w:cstheme="minorHAnsi"/>
          <w:lang w:bidi="en-GB"/>
        </w:rPr>
        <w:t xml:space="preserve"> der er </w:t>
      </w:r>
      <w:r w:rsidR="0009393B">
        <w:rPr>
          <w:rFonts w:asciiTheme="minorHAnsi" w:hAnsiTheme="minorHAnsi" w:cstheme="minorHAnsi"/>
          <w:lang w:bidi="en-GB"/>
        </w:rPr>
        <w:t>ugunstig for</w:t>
      </w:r>
      <w:r w:rsidR="00ED1766" w:rsidRPr="00595546">
        <w:rPr>
          <w:rFonts w:asciiTheme="minorHAnsi" w:hAnsiTheme="minorHAnsi" w:cstheme="minorHAnsi"/>
          <w:lang w:bidi="en-GB"/>
        </w:rPr>
        <w:t xml:space="preserve"> </w:t>
      </w:r>
      <w:r w:rsidR="00DB44D5" w:rsidRPr="00595546">
        <w:rPr>
          <w:rFonts w:asciiTheme="minorHAnsi" w:hAnsiTheme="minorHAnsi" w:cstheme="minorHAnsi"/>
          <w:lang w:bidi="en-GB"/>
        </w:rPr>
        <w:t>Tilbuddet</w:t>
      </w:r>
      <w:r w:rsidR="00EC568B" w:rsidRPr="00595546">
        <w:rPr>
          <w:rFonts w:asciiTheme="minorHAnsi" w:hAnsiTheme="minorHAnsi" w:cstheme="minorHAnsi"/>
          <w:lang w:bidi="en-GB"/>
        </w:rPr>
        <w:t>, herunder forsyne</w:t>
      </w:r>
      <w:r w:rsidR="00C43B88">
        <w:rPr>
          <w:rFonts w:asciiTheme="minorHAnsi" w:hAnsiTheme="minorHAnsi" w:cstheme="minorHAnsi"/>
          <w:lang w:bidi="en-GB"/>
        </w:rPr>
        <w:t>r</w:t>
      </w:r>
      <w:r w:rsidR="00EC568B" w:rsidRPr="00595546">
        <w:rPr>
          <w:rFonts w:asciiTheme="minorHAnsi" w:hAnsiTheme="minorHAnsi" w:cstheme="minorHAnsi"/>
          <w:lang w:bidi="en-GB"/>
        </w:rPr>
        <w:t xml:space="preserve"> </w:t>
      </w:r>
      <w:r w:rsidR="00DB44D5" w:rsidRPr="00595546">
        <w:rPr>
          <w:rFonts w:asciiTheme="minorHAnsi" w:hAnsiTheme="minorHAnsi" w:cstheme="minorHAnsi"/>
          <w:lang w:bidi="en-GB"/>
        </w:rPr>
        <w:t>Tilbudsgiver</w:t>
      </w:r>
      <w:r w:rsidR="00EC568B" w:rsidRPr="00595546">
        <w:rPr>
          <w:rFonts w:asciiTheme="minorHAnsi" w:hAnsiTheme="minorHAnsi" w:cstheme="minorHAnsi"/>
          <w:lang w:bidi="en-GB"/>
        </w:rPr>
        <w:t xml:space="preserve"> med de væsentlige vilkår for et sådant bedre alternativt transaktionsforslag, </w:t>
      </w:r>
      <w:r w:rsidR="00086312">
        <w:rPr>
          <w:rFonts w:asciiTheme="minorHAnsi" w:hAnsiTheme="minorHAnsi" w:cstheme="minorHAnsi"/>
          <w:lang w:bidi="en-GB"/>
        </w:rPr>
        <w:t>betinget af</w:t>
      </w:r>
      <w:r w:rsidR="00E92A14" w:rsidRPr="00595546">
        <w:rPr>
          <w:rFonts w:asciiTheme="minorHAnsi" w:hAnsiTheme="minorHAnsi" w:cstheme="minorHAnsi"/>
          <w:lang w:bidi="en-GB"/>
        </w:rPr>
        <w:t xml:space="preserve"> visse vilkår. </w:t>
      </w:r>
      <w:r w:rsidR="00B144B7" w:rsidRPr="00595546">
        <w:rPr>
          <w:rFonts w:asciiTheme="minorHAnsi" w:hAnsiTheme="minorHAnsi" w:cstheme="minorHAnsi"/>
          <w:lang w:bidi="en-GB"/>
        </w:rPr>
        <w:t xml:space="preserve">For at et transaktionsforslag kan kvalificeres som et bedre alternativt transaktionsforslag, skal </w:t>
      </w:r>
      <w:r w:rsidR="00595546" w:rsidRPr="00595546">
        <w:rPr>
          <w:rFonts w:asciiTheme="minorHAnsi" w:hAnsiTheme="minorHAnsi" w:cstheme="minorHAnsi"/>
          <w:lang w:bidi="en-GB"/>
        </w:rPr>
        <w:t>Bestyrelsen</w:t>
      </w:r>
      <w:r w:rsidR="00B144B7" w:rsidRPr="00595546">
        <w:rPr>
          <w:rFonts w:asciiTheme="minorHAnsi" w:hAnsiTheme="minorHAnsi" w:cstheme="minorHAnsi"/>
          <w:lang w:bidi="en-GB"/>
        </w:rPr>
        <w:t xml:space="preserve"> (handlende rimeligt og i god tro) og efter at have modtaget rådgivning fra sine eksterne juridiske rådgivere og finansielle rådgivere til støtte for en sådan </w:t>
      </w:r>
      <w:r w:rsidR="00C43B88">
        <w:rPr>
          <w:rFonts w:asciiTheme="minorHAnsi" w:hAnsiTheme="minorHAnsi" w:cstheme="minorHAnsi"/>
          <w:lang w:bidi="en-GB"/>
        </w:rPr>
        <w:t xml:space="preserve">vurdering </w:t>
      </w:r>
      <w:r w:rsidR="00B144B7" w:rsidRPr="00595546">
        <w:rPr>
          <w:rFonts w:asciiTheme="minorHAnsi" w:hAnsiTheme="minorHAnsi" w:cstheme="minorHAnsi"/>
          <w:lang w:bidi="en-GB"/>
        </w:rPr>
        <w:t xml:space="preserve">fastslå, at transaktionen (i) er (eller efter </w:t>
      </w:r>
      <w:r w:rsidR="00595546" w:rsidRPr="00595546">
        <w:rPr>
          <w:rFonts w:asciiTheme="minorHAnsi" w:hAnsiTheme="minorHAnsi" w:cstheme="minorHAnsi"/>
          <w:lang w:bidi="en-GB"/>
        </w:rPr>
        <w:t>Bestyrelsen</w:t>
      </w:r>
      <w:r w:rsidR="00B144B7" w:rsidRPr="00595546">
        <w:rPr>
          <w:rFonts w:asciiTheme="minorHAnsi" w:hAnsiTheme="minorHAnsi" w:cstheme="minorHAnsi"/>
          <w:lang w:bidi="en-GB"/>
        </w:rPr>
        <w:t xml:space="preserve">s opfattelse (handlende rimeligt og i god tro) ved offentliggørelsen </w:t>
      </w:r>
      <w:r w:rsidR="00493C2C">
        <w:rPr>
          <w:rFonts w:asciiTheme="minorHAnsi" w:hAnsiTheme="minorHAnsi" w:cstheme="minorHAnsi"/>
          <w:lang w:bidi="en-GB"/>
        </w:rPr>
        <w:t xml:space="preserve">vil </w:t>
      </w:r>
      <w:r w:rsidR="00B144B7" w:rsidRPr="00595546">
        <w:rPr>
          <w:rFonts w:asciiTheme="minorHAnsi" w:hAnsiTheme="minorHAnsi" w:cstheme="minorHAnsi"/>
          <w:lang w:bidi="en-GB"/>
        </w:rPr>
        <w:t xml:space="preserve">være) fuldt finansieret i overensstemmelse med </w:t>
      </w:r>
      <w:r w:rsidR="00EE7736">
        <w:rPr>
          <w:rFonts w:asciiTheme="minorHAnsi" w:hAnsiTheme="minorHAnsi" w:cstheme="minorHAnsi"/>
          <w:lang w:bidi="en-GB"/>
        </w:rPr>
        <w:t>O</w:t>
      </w:r>
      <w:r w:rsidR="00B144B7" w:rsidRPr="00595546">
        <w:rPr>
          <w:rFonts w:asciiTheme="minorHAnsi" w:hAnsiTheme="minorHAnsi" w:cstheme="minorHAnsi"/>
          <w:lang w:bidi="en-GB"/>
        </w:rPr>
        <w:t>vertagelsesbekendtgørelse</w:t>
      </w:r>
      <w:r w:rsidR="00EE7736">
        <w:rPr>
          <w:rFonts w:asciiTheme="minorHAnsi" w:hAnsiTheme="minorHAnsi" w:cstheme="minorHAnsi"/>
          <w:lang w:bidi="en-GB"/>
        </w:rPr>
        <w:t>n</w:t>
      </w:r>
      <w:r w:rsidR="00B144B7" w:rsidRPr="00595546">
        <w:rPr>
          <w:rFonts w:asciiTheme="minorHAnsi" w:hAnsiTheme="minorHAnsi" w:cstheme="minorHAnsi"/>
          <w:lang w:bidi="en-GB"/>
        </w:rPr>
        <w:t xml:space="preserve"> (som relevant); (ii) efter </w:t>
      </w:r>
      <w:r w:rsidR="00595546" w:rsidRPr="00595546">
        <w:rPr>
          <w:rFonts w:asciiTheme="minorHAnsi" w:hAnsiTheme="minorHAnsi" w:cstheme="minorHAnsi"/>
          <w:lang w:bidi="en-GB"/>
        </w:rPr>
        <w:t>Bestyrelsen</w:t>
      </w:r>
      <w:r w:rsidR="00B144B7" w:rsidRPr="00595546">
        <w:rPr>
          <w:rFonts w:asciiTheme="minorHAnsi" w:hAnsiTheme="minorHAnsi" w:cstheme="minorHAnsi"/>
          <w:lang w:bidi="en-GB"/>
        </w:rPr>
        <w:t xml:space="preserve">s opfattelse (handlende rimeligt og i god tro) kan gennemføres i overensstemmelse med dens vilkår under hensyntagen til alle relevante juridiske, finansielle, lovgivningsmæssige, tidsmæssige og andre betingelser forbundet med en sådan transaktion; og (iii) efter </w:t>
      </w:r>
      <w:r w:rsidR="00595546" w:rsidRPr="00595546">
        <w:rPr>
          <w:rFonts w:asciiTheme="minorHAnsi" w:hAnsiTheme="minorHAnsi" w:cstheme="minorHAnsi"/>
          <w:lang w:bidi="en-GB"/>
        </w:rPr>
        <w:t>Bestyrelsen</w:t>
      </w:r>
      <w:r w:rsidR="00B144B7" w:rsidRPr="00595546">
        <w:rPr>
          <w:rFonts w:asciiTheme="minorHAnsi" w:hAnsiTheme="minorHAnsi" w:cstheme="minorHAnsi"/>
          <w:lang w:bidi="en-GB"/>
        </w:rPr>
        <w:t xml:space="preserve">s opfattelse (handlende rimeligt og i god tro) er bedre for </w:t>
      </w:r>
      <w:r w:rsidR="00DB44D5" w:rsidRPr="00595546">
        <w:rPr>
          <w:rFonts w:asciiTheme="minorHAnsi" w:hAnsiTheme="minorHAnsi" w:cstheme="minorHAnsi"/>
          <w:lang w:bidi="en-GB"/>
        </w:rPr>
        <w:t xml:space="preserve">Aktionærerne </w:t>
      </w:r>
      <w:r w:rsidR="00B144B7" w:rsidRPr="00595546">
        <w:rPr>
          <w:rFonts w:asciiTheme="minorHAnsi" w:hAnsiTheme="minorHAnsi" w:cstheme="minorHAnsi"/>
          <w:lang w:bidi="en-GB"/>
        </w:rPr>
        <w:t xml:space="preserve">end </w:t>
      </w:r>
      <w:r w:rsidR="00DB44D5" w:rsidRPr="00595546">
        <w:rPr>
          <w:rFonts w:asciiTheme="minorHAnsi" w:hAnsiTheme="minorHAnsi" w:cstheme="minorHAnsi"/>
          <w:lang w:bidi="en-GB"/>
        </w:rPr>
        <w:t xml:space="preserve">Tilbuddet </w:t>
      </w:r>
      <w:r w:rsidR="00B144B7" w:rsidRPr="00595546">
        <w:rPr>
          <w:rFonts w:asciiTheme="minorHAnsi" w:hAnsiTheme="minorHAnsi" w:cstheme="minorHAnsi"/>
          <w:lang w:bidi="en-GB"/>
        </w:rPr>
        <w:t xml:space="preserve">baseret på en samlet vurdering af alle vilkår under hensyntagen til de finansielle aspekter af </w:t>
      </w:r>
      <w:r w:rsidR="004E3CEB">
        <w:rPr>
          <w:rFonts w:asciiTheme="minorHAnsi" w:hAnsiTheme="minorHAnsi" w:cstheme="minorHAnsi"/>
          <w:lang w:bidi="en-GB"/>
        </w:rPr>
        <w:t>T</w:t>
      </w:r>
      <w:r w:rsidR="00DB44D5" w:rsidRPr="00595546">
        <w:rPr>
          <w:rFonts w:asciiTheme="minorHAnsi" w:hAnsiTheme="minorHAnsi" w:cstheme="minorHAnsi"/>
          <w:lang w:bidi="en-GB"/>
        </w:rPr>
        <w:t>ilbuddet</w:t>
      </w:r>
      <w:r w:rsidR="00B144B7" w:rsidRPr="00595546">
        <w:rPr>
          <w:rFonts w:asciiTheme="minorHAnsi" w:hAnsiTheme="minorHAnsi" w:cstheme="minorHAnsi"/>
          <w:lang w:bidi="en-GB"/>
        </w:rPr>
        <w:t>, herunder hvor transaktionen indeholder et element af ikke-kontant vederlag og alle andre relevante juridiske, finansielle, lovgivningsmæssige, tidsmæssige og andre aspekter af transaktionen.</w:t>
      </w:r>
    </w:p>
    <w:p w14:paraId="62F5991E" w14:textId="77777777" w:rsidR="00614342" w:rsidRPr="00595546" w:rsidRDefault="00614342" w:rsidP="00236474">
      <w:pPr>
        <w:ind w:left="851"/>
        <w:jc w:val="both"/>
        <w:rPr>
          <w:rFonts w:asciiTheme="minorHAnsi" w:hAnsiTheme="minorHAnsi" w:cstheme="minorHAnsi"/>
          <w:lang w:bidi="en-GB"/>
        </w:rPr>
      </w:pPr>
    </w:p>
    <w:p w14:paraId="79B473B5" w14:textId="5B3CDBF2" w:rsidR="00236474" w:rsidRPr="00595546" w:rsidRDefault="00236474" w:rsidP="00236474">
      <w:pPr>
        <w:ind w:left="851"/>
        <w:jc w:val="both"/>
        <w:rPr>
          <w:rFonts w:asciiTheme="minorHAnsi" w:hAnsiTheme="minorHAnsi" w:cstheme="minorHAnsi"/>
          <w:lang w:bidi="en-GB"/>
        </w:rPr>
      </w:pPr>
      <w:r w:rsidRPr="00595546">
        <w:rPr>
          <w:rFonts w:asciiTheme="minorHAnsi" w:hAnsiTheme="minorHAnsi" w:cstheme="minorHAnsi"/>
          <w:lang w:bidi="en-GB"/>
        </w:rPr>
        <w:t xml:space="preserve">I tilfælde af at </w:t>
      </w:r>
      <w:r w:rsidR="00DB44D5" w:rsidRPr="00595546">
        <w:rPr>
          <w:rFonts w:asciiTheme="minorHAnsi" w:hAnsiTheme="minorHAnsi" w:cstheme="minorHAnsi"/>
          <w:lang w:bidi="en-GB"/>
        </w:rPr>
        <w:t>Tilbudsgiver</w:t>
      </w:r>
      <w:r w:rsidRPr="00595546">
        <w:rPr>
          <w:rFonts w:asciiTheme="minorHAnsi" w:hAnsiTheme="minorHAnsi" w:cstheme="minorHAnsi"/>
          <w:lang w:bidi="en-GB"/>
        </w:rPr>
        <w:t xml:space="preserve"> (efter eget skøn) beslutter at matche eller overgå de mere gunstige vilkår i et </w:t>
      </w:r>
      <w:r w:rsidR="000460E9">
        <w:rPr>
          <w:rFonts w:asciiTheme="minorHAnsi" w:hAnsiTheme="minorHAnsi" w:cstheme="minorHAnsi"/>
          <w:lang w:bidi="en-GB"/>
        </w:rPr>
        <w:t>bedre</w:t>
      </w:r>
      <w:r w:rsidRPr="00595546">
        <w:rPr>
          <w:rFonts w:asciiTheme="minorHAnsi" w:hAnsiTheme="minorHAnsi" w:cstheme="minorHAnsi"/>
          <w:lang w:bidi="en-GB"/>
        </w:rPr>
        <w:t xml:space="preserve"> alternativt transaktionsforslag inden </w:t>
      </w:r>
      <w:r w:rsidR="00172DA4">
        <w:rPr>
          <w:rFonts w:asciiTheme="minorHAnsi" w:hAnsiTheme="minorHAnsi" w:cstheme="minorHAnsi"/>
          <w:lang w:bidi="en-GB"/>
        </w:rPr>
        <w:t xml:space="preserve">ti (10) hverdage </w:t>
      </w:r>
      <w:r w:rsidR="00C711FF">
        <w:rPr>
          <w:rFonts w:asciiTheme="minorHAnsi" w:hAnsiTheme="minorHAnsi" w:cstheme="minorHAnsi"/>
          <w:lang w:bidi="en-GB"/>
        </w:rPr>
        <w:t>efter Selskabets meddelelse efter det foregående afsnit</w:t>
      </w:r>
      <w:r w:rsidRPr="00595546">
        <w:rPr>
          <w:rFonts w:asciiTheme="minorHAnsi" w:hAnsiTheme="minorHAnsi" w:cstheme="minorHAnsi"/>
          <w:lang w:bidi="en-GB"/>
        </w:rPr>
        <w:t xml:space="preserve">, </w:t>
      </w:r>
      <w:r w:rsidR="00082130" w:rsidRPr="00595546">
        <w:rPr>
          <w:rFonts w:asciiTheme="minorHAnsi" w:hAnsiTheme="minorHAnsi" w:cstheme="minorHAnsi"/>
          <w:lang w:bidi="en-GB"/>
        </w:rPr>
        <w:t>har</w:t>
      </w:r>
      <w:r w:rsidR="006C0B88" w:rsidRPr="00595546">
        <w:rPr>
          <w:rFonts w:asciiTheme="minorHAnsi" w:hAnsiTheme="minorHAnsi" w:cstheme="minorHAnsi"/>
          <w:lang w:bidi="en-GB"/>
        </w:rPr>
        <w:t xml:space="preserve"> </w:t>
      </w:r>
      <w:r w:rsidR="00595546" w:rsidRPr="00595546">
        <w:rPr>
          <w:rFonts w:asciiTheme="minorHAnsi" w:hAnsiTheme="minorHAnsi" w:cstheme="minorHAnsi"/>
          <w:lang w:bidi="en-GB"/>
        </w:rPr>
        <w:t>Bestyrelsen</w:t>
      </w:r>
      <w:r w:rsidR="006C0B88" w:rsidRPr="00595546">
        <w:rPr>
          <w:rFonts w:asciiTheme="minorHAnsi" w:hAnsiTheme="minorHAnsi" w:cstheme="minorHAnsi"/>
          <w:lang w:bidi="en-GB"/>
        </w:rPr>
        <w:t xml:space="preserve"> </w:t>
      </w:r>
      <w:r w:rsidR="00082130" w:rsidRPr="00595546">
        <w:rPr>
          <w:rFonts w:asciiTheme="minorHAnsi" w:hAnsiTheme="minorHAnsi" w:cstheme="minorHAnsi"/>
          <w:lang w:bidi="en-GB"/>
        </w:rPr>
        <w:t xml:space="preserve">forpligtet sig til </w:t>
      </w:r>
      <w:r w:rsidR="00925F68">
        <w:rPr>
          <w:rFonts w:asciiTheme="minorHAnsi" w:hAnsiTheme="minorHAnsi" w:cstheme="minorHAnsi"/>
          <w:lang w:bidi="en-GB"/>
        </w:rPr>
        <w:t>alene</w:t>
      </w:r>
      <w:r w:rsidRPr="00595546">
        <w:rPr>
          <w:rFonts w:asciiTheme="minorHAnsi" w:hAnsiTheme="minorHAnsi" w:cstheme="minorHAnsi"/>
          <w:lang w:bidi="en-GB"/>
        </w:rPr>
        <w:t xml:space="preserve"> at anbefale et sådant matchende eller forbedret tilbud fra </w:t>
      </w:r>
      <w:r w:rsidR="00DB44D5" w:rsidRPr="00595546">
        <w:rPr>
          <w:rFonts w:asciiTheme="minorHAnsi" w:hAnsiTheme="minorHAnsi" w:cstheme="minorHAnsi"/>
          <w:lang w:bidi="en-GB"/>
        </w:rPr>
        <w:t>Tilbudsgiver</w:t>
      </w:r>
      <w:r w:rsidRPr="00595546">
        <w:rPr>
          <w:rFonts w:asciiTheme="minorHAnsi" w:hAnsiTheme="minorHAnsi" w:cstheme="minorHAnsi"/>
          <w:lang w:bidi="en-GB"/>
        </w:rPr>
        <w:t xml:space="preserve">, forudsat at det matchende eller forbedrede tilbud fra </w:t>
      </w:r>
      <w:r w:rsidR="00DB44D5" w:rsidRPr="00595546">
        <w:rPr>
          <w:rFonts w:asciiTheme="minorHAnsi" w:hAnsiTheme="minorHAnsi" w:cstheme="minorHAnsi"/>
          <w:lang w:bidi="en-GB"/>
        </w:rPr>
        <w:t>Tilbudsgiver</w:t>
      </w:r>
      <w:r w:rsidRPr="00595546">
        <w:rPr>
          <w:rFonts w:asciiTheme="minorHAnsi" w:hAnsiTheme="minorHAnsi" w:cstheme="minorHAnsi"/>
          <w:lang w:bidi="en-GB"/>
        </w:rPr>
        <w:t xml:space="preserve"> </w:t>
      </w:r>
      <w:r w:rsidR="00844FF4">
        <w:rPr>
          <w:rFonts w:asciiTheme="minorHAnsi" w:hAnsiTheme="minorHAnsi" w:cstheme="minorHAnsi"/>
          <w:lang w:bidi="en-GB"/>
        </w:rPr>
        <w:t xml:space="preserve">efter </w:t>
      </w:r>
      <w:r w:rsidR="00595546" w:rsidRPr="00595546">
        <w:rPr>
          <w:rFonts w:asciiTheme="minorHAnsi" w:hAnsiTheme="minorHAnsi" w:cstheme="minorHAnsi"/>
          <w:lang w:bidi="en-GB"/>
        </w:rPr>
        <w:t>Bestyrelsen</w:t>
      </w:r>
      <w:r w:rsidR="00844FF4">
        <w:rPr>
          <w:rFonts w:asciiTheme="minorHAnsi" w:hAnsiTheme="minorHAnsi" w:cstheme="minorHAnsi"/>
          <w:lang w:bidi="en-GB"/>
        </w:rPr>
        <w:t>s vurdering,</w:t>
      </w:r>
      <w:r w:rsidRPr="00595546">
        <w:rPr>
          <w:rFonts w:asciiTheme="minorHAnsi" w:hAnsiTheme="minorHAnsi" w:cstheme="minorHAnsi"/>
          <w:lang w:bidi="en-GB"/>
        </w:rPr>
        <w:t xml:space="preserve"> efter at have modtaget rådgivning fra sine eksterne juridiske rådgivere og finansielle rådgivere, er </w:t>
      </w:r>
      <w:r w:rsidR="001D4C32">
        <w:rPr>
          <w:rFonts w:asciiTheme="minorHAnsi" w:hAnsiTheme="minorHAnsi" w:cstheme="minorHAnsi"/>
          <w:lang w:bidi="en-GB"/>
        </w:rPr>
        <w:t>bedre</w:t>
      </w:r>
      <w:r w:rsidR="001D4C32" w:rsidRPr="00595546">
        <w:rPr>
          <w:rFonts w:asciiTheme="minorHAnsi" w:hAnsiTheme="minorHAnsi" w:cstheme="minorHAnsi"/>
          <w:lang w:bidi="en-GB"/>
        </w:rPr>
        <w:t xml:space="preserve"> </w:t>
      </w:r>
      <w:r w:rsidRPr="00595546">
        <w:rPr>
          <w:rFonts w:asciiTheme="minorHAnsi" w:hAnsiTheme="minorHAnsi" w:cstheme="minorHAnsi"/>
          <w:lang w:bidi="en-GB"/>
        </w:rPr>
        <w:t xml:space="preserve">for </w:t>
      </w:r>
      <w:r w:rsidR="00DB44D5" w:rsidRPr="00595546">
        <w:rPr>
          <w:rFonts w:asciiTheme="minorHAnsi" w:hAnsiTheme="minorHAnsi" w:cstheme="minorHAnsi"/>
          <w:lang w:bidi="en-GB"/>
        </w:rPr>
        <w:t xml:space="preserve">Aktionærerne </w:t>
      </w:r>
      <w:r w:rsidRPr="00595546">
        <w:rPr>
          <w:rFonts w:asciiTheme="minorHAnsi" w:hAnsiTheme="minorHAnsi" w:cstheme="minorHAnsi"/>
          <w:lang w:bidi="en-GB"/>
        </w:rPr>
        <w:t xml:space="preserve">på </w:t>
      </w:r>
      <w:r w:rsidR="00CE6FB3">
        <w:rPr>
          <w:rFonts w:asciiTheme="minorHAnsi" w:hAnsiTheme="minorHAnsi" w:cstheme="minorHAnsi"/>
          <w:lang w:bidi="en-GB"/>
        </w:rPr>
        <w:t>baggrund</w:t>
      </w:r>
      <w:r w:rsidRPr="00595546">
        <w:rPr>
          <w:rFonts w:asciiTheme="minorHAnsi" w:hAnsiTheme="minorHAnsi" w:cstheme="minorHAnsi"/>
          <w:lang w:bidi="en-GB"/>
        </w:rPr>
        <w:t xml:space="preserve"> af en samlet vurdering af alle vilkår under hensyntagen til alle relevante juridiske, finansielle og regulatoriske aspekter.</w:t>
      </w:r>
    </w:p>
    <w:p w14:paraId="0E02BDA7" w14:textId="77777777" w:rsidR="00BF71DB" w:rsidRPr="00595546" w:rsidRDefault="00BF71DB" w:rsidP="00A05058">
      <w:pPr>
        <w:ind w:left="851"/>
        <w:jc w:val="both"/>
        <w:rPr>
          <w:rFonts w:asciiTheme="minorHAnsi" w:hAnsiTheme="minorHAnsi" w:cstheme="minorHAnsi"/>
          <w:lang w:bidi="en-GB"/>
        </w:rPr>
      </w:pPr>
    </w:p>
    <w:p w14:paraId="571445A6" w14:textId="4060C4C3" w:rsidR="008D7332" w:rsidRPr="00595546" w:rsidRDefault="00E201EA" w:rsidP="00363C76">
      <w:pPr>
        <w:pStyle w:val="BrdtekstMedIndryk"/>
        <w:jc w:val="both"/>
        <w:rPr>
          <w:rFonts w:asciiTheme="minorHAnsi" w:hAnsiTheme="minorHAnsi" w:cstheme="minorHAnsi"/>
          <w:lang w:bidi="en-GB"/>
        </w:rPr>
      </w:pPr>
      <w:r w:rsidRPr="00595546">
        <w:rPr>
          <w:rFonts w:asciiTheme="minorHAnsi" w:eastAsiaTheme="minorHAnsi" w:hAnsiTheme="minorHAnsi" w:cstheme="minorHAnsi"/>
          <w:sz w:val="18"/>
          <w:lang w:eastAsia="en-US" w:bidi="en-GB"/>
        </w:rPr>
        <w:t xml:space="preserve">Som det er sædvanligt </w:t>
      </w:r>
      <w:r w:rsidR="00E33E47" w:rsidRPr="00595546">
        <w:rPr>
          <w:rFonts w:asciiTheme="minorHAnsi" w:eastAsiaTheme="minorHAnsi" w:hAnsiTheme="minorHAnsi" w:cstheme="minorHAnsi"/>
          <w:sz w:val="18"/>
          <w:lang w:eastAsia="en-US" w:bidi="en-GB"/>
        </w:rPr>
        <w:t>i forbindelse med</w:t>
      </w:r>
      <w:r w:rsidR="00C04422">
        <w:rPr>
          <w:rFonts w:asciiTheme="minorHAnsi" w:eastAsiaTheme="minorHAnsi" w:hAnsiTheme="minorHAnsi" w:cstheme="minorHAnsi"/>
          <w:sz w:val="18"/>
          <w:lang w:eastAsia="en-US" w:bidi="en-GB"/>
        </w:rPr>
        <w:t xml:space="preserve"> et</w:t>
      </w:r>
      <w:r w:rsidR="00E33E47" w:rsidRPr="00595546">
        <w:rPr>
          <w:rFonts w:asciiTheme="minorHAnsi" w:eastAsiaTheme="minorHAnsi" w:hAnsiTheme="minorHAnsi" w:cstheme="minorHAnsi"/>
          <w:sz w:val="18"/>
          <w:lang w:eastAsia="en-US" w:bidi="en-GB"/>
        </w:rPr>
        <w:t xml:space="preserve"> anbefale</w:t>
      </w:r>
      <w:r w:rsidR="00836143">
        <w:rPr>
          <w:rFonts w:asciiTheme="minorHAnsi" w:eastAsiaTheme="minorHAnsi" w:hAnsiTheme="minorHAnsi" w:cstheme="minorHAnsi"/>
          <w:sz w:val="18"/>
          <w:lang w:eastAsia="en-US" w:bidi="en-GB"/>
        </w:rPr>
        <w:t>t</w:t>
      </w:r>
      <w:r w:rsidR="00E33E47" w:rsidRPr="00595546">
        <w:rPr>
          <w:rFonts w:asciiTheme="minorHAnsi" w:eastAsiaTheme="minorHAnsi" w:hAnsiTheme="minorHAnsi" w:cstheme="minorHAnsi"/>
          <w:sz w:val="18"/>
          <w:lang w:eastAsia="en-US" w:bidi="en-GB"/>
        </w:rPr>
        <w:t xml:space="preserve"> offentlige overtagelsestilbud</w:t>
      </w:r>
      <w:r w:rsidRPr="00595546">
        <w:rPr>
          <w:rFonts w:asciiTheme="minorHAnsi" w:eastAsiaTheme="minorHAnsi" w:hAnsiTheme="minorHAnsi" w:cstheme="minorHAnsi"/>
          <w:sz w:val="18"/>
          <w:lang w:eastAsia="en-US" w:bidi="en-GB"/>
        </w:rPr>
        <w:t xml:space="preserve">, har Selskabet i </w:t>
      </w:r>
      <w:r w:rsidR="00DB44D5" w:rsidRPr="00595546">
        <w:rPr>
          <w:rFonts w:asciiTheme="minorHAnsi" w:eastAsiaTheme="minorHAnsi" w:hAnsiTheme="minorHAnsi" w:cstheme="minorHAnsi"/>
          <w:sz w:val="18"/>
          <w:lang w:eastAsia="en-US" w:bidi="en-GB"/>
        </w:rPr>
        <w:t>Offentliggørelsesaftalen</w:t>
      </w:r>
      <w:r w:rsidRPr="00595546">
        <w:rPr>
          <w:rFonts w:asciiTheme="minorHAnsi" w:eastAsiaTheme="minorHAnsi" w:hAnsiTheme="minorHAnsi" w:cstheme="minorHAnsi"/>
          <w:sz w:val="18"/>
          <w:lang w:eastAsia="en-US" w:bidi="en-GB"/>
        </w:rPr>
        <w:t xml:space="preserve"> forpligtet sig til ikke, og til at sikre, at dets datterselskaber samt Selskabets og dets </w:t>
      </w:r>
      <w:r w:rsidR="00834BC2" w:rsidRPr="00595546">
        <w:rPr>
          <w:rFonts w:asciiTheme="minorHAnsi" w:eastAsiaTheme="minorHAnsi" w:hAnsiTheme="minorHAnsi" w:cstheme="minorHAnsi"/>
          <w:sz w:val="18"/>
          <w:lang w:eastAsia="en-US" w:bidi="en-GB"/>
        </w:rPr>
        <w:t>datterselskabers</w:t>
      </w:r>
      <w:r w:rsidRPr="00595546">
        <w:rPr>
          <w:rFonts w:asciiTheme="minorHAnsi" w:eastAsiaTheme="minorHAnsi" w:hAnsiTheme="minorHAnsi" w:cstheme="minorHAnsi"/>
          <w:sz w:val="18"/>
          <w:lang w:eastAsia="en-US" w:bidi="en-GB"/>
        </w:rPr>
        <w:t xml:space="preserve"> </w:t>
      </w:r>
      <w:r w:rsidRPr="00595546">
        <w:rPr>
          <w:rFonts w:asciiTheme="minorHAnsi" w:eastAsiaTheme="minorHAnsi" w:hAnsiTheme="minorHAnsi" w:cstheme="minorHAnsi"/>
          <w:sz w:val="18"/>
          <w:lang w:eastAsia="en-US" w:bidi="en-GB"/>
        </w:rPr>
        <w:lastRenderedPageBreak/>
        <w:t xml:space="preserve">repræsentanter ikke, direkte eller indirekte, indleder, anmoder om, deltager i, fortsætter eller bevidst tilskynder til henvendelser fra, drøftelser eller forhandlinger med, leverer oplysninger til eller indgår aftaler eller arrangementer med andre personer end </w:t>
      </w:r>
      <w:r w:rsidR="00DB44D5" w:rsidRPr="00595546">
        <w:rPr>
          <w:rFonts w:asciiTheme="minorHAnsi" w:eastAsiaTheme="minorHAnsi" w:hAnsiTheme="minorHAnsi" w:cstheme="minorHAnsi"/>
          <w:sz w:val="18"/>
          <w:lang w:eastAsia="en-US" w:bidi="en-GB"/>
        </w:rPr>
        <w:t>Tilbudsgiver</w:t>
      </w:r>
      <w:r w:rsidRPr="00595546">
        <w:rPr>
          <w:rFonts w:asciiTheme="minorHAnsi" w:eastAsiaTheme="minorHAnsi" w:hAnsiTheme="minorHAnsi" w:cstheme="minorHAnsi"/>
          <w:sz w:val="18"/>
          <w:lang w:eastAsia="en-US" w:bidi="en-GB"/>
        </w:rPr>
        <w:t xml:space="preserve"> (og/eller dennes repræsentanter) vedrørende alternative transaktioner. </w:t>
      </w:r>
      <w:r w:rsidR="008D7332" w:rsidRPr="00595546">
        <w:rPr>
          <w:rFonts w:asciiTheme="minorHAnsi" w:eastAsiaTheme="minorHAnsi" w:hAnsiTheme="minorHAnsi" w:cstheme="minorHAnsi"/>
          <w:sz w:val="18"/>
          <w:lang w:eastAsia="en-US" w:bidi="en-GB"/>
        </w:rPr>
        <w:t xml:space="preserve">Selskabets forpligtelser </w:t>
      </w:r>
      <w:r w:rsidR="00363C76" w:rsidRPr="00595546">
        <w:rPr>
          <w:rFonts w:asciiTheme="minorHAnsi" w:eastAsiaTheme="minorHAnsi" w:hAnsiTheme="minorHAnsi" w:cstheme="minorHAnsi"/>
          <w:sz w:val="18"/>
          <w:lang w:eastAsia="en-US" w:bidi="en-GB"/>
        </w:rPr>
        <w:t xml:space="preserve">i denne henseende </w:t>
      </w:r>
      <w:r w:rsidR="007E336C" w:rsidRPr="00595546">
        <w:rPr>
          <w:rFonts w:asciiTheme="minorHAnsi" w:eastAsiaTheme="minorHAnsi" w:hAnsiTheme="minorHAnsi" w:cstheme="minorHAnsi"/>
          <w:sz w:val="18"/>
          <w:lang w:eastAsia="en-US" w:bidi="en-GB"/>
        </w:rPr>
        <w:t xml:space="preserve">er </w:t>
      </w:r>
      <w:r w:rsidR="003560F5" w:rsidRPr="00595546">
        <w:rPr>
          <w:rFonts w:asciiTheme="minorHAnsi" w:eastAsiaTheme="minorHAnsi" w:hAnsiTheme="minorHAnsi" w:cstheme="minorHAnsi"/>
          <w:sz w:val="18"/>
          <w:lang w:eastAsia="en-US" w:bidi="en-GB"/>
        </w:rPr>
        <w:t xml:space="preserve">dog </w:t>
      </w:r>
      <w:r w:rsidR="007E336C" w:rsidRPr="00595546">
        <w:rPr>
          <w:rFonts w:asciiTheme="minorHAnsi" w:eastAsiaTheme="minorHAnsi" w:hAnsiTheme="minorHAnsi" w:cstheme="minorHAnsi"/>
          <w:sz w:val="18"/>
          <w:lang w:eastAsia="en-US" w:bidi="en-GB"/>
        </w:rPr>
        <w:t xml:space="preserve">underlagt </w:t>
      </w:r>
      <w:r w:rsidR="00595546" w:rsidRPr="00595546">
        <w:rPr>
          <w:rFonts w:asciiTheme="minorHAnsi" w:eastAsiaTheme="minorHAnsi" w:hAnsiTheme="minorHAnsi" w:cstheme="minorHAnsi"/>
          <w:sz w:val="18"/>
          <w:lang w:eastAsia="en-US" w:bidi="en-GB"/>
        </w:rPr>
        <w:t>Bestyrelsen</w:t>
      </w:r>
      <w:r w:rsidR="00363C76" w:rsidRPr="00595546">
        <w:rPr>
          <w:rFonts w:asciiTheme="minorHAnsi" w:eastAsiaTheme="minorHAnsi" w:hAnsiTheme="minorHAnsi" w:cstheme="minorHAnsi"/>
          <w:sz w:val="18"/>
          <w:lang w:eastAsia="en-US" w:bidi="en-GB"/>
        </w:rPr>
        <w:t xml:space="preserve">s </w:t>
      </w:r>
      <w:r w:rsidR="00B24B36">
        <w:rPr>
          <w:rFonts w:asciiTheme="minorHAnsi" w:eastAsiaTheme="minorHAnsi" w:hAnsiTheme="minorHAnsi" w:cstheme="minorHAnsi"/>
          <w:sz w:val="18"/>
          <w:lang w:eastAsia="en-US" w:bidi="en-GB"/>
        </w:rPr>
        <w:t xml:space="preserve">ledelsesmæssige </w:t>
      </w:r>
      <w:r w:rsidR="00B24B36" w:rsidRPr="00595546">
        <w:rPr>
          <w:rFonts w:asciiTheme="minorHAnsi" w:eastAsiaTheme="minorHAnsi" w:hAnsiTheme="minorHAnsi" w:cstheme="minorHAnsi"/>
          <w:sz w:val="18"/>
          <w:lang w:eastAsia="en-US" w:bidi="en-GB"/>
        </w:rPr>
        <w:t xml:space="preserve">forpligtelser </w:t>
      </w:r>
      <w:r w:rsidR="00363C76" w:rsidRPr="00595546">
        <w:rPr>
          <w:rFonts w:asciiTheme="minorHAnsi" w:eastAsiaTheme="minorHAnsi" w:hAnsiTheme="minorHAnsi" w:cstheme="minorHAnsi"/>
          <w:sz w:val="18"/>
          <w:lang w:eastAsia="en-US" w:bidi="en-GB"/>
        </w:rPr>
        <w:t xml:space="preserve">og dens forpligtelser i henhold til gældende lovgivning og forhindrer ikke </w:t>
      </w:r>
      <w:r w:rsidR="00DB44D5" w:rsidRPr="00595546">
        <w:rPr>
          <w:rFonts w:asciiTheme="minorHAnsi" w:eastAsiaTheme="minorHAnsi" w:hAnsiTheme="minorHAnsi" w:cstheme="minorHAnsi"/>
          <w:sz w:val="18"/>
          <w:lang w:eastAsia="en-US" w:bidi="en-GB"/>
        </w:rPr>
        <w:t xml:space="preserve">Selskabet </w:t>
      </w:r>
      <w:r w:rsidR="00363C76" w:rsidRPr="00595546">
        <w:rPr>
          <w:rFonts w:asciiTheme="minorHAnsi" w:eastAsiaTheme="minorHAnsi" w:hAnsiTheme="minorHAnsi" w:cstheme="minorHAnsi"/>
          <w:sz w:val="18"/>
          <w:lang w:eastAsia="en-US" w:bidi="en-GB"/>
        </w:rPr>
        <w:t>i at give oplysninger og indgå i drøftelser vedrørende uopfordrede henvendelser om et potentielt bedre alternativt transaktionsforsla</w:t>
      </w:r>
      <w:r w:rsidR="00CE6FB3">
        <w:rPr>
          <w:rFonts w:asciiTheme="minorHAnsi" w:eastAsiaTheme="minorHAnsi" w:hAnsiTheme="minorHAnsi" w:cstheme="minorHAnsi"/>
          <w:sz w:val="18"/>
          <w:lang w:eastAsia="en-US" w:bidi="en-GB"/>
        </w:rPr>
        <w:t>g</w:t>
      </w:r>
      <w:r w:rsidR="00363C76" w:rsidRPr="00595546">
        <w:rPr>
          <w:rFonts w:asciiTheme="minorHAnsi" w:eastAsiaTheme="minorHAnsi" w:hAnsiTheme="minorHAnsi" w:cstheme="minorHAnsi"/>
          <w:sz w:val="18"/>
          <w:lang w:eastAsia="en-US" w:bidi="en-GB"/>
        </w:rPr>
        <w:t>.</w:t>
      </w:r>
    </w:p>
    <w:p w14:paraId="76ECCAA6" w14:textId="7078D680" w:rsidR="00FD471E" w:rsidRPr="00595546" w:rsidRDefault="00DB44D5" w:rsidP="00827461">
      <w:pPr>
        <w:ind w:left="851"/>
        <w:jc w:val="both"/>
        <w:rPr>
          <w:rFonts w:asciiTheme="minorHAnsi" w:hAnsiTheme="minorHAnsi" w:cstheme="minorHAnsi"/>
          <w:highlight w:val="yellow"/>
          <w:lang w:bidi="en-GB"/>
        </w:rPr>
      </w:pPr>
      <w:r w:rsidRPr="00595546">
        <w:rPr>
          <w:rFonts w:asciiTheme="minorHAnsi" w:hAnsiTheme="minorHAnsi" w:cstheme="minorHAnsi"/>
          <w:lang w:bidi="en-GB"/>
        </w:rPr>
        <w:t>Offentliggørelsesaftalen</w:t>
      </w:r>
      <w:r w:rsidR="00624173" w:rsidRPr="00595546">
        <w:rPr>
          <w:rFonts w:asciiTheme="minorHAnsi" w:hAnsiTheme="minorHAnsi" w:cstheme="minorHAnsi"/>
          <w:lang w:bidi="en-GB"/>
        </w:rPr>
        <w:t xml:space="preserve"> indeholder visse forpligtelser </w:t>
      </w:r>
      <w:r w:rsidR="00B54D00" w:rsidRPr="00595546">
        <w:rPr>
          <w:rFonts w:asciiTheme="minorHAnsi" w:hAnsiTheme="minorHAnsi" w:cstheme="minorHAnsi"/>
          <w:lang w:bidi="en-GB"/>
        </w:rPr>
        <w:t>f</w:t>
      </w:r>
      <w:r w:rsidR="00B54D00">
        <w:rPr>
          <w:rFonts w:asciiTheme="minorHAnsi" w:hAnsiTheme="minorHAnsi" w:cstheme="minorHAnsi"/>
          <w:lang w:bidi="en-GB"/>
        </w:rPr>
        <w:t>or</w:t>
      </w:r>
      <w:r w:rsidR="00B54D00" w:rsidRPr="00595546">
        <w:rPr>
          <w:rFonts w:asciiTheme="minorHAnsi" w:hAnsiTheme="minorHAnsi" w:cstheme="minorHAnsi"/>
          <w:lang w:bidi="en-GB"/>
        </w:rPr>
        <w:t xml:space="preserve"> </w:t>
      </w:r>
      <w:r w:rsidR="00827461" w:rsidRPr="00595546">
        <w:rPr>
          <w:rFonts w:asciiTheme="minorHAnsi" w:hAnsiTheme="minorHAnsi" w:cstheme="minorHAnsi"/>
          <w:lang w:bidi="en-GB"/>
        </w:rPr>
        <w:t xml:space="preserve">både Selskabet og </w:t>
      </w:r>
      <w:r w:rsidRPr="00595546">
        <w:rPr>
          <w:rFonts w:asciiTheme="minorHAnsi" w:hAnsiTheme="minorHAnsi" w:cstheme="minorHAnsi"/>
          <w:lang w:bidi="en-GB"/>
        </w:rPr>
        <w:t>Tilbudsgiver</w:t>
      </w:r>
      <w:r w:rsidR="00827461" w:rsidRPr="00595546">
        <w:rPr>
          <w:rFonts w:asciiTheme="minorHAnsi" w:hAnsiTheme="minorHAnsi" w:cstheme="minorHAnsi"/>
          <w:lang w:bidi="en-GB"/>
        </w:rPr>
        <w:t xml:space="preserve"> </w:t>
      </w:r>
      <w:r w:rsidR="00B54D00">
        <w:rPr>
          <w:rFonts w:asciiTheme="minorHAnsi" w:hAnsiTheme="minorHAnsi" w:cstheme="minorHAnsi"/>
          <w:lang w:bidi="en-GB"/>
        </w:rPr>
        <w:t>til</w:t>
      </w:r>
      <w:r w:rsidR="00B54D00" w:rsidRPr="00595546">
        <w:rPr>
          <w:rFonts w:asciiTheme="minorHAnsi" w:hAnsiTheme="minorHAnsi" w:cstheme="minorHAnsi"/>
          <w:lang w:bidi="en-GB"/>
        </w:rPr>
        <w:t xml:space="preserve"> </w:t>
      </w:r>
      <w:r w:rsidR="00624173" w:rsidRPr="00595546">
        <w:rPr>
          <w:rFonts w:asciiTheme="minorHAnsi" w:hAnsiTheme="minorHAnsi" w:cstheme="minorHAnsi"/>
          <w:lang w:bidi="en-GB"/>
        </w:rPr>
        <w:t xml:space="preserve">at sikre, at Betingelserne opfyldes. </w:t>
      </w:r>
      <w:r w:rsidR="00E201EA" w:rsidRPr="00595546">
        <w:rPr>
          <w:rFonts w:asciiTheme="minorHAnsi" w:hAnsiTheme="minorHAnsi" w:cstheme="minorHAnsi"/>
          <w:lang w:bidi="en-GB"/>
        </w:rPr>
        <w:t xml:space="preserve">I </w:t>
      </w:r>
      <w:r w:rsidRPr="00595546">
        <w:rPr>
          <w:rFonts w:asciiTheme="minorHAnsi" w:hAnsiTheme="minorHAnsi" w:cstheme="minorHAnsi"/>
          <w:lang w:bidi="en-GB"/>
        </w:rPr>
        <w:t>Offentliggørelsesaftalen</w:t>
      </w:r>
      <w:r w:rsidR="00E201EA" w:rsidRPr="00595546">
        <w:rPr>
          <w:rFonts w:asciiTheme="minorHAnsi" w:hAnsiTheme="minorHAnsi" w:cstheme="minorHAnsi"/>
          <w:lang w:bidi="en-GB"/>
        </w:rPr>
        <w:t xml:space="preserve"> har </w:t>
      </w:r>
      <w:r w:rsidRPr="00595546">
        <w:rPr>
          <w:rFonts w:asciiTheme="minorHAnsi" w:hAnsiTheme="minorHAnsi" w:cstheme="minorHAnsi"/>
          <w:lang w:bidi="en-GB"/>
        </w:rPr>
        <w:t>Tilbudsgiver</w:t>
      </w:r>
      <w:r w:rsidR="00E201EA" w:rsidRPr="00595546">
        <w:rPr>
          <w:rFonts w:asciiTheme="minorHAnsi" w:hAnsiTheme="minorHAnsi" w:cstheme="minorHAnsi"/>
          <w:lang w:bidi="en-GB"/>
        </w:rPr>
        <w:t xml:space="preserve">, med forbehold for vilkårene i </w:t>
      </w:r>
      <w:r w:rsidRPr="00595546">
        <w:rPr>
          <w:rFonts w:asciiTheme="minorHAnsi" w:hAnsiTheme="minorHAnsi" w:cstheme="minorHAnsi"/>
          <w:lang w:bidi="en-GB"/>
        </w:rPr>
        <w:t>Offentliggørelsesaftalen</w:t>
      </w:r>
      <w:r w:rsidR="00E201EA" w:rsidRPr="00595546">
        <w:rPr>
          <w:rFonts w:asciiTheme="minorHAnsi" w:hAnsiTheme="minorHAnsi" w:cstheme="minorHAnsi"/>
          <w:lang w:bidi="en-GB"/>
        </w:rPr>
        <w:t xml:space="preserve">, </w:t>
      </w:r>
      <w:r w:rsidR="00C2190C">
        <w:rPr>
          <w:rFonts w:asciiTheme="minorHAnsi" w:hAnsiTheme="minorHAnsi" w:cstheme="minorHAnsi"/>
          <w:lang w:bidi="en-GB"/>
        </w:rPr>
        <w:t>påtaget sig</w:t>
      </w:r>
      <w:r w:rsidR="00E201EA" w:rsidRPr="00595546">
        <w:rPr>
          <w:rFonts w:asciiTheme="minorHAnsi" w:hAnsiTheme="minorHAnsi" w:cstheme="minorHAnsi"/>
          <w:lang w:bidi="en-GB"/>
        </w:rPr>
        <w:t xml:space="preserve"> visse forpligtelser og tilsagn over for Selskabet med det formål at sikre, at de </w:t>
      </w:r>
      <w:r w:rsidR="00DB391D" w:rsidRPr="00595546">
        <w:rPr>
          <w:rFonts w:asciiTheme="minorHAnsi" w:hAnsiTheme="minorHAnsi" w:cstheme="minorHAnsi"/>
          <w:lang w:bidi="en-GB"/>
        </w:rPr>
        <w:t>Regulatoriske Betingelser opfyldes</w:t>
      </w:r>
      <w:r w:rsidR="00E201EA" w:rsidRPr="00595546">
        <w:rPr>
          <w:rFonts w:asciiTheme="minorHAnsi" w:hAnsiTheme="minorHAnsi" w:cstheme="minorHAnsi"/>
          <w:lang w:bidi="en-GB"/>
        </w:rPr>
        <w:t xml:space="preserve">, herunder at </w:t>
      </w:r>
      <w:r w:rsidRPr="00595546">
        <w:rPr>
          <w:rFonts w:asciiTheme="minorHAnsi" w:hAnsiTheme="minorHAnsi" w:cstheme="minorHAnsi"/>
          <w:lang w:bidi="en-GB"/>
        </w:rPr>
        <w:t>Tilbudsgiver</w:t>
      </w:r>
      <w:r w:rsidR="00E201EA" w:rsidRPr="00595546">
        <w:rPr>
          <w:rFonts w:asciiTheme="minorHAnsi" w:hAnsiTheme="minorHAnsi" w:cstheme="minorHAnsi"/>
          <w:lang w:bidi="en-GB"/>
        </w:rPr>
        <w:t xml:space="preserve"> har forpligtet sig </w:t>
      </w:r>
      <w:r w:rsidR="00A20378" w:rsidRPr="00595546">
        <w:rPr>
          <w:rFonts w:asciiTheme="minorHAnsi" w:hAnsiTheme="minorHAnsi" w:cstheme="minorHAnsi"/>
          <w:lang w:bidi="en-GB"/>
        </w:rPr>
        <w:t>til</w:t>
      </w:r>
      <w:r w:rsidR="00E201EA" w:rsidRPr="00595546">
        <w:rPr>
          <w:rFonts w:asciiTheme="minorHAnsi" w:hAnsiTheme="minorHAnsi" w:cstheme="minorHAnsi"/>
          <w:lang w:bidi="en-GB"/>
        </w:rPr>
        <w:t xml:space="preserve"> </w:t>
      </w:r>
      <w:r w:rsidR="001C3162">
        <w:rPr>
          <w:rFonts w:asciiTheme="minorHAnsi" w:hAnsiTheme="minorHAnsi" w:cstheme="minorHAnsi"/>
          <w:lang w:bidi="en-GB"/>
        </w:rPr>
        <w:t xml:space="preserve">over </w:t>
      </w:r>
      <w:r w:rsidR="00E201EA" w:rsidRPr="00595546">
        <w:rPr>
          <w:rFonts w:asciiTheme="minorHAnsi" w:hAnsiTheme="minorHAnsi" w:cstheme="minorHAnsi"/>
          <w:lang w:bidi="en-GB"/>
        </w:rPr>
        <w:t xml:space="preserve">for </w:t>
      </w:r>
      <w:r w:rsidRPr="00595546">
        <w:rPr>
          <w:rFonts w:asciiTheme="minorHAnsi" w:hAnsiTheme="minorHAnsi" w:cstheme="minorHAnsi"/>
          <w:lang w:bidi="en-GB"/>
        </w:rPr>
        <w:t xml:space="preserve">Selskabets </w:t>
      </w:r>
      <w:r w:rsidR="00A20378" w:rsidRPr="00595546">
        <w:rPr>
          <w:rFonts w:asciiTheme="minorHAnsi" w:hAnsiTheme="minorHAnsi" w:cstheme="minorHAnsi"/>
          <w:lang w:bidi="en-GB"/>
        </w:rPr>
        <w:t xml:space="preserve">at acceptere og gennemføre alle nødvendige regulatoriske </w:t>
      </w:r>
      <w:r w:rsidR="001C3162">
        <w:rPr>
          <w:rFonts w:asciiTheme="minorHAnsi" w:hAnsiTheme="minorHAnsi" w:cstheme="minorHAnsi"/>
          <w:lang w:bidi="en-GB"/>
        </w:rPr>
        <w:t>tilsagn</w:t>
      </w:r>
      <w:r w:rsidR="0055713A" w:rsidRPr="00595546">
        <w:rPr>
          <w:rFonts w:asciiTheme="minorHAnsi" w:hAnsiTheme="minorHAnsi" w:cstheme="minorHAnsi"/>
          <w:lang w:bidi="en-GB"/>
        </w:rPr>
        <w:t xml:space="preserve">, </w:t>
      </w:r>
      <w:r w:rsidR="00905E17" w:rsidRPr="00595546">
        <w:rPr>
          <w:rFonts w:asciiTheme="minorHAnsi" w:hAnsiTheme="minorHAnsi" w:cstheme="minorHAnsi"/>
          <w:lang w:bidi="en-GB"/>
        </w:rPr>
        <w:t xml:space="preserve">der er nødvendige for </w:t>
      </w:r>
      <w:r w:rsidR="007B6AD8" w:rsidRPr="00595546">
        <w:rPr>
          <w:rFonts w:asciiTheme="minorHAnsi" w:hAnsiTheme="minorHAnsi" w:cstheme="minorHAnsi"/>
          <w:lang w:bidi="en-GB"/>
        </w:rPr>
        <w:t xml:space="preserve">at opfylde de </w:t>
      </w:r>
      <w:r w:rsidR="00595546" w:rsidRPr="00595546">
        <w:rPr>
          <w:rFonts w:asciiTheme="minorHAnsi" w:hAnsiTheme="minorHAnsi" w:cstheme="minorHAnsi"/>
          <w:lang w:bidi="en-GB"/>
        </w:rPr>
        <w:t>Regulatoriske Betingelser</w:t>
      </w:r>
      <w:r w:rsidR="0055713A" w:rsidRPr="00595546">
        <w:rPr>
          <w:rFonts w:asciiTheme="minorHAnsi" w:hAnsiTheme="minorHAnsi" w:cstheme="minorHAnsi"/>
          <w:lang w:bidi="en-GB"/>
        </w:rPr>
        <w:t xml:space="preserve">, forudsat at en sådan accept ikke påvirker </w:t>
      </w:r>
      <w:r w:rsidRPr="00595546">
        <w:rPr>
          <w:rFonts w:asciiTheme="minorHAnsi" w:hAnsiTheme="minorHAnsi" w:cstheme="minorHAnsi"/>
          <w:lang w:bidi="en-GB"/>
        </w:rPr>
        <w:t>Tilbudsgiver</w:t>
      </w:r>
      <w:r w:rsidR="0055713A" w:rsidRPr="00595546">
        <w:rPr>
          <w:rFonts w:asciiTheme="minorHAnsi" w:hAnsiTheme="minorHAnsi" w:cstheme="minorHAnsi"/>
          <w:lang w:bidi="en-GB"/>
        </w:rPr>
        <w:t>s og de</w:t>
      </w:r>
      <w:r w:rsidR="001C3162">
        <w:rPr>
          <w:rFonts w:asciiTheme="minorHAnsi" w:hAnsiTheme="minorHAnsi" w:cstheme="minorHAnsi"/>
          <w:lang w:bidi="en-GB"/>
        </w:rPr>
        <w:t>ts</w:t>
      </w:r>
      <w:r w:rsidR="0055713A" w:rsidRPr="00595546">
        <w:rPr>
          <w:rFonts w:asciiTheme="minorHAnsi" w:hAnsiTheme="minorHAnsi" w:cstheme="minorHAnsi"/>
          <w:lang w:bidi="en-GB"/>
        </w:rPr>
        <w:t xml:space="preserve"> datterselskabers europæiske forretning </w:t>
      </w:r>
      <w:r w:rsidR="007F7BD3" w:rsidRPr="00595546">
        <w:rPr>
          <w:rFonts w:asciiTheme="minorHAnsi" w:hAnsiTheme="minorHAnsi" w:cstheme="minorHAnsi"/>
          <w:lang w:bidi="en-GB"/>
        </w:rPr>
        <w:t>eller andre til</w:t>
      </w:r>
      <w:r w:rsidR="004A39C2" w:rsidRPr="00595546">
        <w:rPr>
          <w:rFonts w:asciiTheme="minorHAnsi" w:hAnsiTheme="minorHAnsi" w:cstheme="minorHAnsi"/>
          <w:lang w:bidi="en-GB"/>
        </w:rPr>
        <w:t>k</w:t>
      </w:r>
      <w:r w:rsidR="007F7BD3" w:rsidRPr="00595546">
        <w:rPr>
          <w:rFonts w:asciiTheme="minorHAnsi" w:hAnsiTheme="minorHAnsi" w:cstheme="minorHAnsi"/>
          <w:lang w:bidi="en-GB"/>
        </w:rPr>
        <w:t>nyttede selskabers europæiske forretning på en væsentlig og negativ måde</w:t>
      </w:r>
      <w:r w:rsidR="009738F5" w:rsidRPr="00595546">
        <w:rPr>
          <w:rFonts w:asciiTheme="minorHAnsi" w:hAnsiTheme="minorHAnsi" w:cstheme="minorHAnsi"/>
          <w:lang w:bidi="en-GB"/>
        </w:rPr>
        <w:t xml:space="preserve">. </w:t>
      </w:r>
    </w:p>
    <w:p w14:paraId="40FC7206" w14:textId="77777777" w:rsidR="00F314F6" w:rsidRPr="00595546" w:rsidRDefault="00F314F6" w:rsidP="00F314F6">
      <w:pPr>
        <w:ind w:left="851"/>
        <w:jc w:val="both"/>
        <w:rPr>
          <w:highlight w:val="yellow"/>
        </w:rPr>
      </w:pPr>
    </w:p>
    <w:p w14:paraId="4919B1E0" w14:textId="6B84C765" w:rsidR="008F2186" w:rsidRPr="00595546" w:rsidRDefault="00624173" w:rsidP="00A05058">
      <w:pPr>
        <w:pStyle w:val="NormalIndent"/>
        <w:jc w:val="both"/>
      </w:pPr>
      <w:r w:rsidRPr="00595546">
        <w:t xml:space="preserve">I </w:t>
      </w:r>
      <w:r w:rsidR="00DB44D5" w:rsidRPr="00595546">
        <w:t>Offentliggørelsesaftalen</w:t>
      </w:r>
      <w:r w:rsidRPr="00595546">
        <w:t xml:space="preserve"> har </w:t>
      </w:r>
      <w:r w:rsidR="00DB44D5" w:rsidRPr="00595546">
        <w:t xml:space="preserve">Selskabet </w:t>
      </w:r>
      <w:r w:rsidRPr="00595546">
        <w:t xml:space="preserve">afgivet visse sædvanlige og begrænsede garantier og erklæringer vedrørende </w:t>
      </w:r>
      <w:r w:rsidR="00FE3135" w:rsidRPr="00595546">
        <w:t>sig selv</w:t>
      </w:r>
      <w:r w:rsidRPr="00595546">
        <w:t xml:space="preserve">, idet det specifikt er </w:t>
      </w:r>
      <w:r w:rsidR="00131EED">
        <w:t>aftalt</w:t>
      </w:r>
      <w:r w:rsidRPr="00595546">
        <w:t>, at de</w:t>
      </w:r>
      <w:r w:rsidR="00131EED">
        <w:t>n</w:t>
      </w:r>
      <w:r w:rsidRPr="00595546">
        <w:t xml:space="preserve"> eneste </w:t>
      </w:r>
      <w:r w:rsidR="00131EED">
        <w:t xml:space="preserve">beføjelse for misligholdelse </w:t>
      </w:r>
      <w:r w:rsidRPr="00595546">
        <w:t xml:space="preserve">af sådanne garantier og erklæringer er </w:t>
      </w:r>
      <w:r w:rsidR="00DB44D5" w:rsidRPr="00595546">
        <w:t>Tilbudsgiver</w:t>
      </w:r>
      <w:r w:rsidRPr="00595546">
        <w:t>s ret</w:t>
      </w:r>
      <w:r w:rsidR="00F24830">
        <w:t xml:space="preserve"> </w:t>
      </w:r>
      <w:r w:rsidRPr="00595546">
        <w:t xml:space="preserve">til at </w:t>
      </w:r>
      <w:r w:rsidR="00F24830">
        <w:t xml:space="preserve">bringe </w:t>
      </w:r>
      <w:r w:rsidR="00DB44D5" w:rsidRPr="00595546">
        <w:t>Offentliggørelsesaftalen</w:t>
      </w:r>
      <w:r w:rsidRPr="00595546">
        <w:t xml:space="preserve"> </w:t>
      </w:r>
      <w:r w:rsidR="00F24830">
        <w:t xml:space="preserve">til ophør </w:t>
      </w:r>
      <w:r w:rsidRPr="00595546">
        <w:t>med øjeblikkelig virkning</w:t>
      </w:r>
      <w:r w:rsidR="004C237F" w:rsidRPr="00595546">
        <w:t>.</w:t>
      </w:r>
      <w:r w:rsidRPr="00595546">
        <w:t xml:space="preserve"> </w:t>
      </w:r>
      <w:r w:rsidR="00DB44D5" w:rsidRPr="00595546">
        <w:t>Tilbudsgiver</w:t>
      </w:r>
      <w:r w:rsidR="004C237F" w:rsidRPr="00595546">
        <w:t xml:space="preserve"> har også afgivet visse sædvanlige og begrænsede garantier og erklæringer vedrørende </w:t>
      </w:r>
      <w:r w:rsidR="00495A38" w:rsidRPr="00595546">
        <w:t>sig selv</w:t>
      </w:r>
      <w:r w:rsidR="004C237F" w:rsidRPr="00595546">
        <w:t xml:space="preserve">. </w:t>
      </w:r>
    </w:p>
    <w:p w14:paraId="6162F754" w14:textId="77777777" w:rsidR="008F2186" w:rsidRPr="00595546" w:rsidRDefault="008F2186" w:rsidP="00A05058">
      <w:pPr>
        <w:pStyle w:val="NormalIndent"/>
        <w:jc w:val="both"/>
        <w:rPr>
          <w:highlight w:val="yellow"/>
        </w:rPr>
      </w:pPr>
    </w:p>
    <w:p w14:paraId="58A83D35" w14:textId="16DAA6C7" w:rsidR="009B30D3" w:rsidRPr="00595546" w:rsidRDefault="00624173" w:rsidP="00A05058">
      <w:pPr>
        <w:pStyle w:val="NormalIndent"/>
        <w:jc w:val="both"/>
      </w:pPr>
      <w:r w:rsidRPr="00595546">
        <w:t xml:space="preserve">Desuden har </w:t>
      </w:r>
      <w:r w:rsidR="00DB44D5" w:rsidRPr="00595546">
        <w:t xml:space="preserve">Selskabet </w:t>
      </w:r>
      <w:r w:rsidRPr="00595546">
        <w:t xml:space="preserve">i </w:t>
      </w:r>
      <w:r w:rsidR="00DB44D5" w:rsidRPr="00595546">
        <w:t>Offentliggørelsesaftalen</w:t>
      </w:r>
      <w:r w:rsidRPr="00595546">
        <w:t xml:space="preserve"> </w:t>
      </w:r>
      <w:r w:rsidR="00415A14">
        <w:t>påtaget sig</w:t>
      </w:r>
      <w:r w:rsidRPr="00595546">
        <w:t xml:space="preserve"> visse sædvanlige tilsagn og forpligtelser vedrørende </w:t>
      </w:r>
      <w:r w:rsidRPr="00595546">
        <w:rPr>
          <w:i/>
          <w:iCs/>
        </w:rPr>
        <w:t>bl.a</w:t>
      </w:r>
      <w:r w:rsidRPr="00595546">
        <w:t xml:space="preserve">. distribution af </w:t>
      </w:r>
      <w:r w:rsidR="00DB44D5" w:rsidRPr="00595546">
        <w:t xml:space="preserve">Tilbudsdokumentet </w:t>
      </w:r>
      <w:r w:rsidRPr="00595546">
        <w:t xml:space="preserve">til </w:t>
      </w:r>
      <w:r w:rsidR="00DB44D5" w:rsidRPr="00595546">
        <w:t xml:space="preserve">Aktionærerne </w:t>
      </w:r>
      <w:r w:rsidR="009B30D3" w:rsidRPr="00595546">
        <w:t xml:space="preserve">samt udøvelse af </w:t>
      </w:r>
      <w:r w:rsidR="009B30D3" w:rsidRPr="00595546">
        <w:rPr>
          <w:rFonts w:asciiTheme="minorHAnsi" w:hAnsiTheme="minorHAnsi" w:cstheme="minorHAnsi"/>
        </w:rPr>
        <w:t xml:space="preserve">sine aktiviteter </w:t>
      </w:r>
      <w:r w:rsidR="00415A14" w:rsidRPr="00595546">
        <w:t>i</w:t>
      </w:r>
      <w:r w:rsidR="00415A14">
        <w:t xml:space="preserve"> al væsentlighed</w:t>
      </w:r>
      <w:r w:rsidR="00415A14" w:rsidRPr="00595546">
        <w:t xml:space="preserve"> i henhold til sædvanlig forretningsdrift i overensstemmelse med hidtidig praksis</w:t>
      </w:r>
      <w:r w:rsidR="00495A38" w:rsidRPr="00595546">
        <w:rPr>
          <w:rFonts w:asciiTheme="minorHAnsi" w:hAnsiTheme="minorHAnsi" w:cstheme="minorHAnsi"/>
        </w:rPr>
        <w:t>, med forbehold for sædvanlige undtagelser</w:t>
      </w:r>
      <w:r w:rsidR="009B30D3" w:rsidRPr="00595546">
        <w:rPr>
          <w:rFonts w:asciiTheme="minorHAnsi" w:hAnsiTheme="minorHAnsi" w:cstheme="minorHAnsi"/>
        </w:rPr>
        <w:t>.</w:t>
      </w:r>
    </w:p>
    <w:p w14:paraId="5CA48598" w14:textId="77777777" w:rsidR="009B30D3" w:rsidRPr="00595546" w:rsidRDefault="009B30D3" w:rsidP="00A05058">
      <w:pPr>
        <w:pStyle w:val="NormalIndent"/>
        <w:jc w:val="both"/>
        <w:rPr>
          <w:highlight w:val="yellow"/>
        </w:rPr>
      </w:pPr>
    </w:p>
    <w:p w14:paraId="7C58819D" w14:textId="1FCFABEC" w:rsidR="009B30D3" w:rsidRPr="00595546" w:rsidRDefault="009B30D3" w:rsidP="00917699">
      <w:pPr>
        <w:pStyle w:val="NormalIndent"/>
        <w:jc w:val="both"/>
      </w:pPr>
      <w:r w:rsidRPr="00595546">
        <w:t xml:space="preserve">I henhold til </w:t>
      </w:r>
      <w:r w:rsidR="00DB44D5" w:rsidRPr="00595546">
        <w:t>Offentliggørelsesaftalen</w:t>
      </w:r>
      <w:r w:rsidRPr="00595546">
        <w:t xml:space="preserve"> </w:t>
      </w:r>
      <w:r w:rsidR="0056645C">
        <w:t>har</w:t>
      </w:r>
      <w:r w:rsidRPr="00595546">
        <w:t xml:space="preserve"> </w:t>
      </w:r>
      <w:r w:rsidR="00DB44D5" w:rsidRPr="00595546">
        <w:t>Tilbudsgiver</w:t>
      </w:r>
      <w:r w:rsidRPr="00595546">
        <w:t xml:space="preserve"> </w:t>
      </w:r>
      <w:r w:rsidR="0056645C">
        <w:t xml:space="preserve">forpligtet </w:t>
      </w:r>
      <w:r w:rsidRPr="00595546">
        <w:t xml:space="preserve">sig til at skadesløsholde nuværende og tidligere </w:t>
      </w:r>
      <w:r w:rsidR="0056645C">
        <w:t>bestyrelsesmedlemmer</w:t>
      </w:r>
      <w:r w:rsidR="00464214" w:rsidRPr="00595546">
        <w:t xml:space="preserve">, </w:t>
      </w:r>
      <w:r w:rsidR="0056645C">
        <w:t xml:space="preserve">direktører </w:t>
      </w:r>
      <w:r w:rsidR="00464214" w:rsidRPr="00595546">
        <w:t xml:space="preserve">og ansatte </w:t>
      </w:r>
      <w:r w:rsidRPr="00595546">
        <w:t xml:space="preserve">i </w:t>
      </w:r>
      <w:r w:rsidR="00DB44D5" w:rsidRPr="00595546">
        <w:t>Selskabet</w:t>
      </w:r>
      <w:r w:rsidR="004F0557">
        <w:t xml:space="preserve"> og dets </w:t>
      </w:r>
      <w:r w:rsidR="00907951">
        <w:t>tilknyttede</w:t>
      </w:r>
      <w:r w:rsidR="004F0557">
        <w:t xml:space="preserve"> selskaber</w:t>
      </w:r>
      <w:r w:rsidR="00DB44D5" w:rsidRPr="00595546">
        <w:t xml:space="preserve"> </w:t>
      </w:r>
      <w:r w:rsidR="00603C34" w:rsidRPr="00595546">
        <w:t>(</w:t>
      </w:r>
      <w:r w:rsidR="008B3E5D">
        <w:rPr>
          <w:b/>
          <w:bCs/>
        </w:rPr>
        <w:t>D</w:t>
      </w:r>
      <w:r w:rsidR="00603C34" w:rsidRPr="00595546">
        <w:rPr>
          <w:b/>
          <w:bCs/>
        </w:rPr>
        <w:t xml:space="preserve">ækkede </w:t>
      </w:r>
      <w:r w:rsidR="008B3E5D">
        <w:rPr>
          <w:b/>
          <w:bCs/>
        </w:rPr>
        <w:t>P</w:t>
      </w:r>
      <w:r w:rsidR="00603C34" w:rsidRPr="00595546">
        <w:rPr>
          <w:b/>
          <w:bCs/>
        </w:rPr>
        <w:t>ersoner</w:t>
      </w:r>
      <w:r w:rsidR="00603C34" w:rsidRPr="00595546">
        <w:t xml:space="preserve">) </w:t>
      </w:r>
      <w:r w:rsidRPr="00595546">
        <w:t xml:space="preserve">for </w:t>
      </w:r>
      <w:r w:rsidR="002D1E08">
        <w:t>ansvar</w:t>
      </w:r>
      <w:r w:rsidRPr="00595546">
        <w:t xml:space="preserve">, der opstår som følge af handlinger foretaget </w:t>
      </w:r>
      <w:r w:rsidR="00873DC1">
        <w:t xml:space="preserve">som led </w:t>
      </w:r>
      <w:r w:rsidRPr="00595546">
        <w:t xml:space="preserve">i deres officielle </w:t>
      </w:r>
      <w:r w:rsidR="00873DC1">
        <w:t>poster</w:t>
      </w:r>
      <w:r w:rsidR="00873DC1" w:rsidRPr="00595546">
        <w:t xml:space="preserve"> </w:t>
      </w:r>
      <w:r w:rsidRPr="00595546">
        <w:t xml:space="preserve">inden </w:t>
      </w:r>
      <w:r w:rsidR="00595546" w:rsidRPr="00595546">
        <w:t>Gennemførelsen</w:t>
      </w:r>
      <w:r w:rsidR="00676F72" w:rsidRPr="00595546">
        <w:t xml:space="preserve">, </w:t>
      </w:r>
      <w:r w:rsidR="00BF772D">
        <w:t xml:space="preserve">med </w:t>
      </w:r>
      <w:r w:rsidRPr="00595546">
        <w:t>undtage</w:t>
      </w:r>
      <w:r w:rsidR="00BF772D">
        <w:t>lse</w:t>
      </w:r>
      <w:r w:rsidRPr="00595546">
        <w:t xml:space="preserve"> </w:t>
      </w:r>
      <w:r w:rsidR="00BF772D">
        <w:t>af</w:t>
      </w:r>
      <w:r w:rsidRPr="00595546">
        <w:t xml:space="preserve"> tilfælde af </w:t>
      </w:r>
      <w:r w:rsidR="00BF46E0" w:rsidRPr="00595546">
        <w:t xml:space="preserve">svigagtig adfærd inden </w:t>
      </w:r>
      <w:r w:rsidR="00595546" w:rsidRPr="00595546">
        <w:t>Gennemførelsen</w:t>
      </w:r>
      <w:r w:rsidR="00917699" w:rsidRPr="00595546">
        <w:t xml:space="preserve">. </w:t>
      </w:r>
      <w:r w:rsidRPr="00595546">
        <w:t>Derudover skal</w:t>
      </w:r>
      <w:r w:rsidR="00D23DF9" w:rsidRPr="00595546">
        <w:t xml:space="preserve"> </w:t>
      </w:r>
      <w:r w:rsidR="00DB44D5" w:rsidRPr="00595546">
        <w:t>Tilbudsgiver</w:t>
      </w:r>
      <w:r w:rsidRPr="00595546">
        <w:t xml:space="preserve"> i fem år efter </w:t>
      </w:r>
      <w:r w:rsidR="00595546" w:rsidRPr="00595546">
        <w:t>Gennemførelsen</w:t>
      </w:r>
      <w:r w:rsidRPr="00595546">
        <w:t xml:space="preserve"> opretholde </w:t>
      </w:r>
      <w:r w:rsidR="00254315">
        <w:t>dækning</w:t>
      </w:r>
      <w:r w:rsidR="004F0557">
        <w:t xml:space="preserve"> u</w:t>
      </w:r>
      <w:r w:rsidR="00C2184E">
        <w:t xml:space="preserve">nder </w:t>
      </w:r>
      <w:r w:rsidRPr="00595546">
        <w:t xml:space="preserve">en </w:t>
      </w:r>
      <w:r w:rsidR="00254315">
        <w:t>ledelsesansvars</w:t>
      </w:r>
      <w:r w:rsidRPr="00595546">
        <w:t>forsik</w:t>
      </w:r>
      <w:r w:rsidR="00C2184E">
        <w:t>ring</w:t>
      </w:r>
      <w:r w:rsidRPr="00595546">
        <w:t xml:space="preserve"> for </w:t>
      </w:r>
      <w:r w:rsidR="00DB44D5" w:rsidRPr="00595546">
        <w:t xml:space="preserve">Selskabets </w:t>
      </w:r>
      <w:r w:rsidR="00C2184E">
        <w:t>bestyrelsesmedlemmer</w:t>
      </w:r>
      <w:r w:rsidR="004F0557">
        <w:t xml:space="preserve"> og </w:t>
      </w:r>
      <w:r w:rsidR="00C2184E">
        <w:t xml:space="preserve">direktører </w:t>
      </w:r>
      <w:r w:rsidR="00240E87" w:rsidRPr="00595546">
        <w:t>pr.</w:t>
      </w:r>
      <w:r w:rsidR="001D57F4" w:rsidRPr="00595546">
        <w:t xml:space="preserve"> 11. december 2025 </w:t>
      </w:r>
      <w:r w:rsidR="00240E87" w:rsidRPr="00595546">
        <w:t xml:space="preserve">og pr. </w:t>
      </w:r>
      <w:r w:rsidR="00595546" w:rsidRPr="00595546">
        <w:t>Gennemførelsen</w:t>
      </w:r>
      <w:r w:rsidRPr="00595546">
        <w:t xml:space="preserve">, som ikke er mindre </w:t>
      </w:r>
      <w:r w:rsidR="00603C34" w:rsidRPr="00595546">
        <w:t xml:space="preserve">gunstig </w:t>
      </w:r>
      <w:r w:rsidRPr="00595546">
        <w:t xml:space="preserve">end </w:t>
      </w:r>
      <w:r w:rsidR="00DB44D5" w:rsidRPr="00595546">
        <w:t xml:space="preserve">Selskabets </w:t>
      </w:r>
      <w:r w:rsidRPr="00595546">
        <w:t>nuværende police</w:t>
      </w:r>
      <w:r w:rsidR="00603C34" w:rsidRPr="00595546">
        <w:t xml:space="preserve">. </w:t>
      </w:r>
      <w:r w:rsidRPr="00595546">
        <w:t xml:space="preserve">Endelig </w:t>
      </w:r>
      <w:r w:rsidR="00603C34" w:rsidRPr="00595546">
        <w:t>fraskriver</w:t>
      </w:r>
      <w:r w:rsidRPr="00595546">
        <w:t xml:space="preserve"> </w:t>
      </w:r>
      <w:r w:rsidR="00DB44D5" w:rsidRPr="00595546">
        <w:t>Tilbudsgiver</w:t>
      </w:r>
      <w:r w:rsidRPr="00595546">
        <w:t xml:space="preserve"> </w:t>
      </w:r>
      <w:r w:rsidR="00603C34" w:rsidRPr="00595546">
        <w:t xml:space="preserve">sig og vil sikre, at </w:t>
      </w:r>
      <w:r w:rsidR="00DB44D5" w:rsidRPr="00595546">
        <w:t xml:space="preserve">Selskabet </w:t>
      </w:r>
      <w:r w:rsidR="00603C34" w:rsidRPr="00595546">
        <w:t xml:space="preserve">og dets </w:t>
      </w:r>
      <w:r w:rsidR="00464214" w:rsidRPr="00595546">
        <w:t xml:space="preserve">tilknyttede selskaber </w:t>
      </w:r>
      <w:r w:rsidR="00603C34" w:rsidRPr="00595546">
        <w:t xml:space="preserve">fraskriver sig enhver ret til at søge erstatning eller regres mod </w:t>
      </w:r>
      <w:r w:rsidR="008B3E5D">
        <w:t>D</w:t>
      </w:r>
      <w:r w:rsidR="00603C34" w:rsidRPr="00595546">
        <w:t xml:space="preserve">ækkede </w:t>
      </w:r>
      <w:r w:rsidR="008B3E5D">
        <w:t>P</w:t>
      </w:r>
      <w:r w:rsidR="00603C34" w:rsidRPr="00595546">
        <w:t xml:space="preserve">ersoner i forbindelse med </w:t>
      </w:r>
      <w:r w:rsidR="00DB44D5" w:rsidRPr="00595546">
        <w:t>Offentliggørelsesaftalen</w:t>
      </w:r>
      <w:r w:rsidR="00603C34" w:rsidRPr="00595546">
        <w:t xml:space="preserve">, </w:t>
      </w:r>
      <w:r w:rsidR="00DB44D5" w:rsidRPr="00595546">
        <w:t xml:space="preserve">Tilbuddet </w:t>
      </w:r>
      <w:r w:rsidR="00603C34" w:rsidRPr="00595546">
        <w:t xml:space="preserve">eller relaterede </w:t>
      </w:r>
      <w:r w:rsidR="00AA204C" w:rsidRPr="00595546">
        <w:t xml:space="preserve">transaktioner </w:t>
      </w:r>
      <w:r w:rsidR="00603C34" w:rsidRPr="00595546">
        <w:t xml:space="preserve">samt for handlinger, der er foretaget </w:t>
      </w:r>
      <w:r w:rsidR="00BB7841">
        <w:t xml:space="preserve">som led </w:t>
      </w:r>
      <w:r w:rsidR="00603C34" w:rsidRPr="00595546">
        <w:t xml:space="preserve">i deres officielle </w:t>
      </w:r>
      <w:r w:rsidR="00BB7841">
        <w:t>poster</w:t>
      </w:r>
      <w:r w:rsidR="00BB7841" w:rsidRPr="00595546">
        <w:t xml:space="preserve"> </w:t>
      </w:r>
      <w:r w:rsidR="00603C34" w:rsidRPr="00595546">
        <w:t xml:space="preserve">før </w:t>
      </w:r>
      <w:r w:rsidR="00595546" w:rsidRPr="00595546">
        <w:t>Gennemførelsen</w:t>
      </w:r>
      <w:r w:rsidR="00676F72" w:rsidRPr="00595546">
        <w:t xml:space="preserve">, </w:t>
      </w:r>
      <w:r w:rsidR="00FE5047" w:rsidRPr="00595546">
        <w:t xml:space="preserve">undtagen i tilfælde af svigagtig adfærd </w:t>
      </w:r>
      <w:r w:rsidR="00C43C7E">
        <w:t>af</w:t>
      </w:r>
      <w:r w:rsidR="00C43C7E" w:rsidRPr="00595546">
        <w:t xml:space="preserve"> </w:t>
      </w:r>
      <w:r w:rsidR="00603C34" w:rsidRPr="00595546">
        <w:t xml:space="preserve">den </w:t>
      </w:r>
      <w:r w:rsidR="008B3E5D">
        <w:t>D</w:t>
      </w:r>
      <w:r w:rsidR="00603C34" w:rsidRPr="00595546">
        <w:t xml:space="preserve">ækkede </w:t>
      </w:r>
      <w:r w:rsidR="008B3E5D">
        <w:t>P</w:t>
      </w:r>
      <w:r w:rsidR="00603C34" w:rsidRPr="00595546">
        <w:t xml:space="preserve">erson </w:t>
      </w:r>
      <w:r w:rsidR="00FE5047" w:rsidRPr="00595546">
        <w:t xml:space="preserve">før </w:t>
      </w:r>
      <w:r w:rsidR="00595546" w:rsidRPr="00595546">
        <w:t>Gennemførelsen</w:t>
      </w:r>
      <w:r w:rsidR="00603C34" w:rsidRPr="00595546">
        <w:t xml:space="preserve">. </w:t>
      </w:r>
      <w:r w:rsidR="00917699" w:rsidRPr="00595546">
        <w:t xml:space="preserve">Disse </w:t>
      </w:r>
      <w:r w:rsidR="00FB7FBD">
        <w:t>forpligtelser over</w:t>
      </w:r>
      <w:r w:rsidR="00917699" w:rsidRPr="00595546">
        <w:t xml:space="preserve"> for de </w:t>
      </w:r>
      <w:r w:rsidR="008B3E5D">
        <w:t>D</w:t>
      </w:r>
      <w:r w:rsidR="00917699" w:rsidRPr="00595546">
        <w:t xml:space="preserve">ækkede </w:t>
      </w:r>
      <w:r w:rsidR="008B3E5D">
        <w:t>P</w:t>
      </w:r>
      <w:r w:rsidR="00917699" w:rsidRPr="00595546">
        <w:t>ersoner er i øvrigt underlagt visse sædvanlige vilkår.</w:t>
      </w:r>
    </w:p>
    <w:p w14:paraId="7206B3E2" w14:textId="77777777" w:rsidR="009B30D3" w:rsidRPr="00595546" w:rsidRDefault="009B30D3" w:rsidP="00A05058">
      <w:pPr>
        <w:pStyle w:val="NormalIndent"/>
        <w:ind w:left="0"/>
        <w:jc w:val="both"/>
        <w:rPr>
          <w:highlight w:val="yellow"/>
        </w:rPr>
      </w:pPr>
    </w:p>
    <w:p w14:paraId="26F502FE" w14:textId="3BCCB85B" w:rsidR="00624173" w:rsidRPr="00595546" w:rsidRDefault="00DB44D5" w:rsidP="00A05058">
      <w:pPr>
        <w:pStyle w:val="NormalIndent"/>
        <w:jc w:val="both"/>
      </w:pPr>
      <w:r w:rsidRPr="00595546">
        <w:t>Offentliggørelsesaftalen</w:t>
      </w:r>
      <w:r w:rsidR="00624173" w:rsidRPr="00595546">
        <w:t xml:space="preserve"> kan </w:t>
      </w:r>
      <w:r w:rsidR="00FB7FBD">
        <w:t xml:space="preserve">bringes til ophør </w:t>
      </w:r>
      <w:r w:rsidR="00624173" w:rsidRPr="00595546">
        <w:t xml:space="preserve">under visse omstændigheder, </w:t>
      </w:r>
      <w:r w:rsidR="00B56BE4">
        <w:t>herunder</w:t>
      </w:r>
      <w:r w:rsidR="009B30D3" w:rsidRPr="00595546">
        <w:t>:</w:t>
      </w:r>
    </w:p>
    <w:p w14:paraId="20809C06" w14:textId="77777777" w:rsidR="00624173" w:rsidRPr="00595546" w:rsidRDefault="00624173" w:rsidP="00A05058">
      <w:pPr>
        <w:pStyle w:val="NormalIndent"/>
        <w:ind w:left="0"/>
        <w:jc w:val="both"/>
      </w:pPr>
    </w:p>
    <w:p w14:paraId="00EE4C2E" w14:textId="20E1BDF0" w:rsidR="00624173" w:rsidRPr="00595546" w:rsidRDefault="00415A14" w:rsidP="00F96D13">
      <w:pPr>
        <w:pStyle w:val="NormalIndent"/>
        <w:numPr>
          <w:ilvl w:val="0"/>
          <w:numId w:val="26"/>
        </w:numPr>
        <w:jc w:val="both"/>
      </w:pPr>
      <w:r>
        <w:t>ved</w:t>
      </w:r>
      <w:r w:rsidR="00624173" w:rsidRPr="00595546">
        <w:t xml:space="preserve"> gensidig skriftlig aftale mellem Selskabet og </w:t>
      </w:r>
      <w:r w:rsidR="00DB44D5" w:rsidRPr="00595546">
        <w:t>Tilbudsgiver</w:t>
      </w:r>
    </w:p>
    <w:p w14:paraId="50ED2473" w14:textId="77777777" w:rsidR="00624173" w:rsidRPr="00595546" w:rsidRDefault="00624173" w:rsidP="00A05058">
      <w:pPr>
        <w:pStyle w:val="NormalIndent"/>
        <w:ind w:left="1571"/>
        <w:jc w:val="both"/>
      </w:pPr>
    </w:p>
    <w:p w14:paraId="0A042957" w14:textId="357FD1D1" w:rsidR="009B30D3" w:rsidRPr="00595546" w:rsidRDefault="00624173" w:rsidP="00F96D13">
      <w:pPr>
        <w:pStyle w:val="NormalIndent"/>
        <w:numPr>
          <w:ilvl w:val="0"/>
          <w:numId w:val="26"/>
        </w:numPr>
        <w:jc w:val="both"/>
      </w:pPr>
      <w:r w:rsidRPr="00595546">
        <w:t xml:space="preserve">af </w:t>
      </w:r>
      <w:r w:rsidR="00B56BE4">
        <w:t>hver</w:t>
      </w:r>
      <w:r w:rsidR="009B30D3" w:rsidRPr="00595546">
        <w:t xml:space="preserve"> af parterne, hvis (a) </w:t>
      </w:r>
      <w:r w:rsidR="00DB44D5" w:rsidRPr="00595546">
        <w:t>Tilbudsgiver</w:t>
      </w:r>
      <w:r w:rsidR="009B30D3" w:rsidRPr="00595546">
        <w:t xml:space="preserve">, i henhold til vilkårene i </w:t>
      </w:r>
      <w:r w:rsidR="00DB44D5" w:rsidRPr="00595546">
        <w:t>Offentliggørelsesaftalen</w:t>
      </w:r>
      <w:r w:rsidR="009B30D3" w:rsidRPr="00595546">
        <w:t xml:space="preserve">, </w:t>
      </w:r>
      <w:r w:rsidR="005F3618">
        <w:t>tilbagekalder</w:t>
      </w:r>
      <w:r w:rsidR="009B30D3" w:rsidRPr="00595546">
        <w:t xml:space="preserve"> </w:t>
      </w:r>
      <w:r w:rsidR="00DB44D5" w:rsidRPr="00595546">
        <w:t xml:space="preserve">Tilbuddet </w:t>
      </w:r>
      <w:r w:rsidR="009B30D3" w:rsidRPr="00595546">
        <w:t xml:space="preserve">i overensstemmelse med og </w:t>
      </w:r>
      <w:r w:rsidR="005F3618">
        <w:t xml:space="preserve">med forbehold for </w:t>
      </w:r>
      <w:r w:rsidR="009B30D3" w:rsidRPr="00595546">
        <w:t xml:space="preserve">vilkårene i </w:t>
      </w:r>
      <w:r w:rsidR="00DB44D5" w:rsidRPr="00595546">
        <w:t>Offentliggørelsesaftalen</w:t>
      </w:r>
      <w:r w:rsidR="009B30D3" w:rsidRPr="00595546">
        <w:t xml:space="preserve">, (b) </w:t>
      </w:r>
      <w:r w:rsidR="00667C40" w:rsidRPr="00595546">
        <w:t xml:space="preserve">hvis </w:t>
      </w:r>
      <w:r w:rsidR="00595546" w:rsidRPr="00595546">
        <w:t>Bestyrelsen</w:t>
      </w:r>
      <w:r w:rsidR="00667C40" w:rsidRPr="00595546">
        <w:t xml:space="preserve"> </w:t>
      </w:r>
      <w:r w:rsidR="00667C40" w:rsidRPr="00595546">
        <w:rPr>
          <w:rFonts w:asciiTheme="minorHAnsi" w:hAnsiTheme="minorHAnsi" w:cstheme="minorHAnsi"/>
          <w:lang w:bidi="en-GB"/>
        </w:rPr>
        <w:t xml:space="preserve">trækker sin anbefaling af </w:t>
      </w:r>
      <w:r w:rsidR="00DB44D5" w:rsidRPr="00595546">
        <w:rPr>
          <w:rFonts w:asciiTheme="minorHAnsi" w:hAnsiTheme="minorHAnsi" w:cstheme="minorHAnsi"/>
          <w:lang w:bidi="en-GB"/>
        </w:rPr>
        <w:t xml:space="preserve">Tilbuddet </w:t>
      </w:r>
      <w:r w:rsidR="00667C40" w:rsidRPr="00595546">
        <w:rPr>
          <w:rFonts w:asciiTheme="minorHAnsi" w:hAnsiTheme="minorHAnsi" w:cstheme="minorHAnsi"/>
          <w:lang w:bidi="en-GB"/>
        </w:rPr>
        <w:t xml:space="preserve">tilbage eller ændrer den på en måde, der er til </w:t>
      </w:r>
      <w:r w:rsidR="0009393B">
        <w:rPr>
          <w:rFonts w:asciiTheme="minorHAnsi" w:hAnsiTheme="minorHAnsi" w:cstheme="minorHAnsi"/>
          <w:lang w:bidi="en-GB"/>
        </w:rPr>
        <w:t>ugunst for</w:t>
      </w:r>
      <w:r w:rsidR="00667C40" w:rsidRPr="00595546">
        <w:rPr>
          <w:rFonts w:asciiTheme="minorHAnsi" w:hAnsiTheme="minorHAnsi" w:cstheme="minorHAnsi"/>
          <w:lang w:bidi="en-GB"/>
        </w:rPr>
        <w:t xml:space="preserve"> </w:t>
      </w:r>
      <w:r w:rsidR="00DB44D5" w:rsidRPr="00595546">
        <w:rPr>
          <w:rFonts w:asciiTheme="minorHAnsi" w:hAnsiTheme="minorHAnsi" w:cstheme="minorHAnsi"/>
          <w:lang w:bidi="en-GB"/>
        </w:rPr>
        <w:t>Tilbuddet</w:t>
      </w:r>
      <w:r w:rsidR="009B30D3" w:rsidRPr="00595546">
        <w:t xml:space="preserve">, og/eller (c) </w:t>
      </w:r>
      <w:r w:rsidR="0009393B">
        <w:t>som følge af</w:t>
      </w:r>
      <w:r w:rsidR="009B30D3" w:rsidRPr="00595546">
        <w:t xml:space="preserve"> den anden part</w:t>
      </w:r>
      <w:r w:rsidR="0009393B">
        <w:t>s</w:t>
      </w:r>
      <w:r w:rsidR="009B30D3" w:rsidRPr="00595546">
        <w:t xml:space="preserve"> væsentlig</w:t>
      </w:r>
      <w:r w:rsidR="0009393B">
        <w:t>e</w:t>
      </w:r>
      <w:r w:rsidR="009B30D3" w:rsidRPr="00595546">
        <w:t xml:space="preserve"> misligholdelse af </w:t>
      </w:r>
      <w:r w:rsidR="00DB44D5" w:rsidRPr="00595546">
        <w:t>Offentliggørelsesaftalen</w:t>
      </w:r>
      <w:r w:rsidR="00495A38" w:rsidRPr="00595546">
        <w:t>,</w:t>
      </w:r>
      <w:r w:rsidR="009B30D3" w:rsidRPr="00595546">
        <w:t xml:space="preserve"> forudsat at en sådan misligholdelse </w:t>
      </w:r>
      <w:r w:rsidR="00770702">
        <w:t>har en</w:t>
      </w:r>
      <w:r w:rsidR="003C4E2D">
        <w:t xml:space="preserve"> </w:t>
      </w:r>
      <w:r w:rsidR="009B30D3" w:rsidRPr="00595546">
        <w:t xml:space="preserve">væsentligt </w:t>
      </w:r>
      <w:r w:rsidR="003C4E2D">
        <w:t xml:space="preserve">negative indvirkning på </w:t>
      </w:r>
      <w:r w:rsidR="00DB44D5" w:rsidRPr="00595546">
        <w:t xml:space="preserve">Tilbuddet </w:t>
      </w:r>
      <w:r w:rsidR="009B30D3" w:rsidRPr="00595546">
        <w:t xml:space="preserve">(herunder </w:t>
      </w:r>
      <w:r w:rsidR="00595546" w:rsidRPr="00595546">
        <w:t>Gennemførelsen</w:t>
      </w:r>
      <w:r w:rsidR="009B30D3" w:rsidRPr="00595546">
        <w:t xml:space="preserve"> heraf)</w:t>
      </w:r>
      <w:r w:rsidR="00495A38" w:rsidRPr="00595546">
        <w:t xml:space="preserve"> </w:t>
      </w:r>
    </w:p>
    <w:p w14:paraId="6DCD98A8" w14:textId="77777777" w:rsidR="009B30D3" w:rsidRPr="00595546" w:rsidRDefault="009B30D3" w:rsidP="00A05058">
      <w:pPr>
        <w:pStyle w:val="Opstillingmedi"/>
        <w:numPr>
          <w:ilvl w:val="0"/>
          <w:numId w:val="0"/>
        </w:numPr>
        <w:ind w:left="1571"/>
        <w:rPr>
          <w:rFonts w:asciiTheme="minorHAnsi" w:hAnsiTheme="minorHAnsi" w:cstheme="minorHAnsi"/>
          <w:sz w:val="18"/>
          <w:szCs w:val="16"/>
        </w:rPr>
      </w:pPr>
    </w:p>
    <w:p w14:paraId="4AEC49BC" w14:textId="1248D9EC" w:rsidR="009B30D3" w:rsidRPr="00595546" w:rsidRDefault="009B30D3" w:rsidP="00A05058">
      <w:pPr>
        <w:pStyle w:val="Opstillingmedi"/>
        <w:numPr>
          <w:ilvl w:val="0"/>
          <w:numId w:val="0"/>
        </w:numPr>
        <w:ind w:left="1571"/>
        <w:rPr>
          <w:rFonts w:asciiTheme="minorHAnsi" w:hAnsiTheme="minorHAnsi" w:cstheme="minorHAnsi"/>
          <w:sz w:val="18"/>
          <w:szCs w:val="16"/>
        </w:rPr>
      </w:pPr>
      <w:r w:rsidRPr="00595546">
        <w:rPr>
          <w:rFonts w:asciiTheme="minorHAnsi" w:hAnsiTheme="minorHAnsi" w:cstheme="minorHAnsi"/>
          <w:sz w:val="18"/>
          <w:szCs w:val="16"/>
        </w:rPr>
        <w:lastRenderedPageBreak/>
        <w:t xml:space="preserve">En parts ret til at </w:t>
      </w:r>
      <w:r w:rsidR="00D56602">
        <w:rPr>
          <w:rFonts w:asciiTheme="minorHAnsi" w:hAnsiTheme="minorHAnsi" w:cstheme="minorHAnsi"/>
          <w:sz w:val="18"/>
          <w:szCs w:val="16"/>
        </w:rPr>
        <w:t xml:space="preserve">bringe </w:t>
      </w:r>
      <w:r w:rsidR="00DB44D5" w:rsidRPr="00595546">
        <w:rPr>
          <w:rFonts w:asciiTheme="minorHAnsi" w:hAnsiTheme="minorHAnsi" w:cstheme="minorHAnsi"/>
          <w:sz w:val="18"/>
          <w:szCs w:val="16"/>
        </w:rPr>
        <w:t>Offentliggørelsesaftalen</w:t>
      </w:r>
      <w:r w:rsidRPr="00595546">
        <w:rPr>
          <w:rFonts w:asciiTheme="minorHAnsi" w:hAnsiTheme="minorHAnsi" w:cstheme="minorHAnsi"/>
          <w:sz w:val="18"/>
          <w:szCs w:val="16"/>
        </w:rPr>
        <w:t xml:space="preserve"> </w:t>
      </w:r>
      <w:r w:rsidR="00D56602">
        <w:rPr>
          <w:rFonts w:asciiTheme="minorHAnsi" w:hAnsiTheme="minorHAnsi" w:cstheme="minorHAnsi"/>
          <w:sz w:val="18"/>
          <w:szCs w:val="16"/>
        </w:rPr>
        <w:t xml:space="preserve">til ophør </w:t>
      </w:r>
      <w:r w:rsidR="00AA204C" w:rsidRPr="00595546">
        <w:rPr>
          <w:rFonts w:asciiTheme="minorHAnsi" w:hAnsiTheme="minorHAnsi" w:cstheme="minorHAnsi"/>
          <w:sz w:val="18"/>
          <w:szCs w:val="16"/>
        </w:rPr>
        <w:t xml:space="preserve">på grund af væsentlig misligholdelse </w:t>
      </w:r>
      <w:r w:rsidRPr="00595546">
        <w:rPr>
          <w:rFonts w:asciiTheme="minorHAnsi" w:hAnsiTheme="minorHAnsi" w:cstheme="minorHAnsi"/>
          <w:sz w:val="18"/>
          <w:szCs w:val="16"/>
        </w:rPr>
        <w:t>er yderligere underlagt (x) at den ikke-misligholdende part inden e</w:t>
      </w:r>
      <w:r w:rsidR="00C43C7E">
        <w:rPr>
          <w:rFonts w:asciiTheme="minorHAnsi" w:hAnsiTheme="minorHAnsi" w:cstheme="minorHAnsi"/>
          <w:sz w:val="18"/>
          <w:szCs w:val="16"/>
        </w:rPr>
        <w:t>n</w:t>
      </w:r>
      <w:r w:rsidRPr="00595546">
        <w:rPr>
          <w:rFonts w:asciiTheme="minorHAnsi" w:hAnsiTheme="minorHAnsi" w:cstheme="minorHAnsi"/>
          <w:sz w:val="18"/>
          <w:szCs w:val="16"/>
        </w:rPr>
        <w:t xml:space="preserve"> sådan </w:t>
      </w:r>
      <w:r w:rsidR="00D56602">
        <w:rPr>
          <w:rFonts w:asciiTheme="minorHAnsi" w:hAnsiTheme="minorHAnsi" w:cstheme="minorHAnsi"/>
          <w:sz w:val="18"/>
          <w:szCs w:val="16"/>
        </w:rPr>
        <w:t>oph</w:t>
      </w:r>
      <w:r w:rsidR="00C43C7E">
        <w:rPr>
          <w:rFonts w:asciiTheme="minorHAnsi" w:hAnsiTheme="minorHAnsi" w:cstheme="minorHAnsi"/>
          <w:sz w:val="18"/>
          <w:szCs w:val="16"/>
        </w:rPr>
        <w:t>ævelse</w:t>
      </w:r>
      <w:r w:rsidRPr="00595546">
        <w:rPr>
          <w:rFonts w:asciiTheme="minorHAnsi" w:hAnsiTheme="minorHAnsi" w:cstheme="minorHAnsi"/>
          <w:sz w:val="18"/>
          <w:szCs w:val="16"/>
        </w:rPr>
        <w:t xml:space="preserve"> skriftligt har underrettet den part, der påstås at have misligholdt aftalen, om de forhold, der udgør misligholdelsen, umiddelbart efter at være blevet opmærksom på misligholdelsen, og (y) at den part, der påstås at have mislighold</w:t>
      </w:r>
      <w:r w:rsidR="00C74CC5">
        <w:rPr>
          <w:rFonts w:asciiTheme="minorHAnsi" w:hAnsiTheme="minorHAnsi" w:cstheme="minorHAnsi"/>
          <w:sz w:val="18"/>
          <w:szCs w:val="16"/>
        </w:rPr>
        <w:t>t</w:t>
      </w:r>
      <w:r w:rsidRPr="00595546">
        <w:rPr>
          <w:rFonts w:asciiTheme="minorHAnsi" w:hAnsiTheme="minorHAnsi" w:cstheme="minorHAnsi"/>
          <w:sz w:val="18"/>
          <w:szCs w:val="16"/>
        </w:rPr>
        <w:t xml:space="preserve">, har haft mulighed for at svare på, bestride og, hvis muligt, afhjælpe den påståede misligholdelse i en periode på mindst ti </w:t>
      </w:r>
      <w:r w:rsidR="00997307" w:rsidRPr="00595546">
        <w:rPr>
          <w:rFonts w:asciiTheme="minorHAnsi" w:hAnsiTheme="minorHAnsi" w:cstheme="minorHAnsi"/>
          <w:sz w:val="18"/>
          <w:szCs w:val="16"/>
        </w:rPr>
        <w:t xml:space="preserve">(10) </w:t>
      </w:r>
      <w:r w:rsidR="00AA204C" w:rsidRPr="00595546">
        <w:rPr>
          <w:rFonts w:asciiTheme="minorHAnsi" w:hAnsiTheme="minorHAnsi" w:cstheme="minorHAnsi"/>
          <w:sz w:val="18"/>
          <w:szCs w:val="16"/>
        </w:rPr>
        <w:t xml:space="preserve">hverdage; </w:t>
      </w:r>
      <w:r w:rsidRPr="00595546">
        <w:rPr>
          <w:rFonts w:asciiTheme="minorHAnsi" w:hAnsiTheme="minorHAnsi" w:cstheme="minorHAnsi"/>
          <w:sz w:val="18"/>
          <w:szCs w:val="16"/>
        </w:rPr>
        <w:t xml:space="preserve">eller </w:t>
      </w:r>
    </w:p>
    <w:p w14:paraId="349C4245" w14:textId="5CB2B7F5" w:rsidR="00624173" w:rsidRPr="00595546" w:rsidRDefault="00624173" w:rsidP="00A05058">
      <w:pPr>
        <w:pStyle w:val="NormalIndent"/>
        <w:ind w:left="1571"/>
        <w:jc w:val="both"/>
      </w:pPr>
    </w:p>
    <w:p w14:paraId="2EBFD623" w14:textId="64AF1842" w:rsidR="009B30D3" w:rsidRPr="00595546" w:rsidRDefault="009B30D3" w:rsidP="00F96D13">
      <w:pPr>
        <w:pStyle w:val="Opstillingmedi"/>
        <w:numPr>
          <w:ilvl w:val="0"/>
          <w:numId w:val="26"/>
        </w:numPr>
        <w:rPr>
          <w:rFonts w:asciiTheme="minorHAnsi" w:hAnsiTheme="minorHAnsi" w:cstheme="minorHAnsi"/>
          <w:sz w:val="18"/>
          <w:szCs w:val="16"/>
        </w:rPr>
      </w:pPr>
      <w:r w:rsidRPr="00595546">
        <w:rPr>
          <w:rFonts w:asciiTheme="minorHAnsi" w:hAnsiTheme="minorHAnsi" w:cstheme="minorHAnsi"/>
          <w:sz w:val="18"/>
          <w:szCs w:val="16"/>
        </w:rPr>
        <w:t xml:space="preserve">af Selskabet, hvis (a) </w:t>
      </w:r>
      <w:r w:rsidR="00DB44D5" w:rsidRPr="00595546">
        <w:rPr>
          <w:rFonts w:asciiTheme="minorHAnsi" w:hAnsiTheme="minorHAnsi" w:cstheme="minorHAnsi"/>
          <w:sz w:val="18"/>
          <w:szCs w:val="16"/>
        </w:rPr>
        <w:t>Tilbudsgiver</w:t>
      </w:r>
      <w:r w:rsidRPr="00595546">
        <w:rPr>
          <w:rFonts w:asciiTheme="minorHAnsi" w:hAnsiTheme="minorHAnsi" w:cstheme="minorHAnsi"/>
          <w:sz w:val="18"/>
          <w:szCs w:val="16"/>
        </w:rPr>
        <w:t xml:space="preserve"> ikke inden for </w:t>
      </w:r>
      <w:r w:rsidR="00997307" w:rsidRPr="00595546">
        <w:rPr>
          <w:rFonts w:asciiTheme="minorHAnsi" w:hAnsiTheme="minorHAnsi" w:cstheme="minorHAnsi"/>
          <w:sz w:val="18"/>
          <w:szCs w:val="16"/>
        </w:rPr>
        <w:t>fire (</w:t>
      </w:r>
      <w:r w:rsidR="00D23DF9" w:rsidRPr="00595546">
        <w:rPr>
          <w:rFonts w:asciiTheme="minorHAnsi" w:hAnsiTheme="minorHAnsi" w:cstheme="minorHAnsi"/>
          <w:sz w:val="18"/>
          <w:szCs w:val="16"/>
        </w:rPr>
        <w:t>4</w:t>
      </w:r>
      <w:r w:rsidR="00997307" w:rsidRPr="00595546">
        <w:rPr>
          <w:rFonts w:asciiTheme="minorHAnsi" w:hAnsiTheme="minorHAnsi" w:cstheme="minorHAnsi"/>
          <w:sz w:val="18"/>
          <w:szCs w:val="16"/>
        </w:rPr>
        <w:t xml:space="preserve">) </w:t>
      </w:r>
      <w:r w:rsidR="00AA204C" w:rsidRPr="00595546">
        <w:rPr>
          <w:rFonts w:asciiTheme="minorHAnsi" w:hAnsiTheme="minorHAnsi" w:cstheme="minorHAnsi"/>
          <w:sz w:val="18"/>
          <w:szCs w:val="16"/>
        </w:rPr>
        <w:t xml:space="preserve">hverdage </w:t>
      </w:r>
      <w:r w:rsidRPr="00595546">
        <w:rPr>
          <w:rFonts w:asciiTheme="minorHAnsi" w:hAnsiTheme="minorHAnsi" w:cstheme="minorHAnsi"/>
          <w:sz w:val="18"/>
          <w:szCs w:val="16"/>
        </w:rPr>
        <w:t xml:space="preserve">efter udløbet af Tilbudsperioden har offentliggjort, at Tilbuddet vil blive </w:t>
      </w:r>
      <w:r w:rsidR="00B64529">
        <w:rPr>
          <w:rFonts w:asciiTheme="minorHAnsi" w:hAnsiTheme="minorHAnsi" w:cstheme="minorHAnsi"/>
          <w:sz w:val="18"/>
          <w:szCs w:val="16"/>
        </w:rPr>
        <w:t>G</w:t>
      </w:r>
      <w:r w:rsidRPr="00595546">
        <w:rPr>
          <w:rFonts w:asciiTheme="minorHAnsi" w:hAnsiTheme="minorHAnsi" w:cstheme="minorHAnsi"/>
          <w:sz w:val="18"/>
          <w:szCs w:val="16"/>
        </w:rPr>
        <w:t xml:space="preserve">ennemført, eller (b) </w:t>
      </w:r>
      <w:r w:rsidR="00DB44D5" w:rsidRPr="00595546">
        <w:rPr>
          <w:rFonts w:asciiTheme="minorHAnsi" w:hAnsiTheme="minorHAnsi" w:cstheme="minorHAnsi"/>
          <w:sz w:val="18"/>
          <w:szCs w:val="16"/>
        </w:rPr>
        <w:t>Tilbudsgiver</w:t>
      </w:r>
      <w:r w:rsidRPr="00595546">
        <w:rPr>
          <w:rFonts w:asciiTheme="minorHAnsi" w:hAnsiTheme="minorHAnsi" w:cstheme="minorHAnsi"/>
          <w:sz w:val="18"/>
          <w:szCs w:val="16"/>
        </w:rPr>
        <w:t xml:space="preserve"> </w:t>
      </w:r>
      <w:r w:rsidR="00611720">
        <w:rPr>
          <w:rFonts w:asciiTheme="minorHAnsi" w:hAnsiTheme="minorHAnsi" w:cstheme="minorHAnsi"/>
          <w:sz w:val="18"/>
          <w:szCs w:val="16"/>
        </w:rPr>
        <w:t>misligholder</w:t>
      </w:r>
      <w:r w:rsidRPr="00595546">
        <w:rPr>
          <w:rFonts w:asciiTheme="minorHAnsi" w:hAnsiTheme="minorHAnsi" w:cstheme="minorHAnsi"/>
          <w:sz w:val="18"/>
          <w:szCs w:val="16"/>
        </w:rPr>
        <w:t xml:space="preserve"> sin forpligtelse til at foretage betaling for at afvikle Tilbuddet i overensstemmelse med Tilbudsdokumentet.</w:t>
      </w:r>
    </w:p>
    <w:p w14:paraId="381FD7AB" w14:textId="77777777" w:rsidR="00624173" w:rsidRPr="00595546" w:rsidRDefault="00624173" w:rsidP="00A05058">
      <w:pPr>
        <w:pStyle w:val="NormalIndent"/>
        <w:jc w:val="both"/>
        <w:rPr>
          <w:highlight w:val="yellow"/>
        </w:rPr>
      </w:pPr>
    </w:p>
    <w:p w14:paraId="296F37F5" w14:textId="48FFFEF5" w:rsidR="00624173" w:rsidRPr="00595546" w:rsidRDefault="00DB44D5" w:rsidP="00991CA6">
      <w:pPr>
        <w:pStyle w:val="NormalIndent"/>
        <w:jc w:val="both"/>
      </w:pPr>
      <w:r w:rsidRPr="00595546">
        <w:t>Offentliggørelsesaftalen</w:t>
      </w:r>
      <w:r w:rsidR="00991CA6" w:rsidRPr="00595546">
        <w:t xml:space="preserve"> ophører automatisk med øjeblikkelig virkning på </w:t>
      </w:r>
      <w:r w:rsidR="009D7CE2">
        <w:t xml:space="preserve">den </w:t>
      </w:r>
      <w:r w:rsidR="00991CA6" w:rsidRPr="00595546">
        <w:t xml:space="preserve">dato, der falder </w:t>
      </w:r>
      <w:r w:rsidR="00997307" w:rsidRPr="00595546">
        <w:t>fem (</w:t>
      </w:r>
      <w:r w:rsidR="009B32DF" w:rsidRPr="00595546">
        <w:t>5</w:t>
      </w:r>
      <w:r w:rsidR="00997307" w:rsidRPr="00595546">
        <w:t xml:space="preserve">) </w:t>
      </w:r>
      <w:r w:rsidR="00991CA6" w:rsidRPr="00595546">
        <w:t xml:space="preserve">hverdage </w:t>
      </w:r>
      <w:r w:rsidR="002C5F76" w:rsidRPr="00595546">
        <w:t xml:space="preserve">efter </w:t>
      </w:r>
      <w:r w:rsidR="007A1E64" w:rsidRPr="00595546">
        <w:t xml:space="preserve">datoen, der falder ni (9) måneder efter datoen for offentliggørelsen af </w:t>
      </w:r>
      <w:r w:rsidRPr="00595546">
        <w:t xml:space="preserve">Tilbudsdokumentet </w:t>
      </w:r>
      <w:r w:rsidR="00991CA6" w:rsidRPr="00595546">
        <w:t>(</w:t>
      </w:r>
      <w:r w:rsidR="003C4D4F" w:rsidRPr="003C4D4F">
        <w:rPr>
          <w:b/>
          <w:bCs/>
        </w:rPr>
        <w:t>Long Stop Datoen</w:t>
      </w:r>
      <w:r w:rsidR="00991CA6" w:rsidRPr="00595546">
        <w:t xml:space="preserve">), forudsat at </w:t>
      </w:r>
      <w:r w:rsidRPr="00595546">
        <w:t>Tilbudsgiver</w:t>
      </w:r>
      <w:r w:rsidR="00991CA6" w:rsidRPr="00595546">
        <w:t xml:space="preserve"> ikke inden da har offentliggjort en meddelelse </w:t>
      </w:r>
      <w:r w:rsidR="00B57AD9">
        <w:t>om</w:t>
      </w:r>
      <w:r w:rsidR="00991CA6" w:rsidRPr="00595546">
        <w:t xml:space="preserve"> de</w:t>
      </w:r>
      <w:r w:rsidR="00CB5E58">
        <w:t>t</w:t>
      </w:r>
      <w:r w:rsidR="00991CA6" w:rsidRPr="00595546">
        <w:t xml:space="preserve"> </w:t>
      </w:r>
      <w:r w:rsidR="00A50249">
        <w:t>e</w:t>
      </w:r>
      <w:r w:rsidR="00991CA6" w:rsidRPr="00595546">
        <w:t>ndelig</w:t>
      </w:r>
      <w:r w:rsidR="00A50249">
        <w:t>e</w:t>
      </w:r>
      <w:r w:rsidR="00991CA6" w:rsidRPr="00595546">
        <w:t xml:space="preserve"> </w:t>
      </w:r>
      <w:r w:rsidR="00A50249">
        <w:t>r</w:t>
      </w:r>
      <w:r w:rsidR="00991CA6" w:rsidRPr="00595546">
        <w:t xml:space="preserve">esultat af </w:t>
      </w:r>
      <w:r w:rsidRPr="00595546">
        <w:t>Tilbuddet</w:t>
      </w:r>
      <w:r w:rsidR="00991CA6" w:rsidRPr="00595546">
        <w:t xml:space="preserve">, der angiver, at </w:t>
      </w:r>
      <w:r w:rsidR="00595546" w:rsidRPr="00595546">
        <w:t xml:space="preserve">Betingelserne </w:t>
      </w:r>
      <w:r w:rsidR="00991CA6" w:rsidRPr="00595546">
        <w:t xml:space="preserve">er </w:t>
      </w:r>
      <w:r w:rsidR="00442BC8">
        <w:t xml:space="preserve">blevet </w:t>
      </w:r>
      <w:r w:rsidR="00991CA6" w:rsidRPr="00595546">
        <w:t xml:space="preserve">opfyldt eller, i det omfang det er tilladt, </w:t>
      </w:r>
      <w:r w:rsidR="00595546" w:rsidRPr="00595546">
        <w:t>frafaldet</w:t>
      </w:r>
      <w:r w:rsidR="00991CA6" w:rsidRPr="00595546">
        <w:t xml:space="preserve">, og at </w:t>
      </w:r>
      <w:r w:rsidRPr="00595546">
        <w:t xml:space="preserve">Tilbuddet </w:t>
      </w:r>
      <w:r w:rsidR="003A08C0">
        <w:t>G</w:t>
      </w:r>
      <w:r w:rsidR="00991CA6" w:rsidRPr="00595546">
        <w:t>ennemfør</w:t>
      </w:r>
      <w:r w:rsidR="003A08C0">
        <w:t>es</w:t>
      </w:r>
      <w:r w:rsidR="00991CA6" w:rsidRPr="00595546">
        <w:t>.</w:t>
      </w:r>
    </w:p>
    <w:p w14:paraId="18B6BC30" w14:textId="77777777" w:rsidR="00991CA6" w:rsidRPr="00595546" w:rsidRDefault="00991CA6" w:rsidP="00991CA6">
      <w:pPr>
        <w:pStyle w:val="NormalIndent"/>
        <w:ind w:left="0"/>
        <w:jc w:val="both"/>
        <w:rPr>
          <w:highlight w:val="yellow"/>
        </w:rPr>
      </w:pPr>
    </w:p>
    <w:p w14:paraId="2AC2682E" w14:textId="034EB513" w:rsidR="00624173" w:rsidRPr="00595546" w:rsidRDefault="00DB44D5" w:rsidP="00A05058">
      <w:pPr>
        <w:pStyle w:val="NormalIndent"/>
        <w:jc w:val="both"/>
        <w:rPr>
          <w:rFonts w:asciiTheme="minorHAnsi" w:hAnsiTheme="minorHAnsi" w:cstheme="minorHAnsi"/>
        </w:rPr>
      </w:pPr>
      <w:r w:rsidRPr="00595546">
        <w:rPr>
          <w:rFonts w:asciiTheme="minorHAnsi" w:hAnsiTheme="minorHAnsi" w:cstheme="minorHAnsi"/>
        </w:rPr>
        <w:t>Offentliggørelsesaftalen</w:t>
      </w:r>
      <w:r w:rsidR="00624173" w:rsidRPr="00595546">
        <w:rPr>
          <w:rFonts w:asciiTheme="minorHAnsi" w:hAnsiTheme="minorHAnsi" w:cstheme="minorHAnsi"/>
        </w:rPr>
        <w:t xml:space="preserve"> fastsætter, at med undtagelse af eventuelle omkostninger, som </w:t>
      </w:r>
      <w:r w:rsidRPr="00595546">
        <w:rPr>
          <w:rFonts w:asciiTheme="minorHAnsi" w:hAnsiTheme="minorHAnsi" w:cstheme="minorHAnsi"/>
        </w:rPr>
        <w:t xml:space="preserve">Selskabet </w:t>
      </w:r>
      <w:r w:rsidR="00624173" w:rsidRPr="00595546">
        <w:rPr>
          <w:rFonts w:asciiTheme="minorHAnsi" w:hAnsiTheme="minorHAnsi" w:cstheme="minorHAnsi"/>
        </w:rPr>
        <w:t xml:space="preserve">har afholdt </w:t>
      </w:r>
      <w:r w:rsidR="00F66DC5" w:rsidRPr="00595546">
        <w:rPr>
          <w:rFonts w:asciiTheme="minorHAnsi" w:hAnsiTheme="minorHAnsi" w:cstheme="minorHAnsi"/>
        </w:rPr>
        <w:t xml:space="preserve">(i) </w:t>
      </w:r>
      <w:r w:rsidR="00624173" w:rsidRPr="00595546">
        <w:rPr>
          <w:rFonts w:asciiTheme="minorHAnsi" w:hAnsiTheme="minorHAnsi" w:cstheme="minorHAnsi"/>
        </w:rPr>
        <w:t xml:space="preserve">i forbindelse med distributionen af </w:t>
      </w:r>
      <w:r w:rsidRPr="00595546">
        <w:rPr>
          <w:rFonts w:asciiTheme="minorHAnsi" w:hAnsiTheme="minorHAnsi" w:cstheme="minorHAnsi"/>
        </w:rPr>
        <w:t xml:space="preserve">Tilbudsdokumentet </w:t>
      </w:r>
      <w:r w:rsidR="00624173" w:rsidRPr="00595546">
        <w:rPr>
          <w:rFonts w:asciiTheme="minorHAnsi" w:hAnsiTheme="minorHAnsi" w:cstheme="minorHAnsi"/>
        </w:rPr>
        <w:t xml:space="preserve">og andet materiale vedrørende </w:t>
      </w:r>
      <w:r w:rsidRPr="00595546">
        <w:rPr>
          <w:rFonts w:asciiTheme="minorHAnsi" w:hAnsiTheme="minorHAnsi" w:cstheme="minorHAnsi"/>
        </w:rPr>
        <w:t xml:space="preserve">Tilbuddet </w:t>
      </w:r>
      <w:r w:rsidR="00D562C5" w:rsidRPr="00595546">
        <w:rPr>
          <w:rFonts w:asciiTheme="minorHAnsi" w:hAnsiTheme="minorHAnsi" w:cstheme="minorHAnsi"/>
        </w:rPr>
        <w:t xml:space="preserve">og </w:t>
      </w:r>
      <w:r w:rsidR="00F66DC5" w:rsidRPr="00595546">
        <w:rPr>
          <w:rFonts w:asciiTheme="minorHAnsi" w:hAnsiTheme="minorHAnsi" w:cstheme="minorHAnsi"/>
        </w:rPr>
        <w:t xml:space="preserve">(ii) </w:t>
      </w:r>
      <w:r w:rsidR="00417381" w:rsidRPr="00595546">
        <w:rPr>
          <w:rFonts w:asciiTheme="minorHAnsi" w:hAnsiTheme="minorHAnsi" w:cstheme="minorHAnsi"/>
        </w:rPr>
        <w:t xml:space="preserve">i forbindelse med </w:t>
      </w:r>
      <w:r w:rsidRPr="00595546">
        <w:rPr>
          <w:rFonts w:asciiTheme="minorHAnsi" w:hAnsiTheme="minorHAnsi" w:cstheme="minorHAnsi"/>
        </w:rPr>
        <w:t xml:space="preserve">Selskabets </w:t>
      </w:r>
      <w:r w:rsidR="00417381" w:rsidRPr="00595546">
        <w:rPr>
          <w:rFonts w:asciiTheme="minorHAnsi" w:hAnsiTheme="minorHAnsi" w:cstheme="minorHAnsi"/>
        </w:rPr>
        <w:t xml:space="preserve">bistand </w:t>
      </w:r>
      <w:r w:rsidR="00F66DC5" w:rsidRPr="00595546">
        <w:rPr>
          <w:rFonts w:asciiTheme="minorHAnsi" w:hAnsiTheme="minorHAnsi" w:cstheme="minorHAnsi"/>
        </w:rPr>
        <w:t xml:space="preserve">i forbindelse med </w:t>
      </w:r>
      <w:r w:rsidR="00DE2BBE" w:rsidRPr="00595546">
        <w:rPr>
          <w:rFonts w:asciiTheme="minorHAnsi" w:hAnsiTheme="minorHAnsi" w:cstheme="minorHAnsi"/>
        </w:rPr>
        <w:t xml:space="preserve">tilbagebetaling og ophør og/eller fortsættelse af </w:t>
      </w:r>
      <w:r w:rsidRPr="00595546">
        <w:rPr>
          <w:rFonts w:asciiTheme="minorHAnsi" w:hAnsiTheme="minorHAnsi" w:cstheme="minorHAnsi"/>
        </w:rPr>
        <w:t xml:space="preserve">Selskabets </w:t>
      </w:r>
      <w:r w:rsidR="00F66DC5" w:rsidRPr="00595546">
        <w:rPr>
          <w:rFonts w:asciiTheme="minorHAnsi" w:hAnsiTheme="minorHAnsi" w:cstheme="minorHAnsi"/>
        </w:rPr>
        <w:t xml:space="preserve">eksisterende finansiering og </w:t>
      </w:r>
      <w:r w:rsidR="00885A7E" w:rsidRPr="00595546">
        <w:rPr>
          <w:rFonts w:asciiTheme="minorHAnsi" w:hAnsiTheme="minorHAnsi" w:cstheme="minorHAnsi"/>
        </w:rPr>
        <w:t xml:space="preserve">i forbindelse med </w:t>
      </w:r>
      <w:r w:rsidR="00B31CBB" w:rsidRPr="00595546">
        <w:rPr>
          <w:rFonts w:asciiTheme="minorHAnsi" w:hAnsiTheme="minorHAnsi" w:cstheme="minorHAnsi"/>
        </w:rPr>
        <w:t>enhver finansiering</w:t>
      </w:r>
      <w:r w:rsidR="00624173" w:rsidRPr="00595546">
        <w:rPr>
          <w:rFonts w:asciiTheme="minorHAnsi" w:hAnsiTheme="minorHAnsi" w:cstheme="minorHAnsi"/>
        </w:rPr>
        <w:t>,</w:t>
      </w:r>
      <w:r w:rsidR="00B31CBB" w:rsidRPr="00595546">
        <w:rPr>
          <w:rFonts w:asciiTheme="minorHAnsi" w:hAnsiTheme="minorHAnsi" w:cstheme="minorHAnsi"/>
        </w:rPr>
        <w:t xml:space="preserve"> der gennemføres af </w:t>
      </w:r>
      <w:r w:rsidRPr="00595546">
        <w:rPr>
          <w:rFonts w:asciiTheme="minorHAnsi" w:hAnsiTheme="minorHAnsi" w:cstheme="minorHAnsi"/>
        </w:rPr>
        <w:t>Tilbudsgiver</w:t>
      </w:r>
      <w:r w:rsidR="00624173" w:rsidRPr="00595546">
        <w:rPr>
          <w:rFonts w:asciiTheme="minorHAnsi" w:hAnsiTheme="minorHAnsi" w:cstheme="minorHAnsi"/>
        </w:rPr>
        <w:t xml:space="preserve">, skal hver part afholde og betale sine egne omkostninger og udgifter i forbindelse med indgåelsen og </w:t>
      </w:r>
      <w:r w:rsidR="00595546" w:rsidRPr="00595546">
        <w:rPr>
          <w:rFonts w:asciiTheme="minorHAnsi" w:hAnsiTheme="minorHAnsi" w:cstheme="minorHAnsi"/>
        </w:rPr>
        <w:t>Gennemførelsen</w:t>
      </w:r>
      <w:r w:rsidR="00624173" w:rsidRPr="00595546">
        <w:rPr>
          <w:rFonts w:asciiTheme="minorHAnsi" w:hAnsiTheme="minorHAnsi" w:cstheme="minorHAnsi"/>
        </w:rPr>
        <w:t xml:space="preserve"> af de transaktioner (herunder </w:t>
      </w:r>
      <w:r w:rsidRPr="00595546">
        <w:rPr>
          <w:rFonts w:asciiTheme="minorHAnsi" w:hAnsiTheme="minorHAnsi" w:cstheme="minorHAnsi"/>
        </w:rPr>
        <w:t>Tilbuddet</w:t>
      </w:r>
      <w:r w:rsidR="00624173" w:rsidRPr="00595546">
        <w:rPr>
          <w:rFonts w:asciiTheme="minorHAnsi" w:hAnsiTheme="minorHAnsi" w:cstheme="minorHAnsi"/>
        </w:rPr>
        <w:t xml:space="preserve">), der er omfattet af </w:t>
      </w:r>
      <w:r w:rsidRPr="00595546">
        <w:rPr>
          <w:rFonts w:asciiTheme="minorHAnsi" w:hAnsiTheme="minorHAnsi" w:cstheme="minorHAnsi"/>
        </w:rPr>
        <w:t>Offentliggørelsesaftalen</w:t>
      </w:r>
      <w:r w:rsidR="00624173" w:rsidRPr="00595546">
        <w:rPr>
          <w:rFonts w:asciiTheme="minorHAnsi" w:hAnsiTheme="minorHAnsi" w:cstheme="minorHAnsi"/>
        </w:rPr>
        <w:t xml:space="preserve">. </w:t>
      </w:r>
    </w:p>
    <w:p w14:paraId="7F236CB2" w14:textId="77777777" w:rsidR="00624173" w:rsidRPr="00595546" w:rsidRDefault="00624173" w:rsidP="00A05058">
      <w:pPr>
        <w:pStyle w:val="NormalIndent"/>
        <w:jc w:val="both"/>
        <w:rPr>
          <w:rFonts w:asciiTheme="minorHAnsi" w:hAnsiTheme="minorHAnsi" w:cstheme="minorHAnsi"/>
          <w:highlight w:val="yellow"/>
        </w:rPr>
      </w:pPr>
    </w:p>
    <w:p w14:paraId="235ECE46" w14:textId="676A5340" w:rsidR="00624173" w:rsidRPr="00595546" w:rsidRDefault="00DB44D5" w:rsidP="00A05058">
      <w:pPr>
        <w:ind w:left="851"/>
        <w:jc w:val="both"/>
        <w:rPr>
          <w:rFonts w:asciiTheme="minorHAnsi" w:hAnsiTheme="minorHAnsi" w:cstheme="minorHAnsi"/>
        </w:rPr>
      </w:pPr>
      <w:r w:rsidRPr="00595546">
        <w:rPr>
          <w:rFonts w:asciiTheme="minorHAnsi" w:hAnsiTheme="minorHAnsi" w:cstheme="minorHAnsi"/>
        </w:rPr>
        <w:t>Offentliggørelsesaftalen</w:t>
      </w:r>
      <w:r w:rsidR="00624173" w:rsidRPr="00595546">
        <w:rPr>
          <w:rFonts w:asciiTheme="minorHAnsi" w:hAnsiTheme="minorHAnsi" w:cstheme="minorHAnsi"/>
        </w:rPr>
        <w:t xml:space="preserve"> er underlagt dansk ret</w:t>
      </w:r>
      <w:r w:rsidR="00360EA7" w:rsidRPr="00360EA7">
        <w:rPr>
          <w:rFonts w:asciiTheme="minorHAnsi" w:hAnsiTheme="minorHAnsi" w:cstheme="minorHAnsi"/>
        </w:rPr>
        <w:t xml:space="preserve"> bortset fra sådanne regler, som måtte føre til anvendelsen af retsreglerne i en anden jurisdiktion.</w:t>
      </w:r>
    </w:p>
    <w:p w14:paraId="542BC86D" w14:textId="77777777" w:rsidR="00C23D0B" w:rsidRPr="00595546" w:rsidRDefault="00C23D0B" w:rsidP="00A05058">
      <w:pPr>
        <w:pStyle w:val="NormalIndent"/>
        <w:ind w:left="0"/>
        <w:jc w:val="both"/>
        <w:rPr>
          <w:lang w:bidi="en-GB"/>
        </w:rPr>
      </w:pPr>
    </w:p>
    <w:p w14:paraId="2300C16A" w14:textId="77777777" w:rsidR="00F5133F" w:rsidRPr="00595546" w:rsidRDefault="00F5133F" w:rsidP="00A05058">
      <w:pPr>
        <w:pStyle w:val="NormalIndent"/>
        <w:ind w:left="0"/>
        <w:jc w:val="both"/>
        <w:rPr>
          <w:lang w:bidi="en-GB"/>
        </w:rPr>
      </w:pPr>
    </w:p>
    <w:p w14:paraId="1C5E304A" w14:textId="77777777" w:rsidR="00DC53D0" w:rsidRPr="00595546" w:rsidRDefault="00DC53D0">
      <w:pPr>
        <w:spacing w:after="160" w:line="259" w:lineRule="auto"/>
        <w:rPr>
          <w:rFonts w:asciiTheme="majorHAnsi" w:eastAsiaTheme="majorEastAsia" w:hAnsiTheme="majorHAnsi" w:cstheme="majorBidi"/>
          <w:b/>
          <w:caps/>
          <w:spacing w:val="5"/>
          <w:szCs w:val="32"/>
          <w:lang w:bidi="en-GB"/>
        </w:rPr>
      </w:pPr>
      <w:bookmarkStart w:id="68" w:name="_Ref205898127"/>
      <w:r w:rsidRPr="00595546">
        <w:rPr>
          <w:lang w:bidi="en-GB"/>
        </w:rPr>
        <w:br w:type="page"/>
      </w:r>
    </w:p>
    <w:p w14:paraId="764AED50" w14:textId="1FB9221B" w:rsidR="00C23D0B" w:rsidRPr="00595546" w:rsidRDefault="00C409D1" w:rsidP="00664093">
      <w:pPr>
        <w:pStyle w:val="Heading1"/>
        <w:jc w:val="both"/>
        <w:rPr>
          <w:lang w:bidi="en-GB"/>
        </w:rPr>
      </w:pPr>
      <w:bookmarkStart w:id="69" w:name="_Ref206831235"/>
      <w:bookmarkStart w:id="70" w:name="_Toc218590514"/>
      <w:r w:rsidRPr="00595546">
        <w:rPr>
          <w:lang w:bidi="en-GB"/>
        </w:rPr>
        <w:lastRenderedPageBreak/>
        <w:t>Begivenheder og proces, der førte til tilbuddet</w:t>
      </w:r>
      <w:bookmarkEnd w:id="61"/>
      <w:bookmarkEnd w:id="68"/>
      <w:bookmarkEnd w:id="69"/>
      <w:bookmarkEnd w:id="70"/>
    </w:p>
    <w:p w14:paraId="11F774B7" w14:textId="63ED596B" w:rsidR="003E0632" w:rsidRPr="00595546" w:rsidRDefault="003E0632" w:rsidP="003E0632">
      <w:pPr>
        <w:pStyle w:val="DSBodyTextIndent1"/>
        <w:jc w:val="both"/>
      </w:pPr>
      <w:bookmarkStart w:id="71" w:name="_Ref507507098"/>
      <w:r w:rsidRPr="00595546">
        <w:t xml:space="preserve">I marts 2025 blev Selskabet uformelt kontaktet af en tredjepart, der udtrykte interesse for </w:t>
      </w:r>
      <w:r w:rsidR="004B7DA7" w:rsidRPr="00595546">
        <w:t xml:space="preserve">en transaktion vedrørende </w:t>
      </w:r>
      <w:r w:rsidR="00704265" w:rsidRPr="00595546">
        <w:t>Selskabet</w:t>
      </w:r>
      <w:r w:rsidRPr="00595546">
        <w:t xml:space="preserve">. Som følge af denne henvendelse engagerede Bestyrelsen Guggenheim som finansiel rådgiver, Krogerus </w:t>
      </w:r>
      <w:r w:rsidR="005E4315" w:rsidRPr="00595546">
        <w:t xml:space="preserve">som international juridisk rådgiver </w:t>
      </w:r>
      <w:r w:rsidRPr="00595546">
        <w:t xml:space="preserve">og Kromann Reumert som </w:t>
      </w:r>
      <w:r w:rsidR="005E4315" w:rsidRPr="00595546">
        <w:t xml:space="preserve">dansk </w:t>
      </w:r>
      <w:r w:rsidRPr="00595546">
        <w:t xml:space="preserve">juridisk rådgiver til at bistå Bestyrelsen med </w:t>
      </w:r>
      <w:r w:rsidR="00160D82">
        <w:t xml:space="preserve">at </w:t>
      </w:r>
      <w:r w:rsidRPr="00595546">
        <w:t>vurder</w:t>
      </w:r>
      <w:r w:rsidR="00160D82">
        <w:t>e</w:t>
      </w:r>
      <w:r w:rsidRPr="00595546">
        <w:t xml:space="preserve"> denne uopfordrede henvendelse. </w:t>
      </w:r>
    </w:p>
    <w:p w14:paraId="0A085C20" w14:textId="77777777" w:rsidR="003E0632" w:rsidRPr="00595546" w:rsidRDefault="003E0632" w:rsidP="003E0632">
      <w:pPr>
        <w:pStyle w:val="DSBodyTextIndent1"/>
        <w:jc w:val="both"/>
      </w:pPr>
    </w:p>
    <w:p w14:paraId="446F89A2" w14:textId="77A8919A" w:rsidR="003E0632" w:rsidRPr="00595546" w:rsidRDefault="003E0632" w:rsidP="003E0632">
      <w:pPr>
        <w:pStyle w:val="DSBodyTextIndent1"/>
        <w:jc w:val="both"/>
      </w:pPr>
      <w:r w:rsidRPr="00595546">
        <w:t xml:space="preserve">Siden den første uopfordrede henvendelse fra </w:t>
      </w:r>
      <w:r w:rsidR="00705B11">
        <w:t xml:space="preserve">en </w:t>
      </w:r>
      <w:r w:rsidRPr="00595546">
        <w:t xml:space="preserve">tredjepart anså </w:t>
      </w:r>
      <w:r w:rsidR="00595546" w:rsidRPr="00595546">
        <w:t>Bestyrelsen</w:t>
      </w:r>
      <w:r w:rsidRPr="00595546">
        <w:t xml:space="preserve"> det for sin pligt at handle i </w:t>
      </w:r>
      <w:r w:rsidR="00DB44D5" w:rsidRPr="00595546">
        <w:t xml:space="preserve">Selskabets </w:t>
      </w:r>
      <w:r w:rsidRPr="00595546">
        <w:t xml:space="preserve">og dets </w:t>
      </w:r>
      <w:r w:rsidR="00DB44D5" w:rsidRPr="00595546">
        <w:t xml:space="preserve">Aktionærers </w:t>
      </w:r>
      <w:r w:rsidRPr="00595546">
        <w:t xml:space="preserve">bedste interesse og vurdere, om en sådan henvendelse eller interesse fra en anden part kunne føre til et offentligt overtagelsestilbud, som, hvis det blev accepteret af </w:t>
      </w:r>
      <w:r w:rsidR="00DB44D5" w:rsidRPr="00595546">
        <w:t>Aktionærerne</w:t>
      </w:r>
      <w:r w:rsidRPr="00595546">
        <w:t xml:space="preserve">, ville give </w:t>
      </w:r>
      <w:r w:rsidR="00DB44D5" w:rsidRPr="00595546">
        <w:t xml:space="preserve">Aktionærerne </w:t>
      </w:r>
      <w:r w:rsidR="00BD6969">
        <w:t xml:space="preserve">større </w:t>
      </w:r>
      <w:r w:rsidRPr="00595546">
        <w:t xml:space="preserve">værdi og være i </w:t>
      </w:r>
      <w:r w:rsidR="00DB44D5" w:rsidRPr="00595546">
        <w:t xml:space="preserve">Selskabets </w:t>
      </w:r>
      <w:r w:rsidRPr="00595546">
        <w:t xml:space="preserve">og </w:t>
      </w:r>
      <w:r w:rsidR="00DB44D5" w:rsidRPr="00595546">
        <w:t>Aktionærer</w:t>
      </w:r>
      <w:r w:rsidR="00BD6969">
        <w:t>ne</w:t>
      </w:r>
      <w:r w:rsidR="00DB44D5" w:rsidRPr="00595546">
        <w:t xml:space="preserve">s </w:t>
      </w:r>
      <w:r w:rsidRPr="00595546">
        <w:t>interesse.</w:t>
      </w:r>
    </w:p>
    <w:p w14:paraId="0EB62E5C" w14:textId="77777777" w:rsidR="003E0632" w:rsidRPr="00595546" w:rsidRDefault="003E0632" w:rsidP="003E0632">
      <w:pPr>
        <w:pStyle w:val="DSBodyTextIndent1"/>
        <w:jc w:val="both"/>
      </w:pPr>
    </w:p>
    <w:p w14:paraId="05FFEFA9" w14:textId="37659634" w:rsidR="003E0632" w:rsidRPr="00595546" w:rsidRDefault="003E0632" w:rsidP="003E0632">
      <w:pPr>
        <w:pStyle w:val="DSBodyTextIndent1"/>
        <w:jc w:val="both"/>
      </w:pPr>
      <w:r w:rsidRPr="00595546">
        <w:t xml:space="preserve">Med dette formål for øje har </w:t>
      </w:r>
      <w:r w:rsidR="00595546" w:rsidRPr="00595546">
        <w:t>Bestyrelsen</w:t>
      </w:r>
      <w:r w:rsidRPr="00595546">
        <w:t xml:space="preserve"> sammen med </w:t>
      </w:r>
      <w:r w:rsidR="00DB44D5" w:rsidRPr="00595546">
        <w:t xml:space="preserve">Selskabets </w:t>
      </w:r>
      <w:r w:rsidRPr="00595546">
        <w:t>rådgivere siden den første henvendelse gennemført en bred konkurrence</w:t>
      </w:r>
      <w:r w:rsidR="00B64529">
        <w:t xml:space="preserve">præget </w:t>
      </w:r>
      <w:r w:rsidRPr="00595546">
        <w:t xml:space="preserve">proces, hvor man aktivt har undersøgt en række strategiske og finansielle parters potentielle interesse i en transaktion vedrørende </w:t>
      </w:r>
      <w:r w:rsidR="00DB44D5" w:rsidRPr="00595546">
        <w:t>Selskabet</w:t>
      </w:r>
      <w:r w:rsidR="003A7F0F" w:rsidRPr="00595546">
        <w:t xml:space="preserve">, bl.a. ved at stille visse oplysninger til rådighed for interesserede parter, så de kunne foretage en sædvanlig gennemgang af </w:t>
      </w:r>
      <w:r w:rsidR="00DB44D5" w:rsidRPr="00595546">
        <w:t>Selskabet</w:t>
      </w:r>
      <w:r w:rsidR="003A7F0F" w:rsidRPr="00595546">
        <w:t xml:space="preserve">. </w:t>
      </w:r>
    </w:p>
    <w:p w14:paraId="4BB86844" w14:textId="77777777" w:rsidR="003E0632" w:rsidRPr="00595546" w:rsidRDefault="003E0632" w:rsidP="003E0632">
      <w:pPr>
        <w:pStyle w:val="DSBodyTextIndent1"/>
        <w:jc w:val="both"/>
      </w:pPr>
    </w:p>
    <w:p w14:paraId="2CA41B41" w14:textId="7986467A" w:rsidR="008A71FE" w:rsidRPr="00595546" w:rsidRDefault="003E0632" w:rsidP="003E0632">
      <w:pPr>
        <w:pStyle w:val="DSBodyTextIndent1"/>
        <w:jc w:val="both"/>
      </w:pPr>
      <w:r w:rsidRPr="00595546">
        <w:t xml:space="preserve">På baggrund af de endelige tilbud indledte </w:t>
      </w:r>
      <w:r w:rsidR="00595546" w:rsidRPr="00595546">
        <w:t>Bestyrelsen</w:t>
      </w:r>
      <w:r w:rsidRPr="00595546">
        <w:t xml:space="preserve"> yderligere forhandlinger med de parter, der havde afgivet et endeligt tilbud. Bestyrelsen, bistået af sine rådgivere, var i stand til at forbedre vilkårene i et af tilbuddene gennem forhandlingsprocessen. På dette tidspunkt blev det besluttet at indlede endelige forhandlinger med </w:t>
      </w:r>
      <w:r w:rsidR="00DB44D5" w:rsidRPr="00595546">
        <w:t>Tilbudsgiver</w:t>
      </w:r>
      <w:r w:rsidRPr="00595546">
        <w:t>.</w:t>
      </w:r>
    </w:p>
    <w:p w14:paraId="2EB64ACE" w14:textId="77777777" w:rsidR="008A71FE" w:rsidRPr="00595546" w:rsidRDefault="008A71FE" w:rsidP="00670232">
      <w:pPr>
        <w:pStyle w:val="DSBodyTextIndent1"/>
        <w:rPr>
          <w:highlight w:val="yellow"/>
        </w:rPr>
      </w:pPr>
    </w:p>
    <w:p w14:paraId="5CA90C11" w14:textId="03A107FC" w:rsidR="008A71FE" w:rsidRPr="00595546" w:rsidRDefault="008A71FE" w:rsidP="008A71FE">
      <w:pPr>
        <w:pStyle w:val="DSBodyTextIndent1"/>
        <w:jc w:val="both"/>
      </w:pPr>
      <w:r w:rsidRPr="00595546">
        <w:t xml:space="preserve">Fra indledningen af denne fase og i perioden frem til offentliggørelsen af </w:t>
      </w:r>
      <w:r w:rsidR="00DB44D5" w:rsidRPr="00595546">
        <w:t xml:space="preserve">Tilbuddet </w:t>
      </w:r>
      <w:r w:rsidRPr="00595546">
        <w:t xml:space="preserve">har parterne grundigt drøftet og forhandlet vilkårene for </w:t>
      </w:r>
      <w:r w:rsidR="00DB44D5" w:rsidRPr="00595546">
        <w:t>Tilbuddet</w:t>
      </w:r>
      <w:r w:rsidRPr="00595546">
        <w:t xml:space="preserve">. I samme periode har parterne desuden udvekslet og forhandlet </w:t>
      </w:r>
      <w:r w:rsidR="00DB44D5" w:rsidRPr="00595546">
        <w:t>Offentliggørelsesaftalen</w:t>
      </w:r>
      <w:r w:rsidRPr="00595546">
        <w:t xml:space="preserve"> og andre dokumenter mellem sig, og parterne og deres rådgivere har analyseret de myndighedsgodkendelser og tilladelser, som </w:t>
      </w:r>
      <w:r w:rsidR="00DB44D5" w:rsidRPr="00595546">
        <w:t>Tilbudsgiver</w:t>
      </w:r>
      <w:r w:rsidRPr="00595546">
        <w:t xml:space="preserve"> skulle indhente for at gennemføre </w:t>
      </w:r>
      <w:r w:rsidR="00DB44D5" w:rsidRPr="00595546">
        <w:t>Tilbuddet</w:t>
      </w:r>
      <w:r w:rsidRPr="00595546">
        <w:t xml:space="preserve">, hvis det blev fremsat. Under disse drøftelser og forhandlinger har det været </w:t>
      </w:r>
      <w:r w:rsidR="00595546" w:rsidRPr="00595546">
        <w:t>Bestyrelsen</w:t>
      </w:r>
      <w:r w:rsidRPr="00595546">
        <w:t xml:space="preserve">s mål at sikre de bedst mulige vilkår for </w:t>
      </w:r>
      <w:r w:rsidR="00DB44D5" w:rsidRPr="00595546">
        <w:t xml:space="preserve">Aktionærerne </w:t>
      </w:r>
      <w:r w:rsidRPr="00595546">
        <w:t>inden for accepterede markedsstandarder.</w:t>
      </w:r>
    </w:p>
    <w:p w14:paraId="5C40D053" w14:textId="77777777" w:rsidR="008A71FE" w:rsidRPr="00595546" w:rsidRDefault="008A71FE" w:rsidP="00670232">
      <w:pPr>
        <w:pStyle w:val="DSBodyTextIndent1"/>
        <w:rPr>
          <w:highlight w:val="yellow"/>
        </w:rPr>
      </w:pPr>
    </w:p>
    <w:p w14:paraId="31A8727E" w14:textId="5E336E22" w:rsidR="003A7F0F" w:rsidRPr="00595546" w:rsidRDefault="008A71FE" w:rsidP="008A71FE">
      <w:pPr>
        <w:pStyle w:val="DSBodyTextIndent1"/>
        <w:jc w:val="both"/>
      </w:pPr>
      <w:r w:rsidRPr="00595546">
        <w:t xml:space="preserve">Efter disse drøftelser og forhandlinger med </w:t>
      </w:r>
      <w:r w:rsidR="00DB44D5" w:rsidRPr="00595546">
        <w:t>Tilbudsgiver</w:t>
      </w:r>
      <w:r w:rsidR="00612057" w:rsidRPr="00595546">
        <w:t xml:space="preserve"> </w:t>
      </w:r>
      <w:r w:rsidRPr="00595546">
        <w:t xml:space="preserve">besluttede </w:t>
      </w:r>
      <w:r w:rsidR="00595546" w:rsidRPr="00595546">
        <w:t>Bestyrelsen</w:t>
      </w:r>
      <w:r w:rsidRPr="00595546">
        <w:t xml:space="preserve"> at anbefale </w:t>
      </w:r>
      <w:r w:rsidR="00DB44D5" w:rsidRPr="00595546">
        <w:t>Tilbuddet</w:t>
      </w:r>
      <w:r w:rsidRPr="00595546">
        <w:t xml:space="preserve">, når det blev fremsat. Ved denne beslutning tog </w:t>
      </w:r>
      <w:r w:rsidR="00595546" w:rsidRPr="00595546">
        <w:t>Bestyrelsen</w:t>
      </w:r>
      <w:r w:rsidRPr="00595546">
        <w:t xml:space="preserve"> hensyn til både de finansielle og andre vilkår, der blev foreslået </w:t>
      </w:r>
      <w:r w:rsidR="003A5533">
        <w:t>i</w:t>
      </w:r>
      <w:r w:rsidRPr="00595546">
        <w:t xml:space="preserve"> </w:t>
      </w:r>
      <w:r w:rsidR="00DB44D5" w:rsidRPr="00595546">
        <w:t>Tilbuddet</w:t>
      </w:r>
      <w:r w:rsidRPr="00595546">
        <w:t xml:space="preserve">. </w:t>
      </w:r>
    </w:p>
    <w:p w14:paraId="126E6E7F" w14:textId="77777777" w:rsidR="003A7F0F" w:rsidRPr="00595546" w:rsidRDefault="003A7F0F" w:rsidP="008A71FE">
      <w:pPr>
        <w:pStyle w:val="DSBodyTextIndent1"/>
        <w:jc w:val="both"/>
      </w:pPr>
    </w:p>
    <w:p w14:paraId="23CE14DA" w14:textId="18E6C6C5" w:rsidR="003A7F0F" w:rsidRPr="00595546" w:rsidRDefault="008A71FE" w:rsidP="008A71FE">
      <w:pPr>
        <w:pStyle w:val="DSBodyTextIndent1"/>
        <w:jc w:val="both"/>
      </w:pPr>
      <w:r w:rsidRPr="00595546">
        <w:rPr>
          <w:bCs/>
          <w:iCs/>
        </w:rPr>
        <w:t>Den</w:t>
      </w:r>
      <w:r w:rsidR="0041259C" w:rsidRPr="00595546">
        <w:t xml:space="preserve"> 11. december 2025</w:t>
      </w:r>
      <w:r w:rsidRPr="00595546">
        <w:rPr>
          <w:bCs/>
          <w:iCs/>
        </w:rPr>
        <w:t xml:space="preserve"> indgik </w:t>
      </w:r>
      <w:r w:rsidR="00DB44D5" w:rsidRPr="00595546">
        <w:rPr>
          <w:bCs/>
          <w:iCs/>
        </w:rPr>
        <w:t>Tilbudsgiver</w:t>
      </w:r>
      <w:r w:rsidRPr="00595546">
        <w:rPr>
          <w:bCs/>
          <w:iCs/>
        </w:rPr>
        <w:t xml:space="preserve"> og </w:t>
      </w:r>
      <w:r w:rsidR="00DB44D5" w:rsidRPr="00595546">
        <w:rPr>
          <w:bCs/>
          <w:iCs/>
        </w:rPr>
        <w:t>Selskabet Offentliggørelsesaftalen</w:t>
      </w:r>
      <w:r w:rsidRPr="00595546">
        <w:rPr>
          <w:bCs/>
          <w:iCs/>
        </w:rPr>
        <w:t xml:space="preserve">, og </w:t>
      </w:r>
      <w:r w:rsidR="004F79CF">
        <w:rPr>
          <w:bCs/>
          <w:iCs/>
        </w:rPr>
        <w:t>Storaktionærerne</w:t>
      </w:r>
      <w:r w:rsidR="00612057" w:rsidRPr="00595546">
        <w:rPr>
          <w:bCs/>
          <w:iCs/>
        </w:rPr>
        <w:t xml:space="preserve"> og de </w:t>
      </w:r>
      <w:r w:rsidRPr="00595546">
        <w:rPr>
          <w:bCs/>
          <w:iCs/>
        </w:rPr>
        <w:t xml:space="preserve">medlemmer af </w:t>
      </w:r>
      <w:r w:rsidR="00595546" w:rsidRPr="00595546">
        <w:rPr>
          <w:bCs/>
          <w:iCs/>
        </w:rPr>
        <w:t>Bestyrelsen</w:t>
      </w:r>
      <w:r w:rsidRPr="00595546">
        <w:rPr>
          <w:bCs/>
          <w:iCs/>
        </w:rPr>
        <w:t xml:space="preserve"> og </w:t>
      </w:r>
      <w:r w:rsidR="00E66984">
        <w:rPr>
          <w:bCs/>
          <w:iCs/>
        </w:rPr>
        <w:t>Direktionen</w:t>
      </w:r>
      <w:r w:rsidR="00612057" w:rsidRPr="00595546">
        <w:rPr>
          <w:bCs/>
          <w:iCs/>
        </w:rPr>
        <w:t xml:space="preserve"> der ejer </w:t>
      </w:r>
      <w:r w:rsidR="00DB44D5" w:rsidRPr="00595546">
        <w:rPr>
          <w:bCs/>
          <w:iCs/>
        </w:rPr>
        <w:t>Aktier</w:t>
      </w:r>
      <w:r w:rsidR="00612057" w:rsidRPr="00595546">
        <w:rPr>
          <w:bCs/>
          <w:iCs/>
        </w:rPr>
        <w:t xml:space="preserve">, </w:t>
      </w:r>
      <w:r w:rsidRPr="00595546">
        <w:rPr>
          <w:bCs/>
          <w:iCs/>
        </w:rPr>
        <w:t xml:space="preserve">indgik </w:t>
      </w:r>
      <w:r w:rsidR="00E11937">
        <w:rPr>
          <w:bCs/>
          <w:iCs/>
        </w:rPr>
        <w:t>U</w:t>
      </w:r>
      <w:r w:rsidRPr="00595546">
        <w:rPr>
          <w:bCs/>
          <w:iCs/>
        </w:rPr>
        <w:t xml:space="preserve">igenkaldelige </w:t>
      </w:r>
      <w:r w:rsidR="00E11937">
        <w:rPr>
          <w:bCs/>
          <w:iCs/>
        </w:rPr>
        <w:t>Forhånds</w:t>
      </w:r>
      <w:r w:rsidRPr="00595546">
        <w:rPr>
          <w:bCs/>
          <w:iCs/>
        </w:rPr>
        <w:t xml:space="preserve">tilsagn </w:t>
      </w:r>
      <w:r w:rsidRPr="00595546">
        <w:t xml:space="preserve">med </w:t>
      </w:r>
      <w:r w:rsidR="00DB44D5" w:rsidRPr="00595546">
        <w:t>Tilbudsgiver</w:t>
      </w:r>
      <w:r w:rsidRPr="00595546">
        <w:t xml:space="preserve"> om at acceptere </w:t>
      </w:r>
      <w:r w:rsidR="00DB44D5" w:rsidRPr="00595546">
        <w:t xml:space="preserve">Tilbuddet </w:t>
      </w:r>
      <w:r w:rsidRPr="00595546">
        <w:t xml:space="preserve">til </w:t>
      </w:r>
      <w:r w:rsidR="00DB44D5" w:rsidRPr="00595546">
        <w:t xml:space="preserve">Tilbudskursen </w:t>
      </w:r>
      <w:r w:rsidRPr="00595546">
        <w:t xml:space="preserve">og på de vilkår, der gælder for </w:t>
      </w:r>
      <w:r w:rsidR="00DB44D5" w:rsidRPr="00595546">
        <w:t>Tilbuddet</w:t>
      </w:r>
      <w:r w:rsidRPr="00595546">
        <w:t>, med forbehold af visse sædvanlige betingelser</w:t>
      </w:r>
      <w:r w:rsidR="00B143F1" w:rsidRPr="00595546">
        <w:t xml:space="preserve">, herunder at de </w:t>
      </w:r>
      <w:r w:rsidR="00236EB6">
        <w:t>U</w:t>
      </w:r>
      <w:r w:rsidR="00B143F1" w:rsidRPr="00595546">
        <w:t xml:space="preserve">igenkaldelige </w:t>
      </w:r>
      <w:r w:rsidR="00236EB6">
        <w:t>Forhånds</w:t>
      </w:r>
      <w:r w:rsidR="00B143F1" w:rsidRPr="00595546">
        <w:t>tilsagn bortfalder</w:t>
      </w:r>
      <w:r w:rsidR="003A7F0F" w:rsidRPr="00595546">
        <w:t xml:space="preserve">, hvis blandt andet en tredjepart annoncerer en alternativ transaktion, hvor den samlede vederlag, der tilbydes </w:t>
      </w:r>
      <w:r w:rsidR="00DB44D5" w:rsidRPr="00595546">
        <w:t>Aktionærerne</w:t>
      </w:r>
      <w:r w:rsidR="003A7F0F" w:rsidRPr="00595546">
        <w:t xml:space="preserve">, overstiger </w:t>
      </w:r>
      <w:r w:rsidR="00DB44D5" w:rsidRPr="00595546">
        <w:t xml:space="preserve">Tilbudskursen </w:t>
      </w:r>
      <w:r w:rsidR="003A7F0F" w:rsidRPr="00595546">
        <w:t xml:space="preserve">(justeret for eventuelle udbytter eller andre udlodninger, der er erklæret eller udbetalt til </w:t>
      </w:r>
      <w:r w:rsidR="00DB44D5" w:rsidRPr="00595546">
        <w:t xml:space="preserve">Aktionærerne </w:t>
      </w:r>
      <w:r w:rsidR="003A7F0F" w:rsidRPr="00595546">
        <w:t xml:space="preserve">inden </w:t>
      </w:r>
      <w:r w:rsidR="00595546" w:rsidRPr="00595546">
        <w:t>Gennemførelsen</w:t>
      </w:r>
      <w:r w:rsidR="003A7F0F" w:rsidRPr="00595546">
        <w:t xml:space="preserve"> af </w:t>
      </w:r>
      <w:r w:rsidR="00DB44D5" w:rsidRPr="00595546">
        <w:t xml:space="preserve">Tilbuddet </w:t>
      </w:r>
      <w:r w:rsidR="003A7F0F" w:rsidRPr="00595546">
        <w:t xml:space="preserve">som beskrevet i </w:t>
      </w:r>
      <w:r w:rsidR="00DB44D5" w:rsidRPr="00595546">
        <w:t>Tilbudsdokumentet</w:t>
      </w:r>
      <w:r w:rsidR="003A7F0F" w:rsidRPr="00595546">
        <w:t xml:space="preserve">) med mindst ti (10) procent, forudsat at </w:t>
      </w:r>
      <w:r w:rsidR="00DB44D5" w:rsidRPr="00595546">
        <w:t>Tilbudsgiver</w:t>
      </w:r>
      <w:r w:rsidR="003A7F0F" w:rsidRPr="00595546">
        <w:t xml:space="preserve"> ikke matcher eller </w:t>
      </w:r>
      <w:r w:rsidR="00FC0B69" w:rsidRPr="00595546">
        <w:t>over</w:t>
      </w:r>
      <w:r w:rsidR="00FC0B69">
        <w:t>går</w:t>
      </w:r>
      <w:r w:rsidR="00FC0B69" w:rsidRPr="00595546">
        <w:t xml:space="preserve"> </w:t>
      </w:r>
      <w:r w:rsidR="003A7F0F" w:rsidRPr="00595546">
        <w:t>en sådan bedre alternativ transaktion inden for ti (10) hverdage efter annonceringen heraf.</w:t>
      </w:r>
    </w:p>
    <w:p w14:paraId="6AE978F3" w14:textId="77777777" w:rsidR="00B01FE3" w:rsidRPr="00595546" w:rsidRDefault="00B01FE3" w:rsidP="008A71FE">
      <w:pPr>
        <w:pStyle w:val="DSBodyTextIndent1"/>
        <w:jc w:val="both"/>
      </w:pPr>
    </w:p>
    <w:p w14:paraId="4A3FFC68" w14:textId="6CAA2928" w:rsidR="008A71FE" w:rsidRPr="00595546" w:rsidRDefault="008A71FE" w:rsidP="008A71FE">
      <w:pPr>
        <w:pStyle w:val="DSBodyTextIndent1"/>
        <w:jc w:val="both"/>
      </w:pPr>
      <w:r w:rsidRPr="00595546">
        <w:t xml:space="preserve">Efter indgåelsen af </w:t>
      </w:r>
      <w:r w:rsidR="00DB44D5" w:rsidRPr="00595546">
        <w:t>Offentliggørelsesaftalen</w:t>
      </w:r>
      <w:r w:rsidRPr="00595546">
        <w:t xml:space="preserve"> offentliggjorde både </w:t>
      </w:r>
      <w:r w:rsidR="00DB44D5" w:rsidRPr="00595546">
        <w:t>Tilbudsgiver</w:t>
      </w:r>
      <w:r w:rsidRPr="00595546">
        <w:t xml:space="preserve"> og </w:t>
      </w:r>
      <w:r w:rsidR="00DB44D5" w:rsidRPr="00595546">
        <w:t xml:space="preserve">Selskabet </w:t>
      </w:r>
      <w:r w:rsidRPr="00595546">
        <w:t xml:space="preserve">meddelelser om </w:t>
      </w:r>
      <w:r w:rsidR="00DB44D5" w:rsidRPr="00595546">
        <w:t>Tilbudsgiver</w:t>
      </w:r>
      <w:r w:rsidRPr="00595546">
        <w:t xml:space="preserve">s beslutning om at </w:t>
      </w:r>
      <w:r w:rsidR="00595546" w:rsidRPr="00595546">
        <w:t>fremsætte</w:t>
      </w:r>
      <w:r w:rsidRPr="00595546">
        <w:t xml:space="preserve"> </w:t>
      </w:r>
      <w:r w:rsidR="00DB44D5" w:rsidRPr="00595546">
        <w:t xml:space="preserve">Tilbuddet </w:t>
      </w:r>
      <w:r w:rsidRPr="00595546">
        <w:t xml:space="preserve">og </w:t>
      </w:r>
      <w:r w:rsidR="00595546" w:rsidRPr="00595546">
        <w:t>Bestyrelsen</w:t>
      </w:r>
      <w:r w:rsidRPr="00595546">
        <w:t xml:space="preserve">s beslutning om at anbefale </w:t>
      </w:r>
      <w:r w:rsidR="00DB44D5" w:rsidRPr="00595546">
        <w:t>Tilbuddet</w:t>
      </w:r>
      <w:r w:rsidRPr="00595546">
        <w:t xml:space="preserve">. </w:t>
      </w:r>
    </w:p>
    <w:p w14:paraId="13C2FF72" w14:textId="77777777" w:rsidR="008A71FE" w:rsidRPr="00595546" w:rsidRDefault="008A71FE" w:rsidP="008A71FE">
      <w:pPr>
        <w:pStyle w:val="DSBodyTextIndent1"/>
        <w:jc w:val="both"/>
      </w:pPr>
    </w:p>
    <w:p w14:paraId="2B519271" w14:textId="0BA36E15" w:rsidR="00F5133F" w:rsidRPr="00595546" w:rsidRDefault="008A71FE" w:rsidP="008A71FE">
      <w:pPr>
        <w:pStyle w:val="NormalIndent"/>
        <w:jc w:val="both"/>
      </w:pPr>
      <w:r w:rsidRPr="00595546">
        <w:lastRenderedPageBreak/>
        <w:t xml:space="preserve">Den </w:t>
      </w:r>
      <w:r w:rsidR="00DB44D5" w:rsidRPr="00595546">
        <w:t>7. januar 2026</w:t>
      </w:r>
      <w:r w:rsidR="00F5133F" w:rsidRPr="00595546">
        <w:t xml:space="preserve"> </w:t>
      </w:r>
      <w:r w:rsidRPr="00595546">
        <w:t xml:space="preserve">godkendte Finanstilsynet </w:t>
      </w:r>
      <w:r w:rsidR="00DB44D5" w:rsidRPr="00595546">
        <w:t>Tilbudsdokumentet</w:t>
      </w:r>
      <w:r w:rsidRPr="00595546">
        <w:t xml:space="preserve">, som efterfølgende blev offentliggjort af </w:t>
      </w:r>
      <w:r w:rsidR="00DB44D5" w:rsidRPr="00595546">
        <w:t>Tilbudsgiver</w:t>
      </w:r>
      <w:r w:rsidR="006C1C1F">
        <w:t xml:space="preserve"> samme dag</w:t>
      </w:r>
      <w:r w:rsidRPr="00595546">
        <w:t>.</w:t>
      </w:r>
    </w:p>
    <w:p w14:paraId="05BADDBA" w14:textId="77777777" w:rsidR="00F5133F" w:rsidRPr="00595546" w:rsidRDefault="00F5133F" w:rsidP="008A71FE">
      <w:pPr>
        <w:pStyle w:val="NormalIndent"/>
        <w:jc w:val="both"/>
      </w:pPr>
    </w:p>
    <w:p w14:paraId="6F566366" w14:textId="736BB2E5" w:rsidR="006D15EF" w:rsidRPr="00595546" w:rsidRDefault="00243FC5" w:rsidP="008A71FE">
      <w:pPr>
        <w:pStyle w:val="NormalIndent"/>
        <w:jc w:val="both"/>
      </w:pPr>
      <w:r w:rsidRPr="00595546">
        <w:br w:type="page"/>
      </w:r>
    </w:p>
    <w:p w14:paraId="4982B3E6" w14:textId="617B296B" w:rsidR="00C409D1" w:rsidRPr="00595546" w:rsidRDefault="00C409D1" w:rsidP="00A05058">
      <w:pPr>
        <w:pStyle w:val="Heading1"/>
        <w:jc w:val="both"/>
      </w:pPr>
      <w:bookmarkStart w:id="72" w:name="_Toc194440321"/>
      <w:bookmarkStart w:id="73" w:name="_Toc218590515"/>
      <w:r w:rsidRPr="00595546">
        <w:rPr>
          <w:lang w:bidi="en-GB"/>
        </w:rPr>
        <w:lastRenderedPageBreak/>
        <w:t>Bestyrelsens syn på visse faktorer vedrørende tilbuddet</w:t>
      </w:r>
      <w:bookmarkEnd w:id="71"/>
      <w:bookmarkEnd w:id="72"/>
      <w:bookmarkEnd w:id="73"/>
    </w:p>
    <w:p w14:paraId="363C5685" w14:textId="77777777" w:rsidR="00C409D1" w:rsidRPr="00595546" w:rsidRDefault="00C409D1" w:rsidP="00A05058">
      <w:pPr>
        <w:pStyle w:val="Heading2"/>
        <w:jc w:val="both"/>
      </w:pPr>
      <w:bookmarkStart w:id="74" w:name="_Toc194440322"/>
      <w:bookmarkStart w:id="75" w:name="_Toc218590516"/>
      <w:bookmarkStart w:id="76" w:name="_Ref282257249"/>
      <w:r w:rsidRPr="00595546">
        <w:rPr>
          <w:lang w:bidi="en-GB"/>
        </w:rPr>
        <w:t>Indledning</w:t>
      </w:r>
      <w:bookmarkEnd w:id="74"/>
      <w:bookmarkEnd w:id="75"/>
    </w:p>
    <w:p w14:paraId="3DDE9569" w14:textId="039F7273" w:rsidR="000917FE" w:rsidRPr="00595546" w:rsidRDefault="000917FE" w:rsidP="000917FE">
      <w:pPr>
        <w:pStyle w:val="NormalIndent"/>
        <w:jc w:val="both"/>
        <w:rPr>
          <w:lang w:bidi="en-GB"/>
        </w:rPr>
      </w:pPr>
      <w:bookmarkStart w:id="77" w:name="_Ref506714465"/>
      <w:bookmarkStart w:id="78" w:name="_Toc194440323"/>
      <w:r w:rsidRPr="00595546">
        <w:rPr>
          <w:lang w:bidi="en-GB"/>
        </w:rPr>
        <w:t xml:space="preserve">Bestyrelsen har haft – og har fortsat – fuld tillid til Selskabets strategi og </w:t>
      </w:r>
      <w:r w:rsidR="00595546" w:rsidRPr="00595546">
        <w:rPr>
          <w:lang w:bidi="en-GB"/>
        </w:rPr>
        <w:t>til videreførelsen heraf</w:t>
      </w:r>
      <w:r w:rsidRPr="00595546">
        <w:rPr>
          <w:lang w:bidi="en-GB"/>
        </w:rPr>
        <w:t xml:space="preserve"> </w:t>
      </w:r>
      <w:r w:rsidR="00BF013B">
        <w:rPr>
          <w:lang w:bidi="en-GB"/>
        </w:rPr>
        <w:t xml:space="preserve">som et </w:t>
      </w:r>
      <w:r w:rsidRPr="00595546">
        <w:rPr>
          <w:lang w:bidi="en-GB"/>
        </w:rPr>
        <w:t>selvstændig</w:t>
      </w:r>
      <w:r w:rsidR="00BF013B">
        <w:rPr>
          <w:lang w:bidi="en-GB"/>
        </w:rPr>
        <w:t>t selskab</w:t>
      </w:r>
      <w:r w:rsidRPr="00595546">
        <w:rPr>
          <w:lang w:bidi="en-GB"/>
        </w:rPr>
        <w:t xml:space="preserve">. Bestyrelsen havde derfor ikke, før den i marts 2025 modtog en uformel, uopfordret henvendelse fra en tredjepart, </w:t>
      </w:r>
      <w:r w:rsidR="00B35F19" w:rsidRPr="00595546">
        <w:t>der udtrykte interesse for en transaktion vedrørende Selskabet</w:t>
      </w:r>
      <w:r w:rsidRPr="00595546">
        <w:rPr>
          <w:lang w:bidi="en-GB"/>
        </w:rPr>
        <w:t>, aktivt søgt henvendelser fra potentielle tilbudsgivere om et overtagelsestilbud på Nilfisk eller andre strategiske transaktioner vedrørende Nilfisk.</w:t>
      </w:r>
    </w:p>
    <w:p w14:paraId="770CC2E3" w14:textId="77777777" w:rsidR="000917FE" w:rsidRPr="00595546" w:rsidRDefault="000917FE" w:rsidP="000917FE">
      <w:pPr>
        <w:pStyle w:val="NormalIndent"/>
        <w:jc w:val="both"/>
        <w:rPr>
          <w:lang w:bidi="en-GB"/>
        </w:rPr>
      </w:pPr>
    </w:p>
    <w:p w14:paraId="1F16A84D" w14:textId="01721F52" w:rsidR="000917FE" w:rsidRPr="00595546" w:rsidRDefault="000917FE" w:rsidP="000917FE">
      <w:pPr>
        <w:pStyle w:val="NormalIndent"/>
        <w:jc w:val="both"/>
        <w:rPr>
          <w:lang w:bidi="en-GB"/>
        </w:rPr>
      </w:pPr>
      <w:r w:rsidRPr="00595546">
        <w:rPr>
          <w:lang w:bidi="en-GB"/>
        </w:rPr>
        <w:t xml:space="preserve">I lyset af denne uopfordrede henvendelse fra en tredjepart anså </w:t>
      </w:r>
      <w:r w:rsidR="00595546" w:rsidRPr="00595546">
        <w:rPr>
          <w:lang w:bidi="en-GB"/>
        </w:rPr>
        <w:t>Bestyrelsen</w:t>
      </w:r>
      <w:r w:rsidRPr="00595546">
        <w:rPr>
          <w:lang w:bidi="en-GB"/>
        </w:rPr>
        <w:t xml:space="preserve"> det imidlertid for sin pligt at handle i </w:t>
      </w:r>
      <w:r w:rsidR="00DB44D5" w:rsidRPr="00595546">
        <w:rPr>
          <w:lang w:bidi="en-GB"/>
        </w:rPr>
        <w:t xml:space="preserve">Selskabets </w:t>
      </w:r>
      <w:r w:rsidRPr="00595546">
        <w:rPr>
          <w:lang w:bidi="en-GB"/>
        </w:rPr>
        <w:t xml:space="preserve">og dets </w:t>
      </w:r>
      <w:r w:rsidR="00DB44D5" w:rsidRPr="00595546">
        <w:rPr>
          <w:lang w:bidi="en-GB"/>
        </w:rPr>
        <w:t xml:space="preserve">Aktionærers </w:t>
      </w:r>
      <w:r w:rsidRPr="00595546">
        <w:rPr>
          <w:lang w:bidi="en-GB"/>
        </w:rPr>
        <w:t xml:space="preserve">interesse og vurdere, om en sådan henvendelse eller interesse fra en anden part i </w:t>
      </w:r>
      <w:r w:rsidR="00DB44D5" w:rsidRPr="00595546">
        <w:rPr>
          <w:lang w:bidi="en-GB"/>
        </w:rPr>
        <w:t xml:space="preserve">Selskabet </w:t>
      </w:r>
      <w:r w:rsidRPr="00595546">
        <w:rPr>
          <w:lang w:bidi="en-GB"/>
        </w:rPr>
        <w:t xml:space="preserve">kunne føre til et offentligt overtagelsestilbud, som, hvis det blev accepteret af </w:t>
      </w:r>
      <w:r w:rsidR="00DB44D5" w:rsidRPr="00595546">
        <w:rPr>
          <w:lang w:bidi="en-GB"/>
        </w:rPr>
        <w:t>Aktionærerne</w:t>
      </w:r>
      <w:r w:rsidRPr="00595546">
        <w:rPr>
          <w:lang w:bidi="en-GB"/>
        </w:rPr>
        <w:t xml:space="preserve">, ville give </w:t>
      </w:r>
      <w:r w:rsidR="00DB44D5" w:rsidRPr="00595546">
        <w:rPr>
          <w:lang w:bidi="en-GB"/>
        </w:rPr>
        <w:t xml:space="preserve">Aktionærerne </w:t>
      </w:r>
      <w:r w:rsidR="00980685">
        <w:rPr>
          <w:lang w:bidi="en-GB"/>
        </w:rPr>
        <w:t>større</w:t>
      </w:r>
      <w:r w:rsidRPr="00595546">
        <w:rPr>
          <w:lang w:bidi="en-GB"/>
        </w:rPr>
        <w:t xml:space="preserve"> værdi og være i </w:t>
      </w:r>
      <w:r w:rsidR="00DB44D5" w:rsidRPr="00595546">
        <w:rPr>
          <w:lang w:bidi="en-GB"/>
        </w:rPr>
        <w:t xml:space="preserve">Selskabets </w:t>
      </w:r>
      <w:r w:rsidRPr="00595546">
        <w:rPr>
          <w:lang w:bidi="en-GB"/>
        </w:rPr>
        <w:t xml:space="preserve">og dets </w:t>
      </w:r>
      <w:r w:rsidR="00DB44D5" w:rsidRPr="00595546">
        <w:rPr>
          <w:lang w:bidi="en-GB"/>
        </w:rPr>
        <w:t xml:space="preserve">Aktionærers </w:t>
      </w:r>
      <w:r w:rsidRPr="00595546">
        <w:rPr>
          <w:lang w:bidi="en-GB"/>
        </w:rPr>
        <w:t>bedste interesse.</w:t>
      </w:r>
    </w:p>
    <w:p w14:paraId="0FE22CCB" w14:textId="77777777" w:rsidR="000917FE" w:rsidRPr="00595546" w:rsidRDefault="000917FE" w:rsidP="000917FE">
      <w:pPr>
        <w:pStyle w:val="NormalIndent"/>
        <w:jc w:val="both"/>
        <w:rPr>
          <w:lang w:bidi="en-GB"/>
        </w:rPr>
      </w:pPr>
    </w:p>
    <w:p w14:paraId="43434C91" w14:textId="64936468" w:rsidR="000917FE" w:rsidRPr="00595546" w:rsidRDefault="000917FE" w:rsidP="000917FE">
      <w:pPr>
        <w:pStyle w:val="NormalIndent"/>
        <w:jc w:val="both"/>
        <w:rPr>
          <w:lang w:bidi="en-GB"/>
        </w:rPr>
      </w:pPr>
      <w:r w:rsidRPr="00595546">
        <w:rPr>
          <w:lang w:bidi="en-GB"/>
        </w:rPr>
        <w:t xml:space="preserve">Med dette formål for øje har </w:t>
      </w:r>
      <w:r w:rsidR="00595546" w:rsidRPr="00595546">
        <w:rPr>
          <w:lang w:bidi="en-GB"/>
        </w:rPr>
        <w:t>Bestyrelsen</w:t>
      </w:r>
      <w:r w:rsidRPr="00595546">
        <w:rPr>
          <w:lang w:bidi="en-GB"/>
        </w:rPr>
        <w:t xml:space="preserve"> sammen med </w:t>
      </w:r>
      <w:r w:rsidR="00DB44D5" w:rsidRPr="00595546">
        <w:rPr>
          <w:lang w:bidi="en-GB"/>
        </w:rPr>
        <w:t xml:space="preserve">Selskabets </w:t>
      </w:r>
      <w:r w:rsidRPr="00595546">
        <w:rPr>
          <w:lang w:bidi="en-GB"/>
        </w:rPr>
        <w:t xml:space="preserve">rådgivere siden den første henvendelse aktivt undersøgt en række strategiske og finansielle parters potentielle interesse i en transaktion vedrørende </w:t>
      </w:r>
      <w:r w:rsidR="00DB44D5" w:rsidRPr="00595546">
        <w:rPr>
          <w:lang w:bidi="en-GB"/>
        </w:rPr>
        <w:t>Selskabet</w:t>
      </w:r>
      <w:r w:rsidRPr="00595546">
        <w:rPr>
          <w:lang w:bidi="en-GB"/>
        </w:rPr>
        <w:t xml:space="preserve">. </w:t>
      </w:r>
    </w:p>
    <w:p w14:paraId="69B59EF3" w14:textId="77777777" w:rsidR="002E490A" w:rsidRPr="00595546" w:rsidRDefault="002E490A" w:rsidP="002E490A">
      <w:pPr>
        <w:pStyle w:val="NormalIndent"/>
        <w:jc w:val="both"/>
        <w:rPr>
          <w:lang w:bidi="en-GB"/>
        </w:rPr>
      </w:pPr>
    </w:p>
    <w:p w14:paraId="290769BB" w14:textId="12282AC3" w:rsidR="001C5619" w:rsidRPr="00595546" w:rsidRDefault="002E490A" w:rsidP="002E490A">
      <w:pPr>
        <w:pStyle w:val="NormalIndent"/>
        <w:jc w:val="both"/>
        <w:rPr>
          <w:lang w:bidi="en-GB"/>
        </w:rPr>
      </w:pPr>
      <w:r w:rsidRPr="00595546">
        <w:rPr>
          <w:lang w:bidi="en-GB"/>
        </w:rPr>
        <w:t xml:space="preserve">På dette grundlag og under hensyntagen til </w:t>
      </w:r>
      <w:r w:rsidR="00595546" w:rsidRPr="00595546">
        <w:rPr>
          <w:lang w:bidi="en-GB"/>
        </w:rPr>
        <w:t>Bestyrelsen</w:t>
      </w:r>
      <w:r w:rsidRPr="00595546">
        <w:rPr>
          <w:lang w:bidi="en-GB"/>
        </w:rPr>
        <w:t xml:space="preserve">s antagelser vedrørende </w:t>
      </w:r>
      <w:r w:rsidR="00DB44D5" w:rsidRPr="00595546">
        <w:rPr>
          <w:lang w:bidi="en-GB"/>
        </w:rPr>
        <w:t xml:space="preserve">Koncernens </w:t>
      </w:r>
      <w:r w:rsidRPr="00595546">
        <w:rPr>
          <w:lang w:bidi="en-GB"/>
        </w:rPr>
        <w:t xml:space="preserve">forretning, økonomi, resultater og udsigter, herunder </w:t>
      </w:r>
      <w:r w:rsidR="00DB44D5" w:rsidRPr="00595546">
        <w:rPr>
          <w:lang w:bidi="en-GB"/>
        </w:rPr>
        <w:t xml:space="preserve">Koncernens </w:t>
      </w:r>
      <w:r w:rsidRPr="00595546">
        <w:rPr>
          <w:lang w:bidi="en-GB"/>
        </w:rPr>
        <w:t xml:space="preserve">fremtidige udsigter </w:t>
      </w:r>
      <w:r w:rsidR="00BF013B">
        <w:rPr>
          <w:lang w:bidi="en-GB"/>
        </w:rPr>
        <w:t>som et selvstændigt selskab</w:t>
      </w:r>
      <w:r w:rsidRPr="00595546">
        <w:rPr>
          <w:lang w:bidi="en-GB"/>
        </w:rPr>
        <w:t xml:space="preserve"> samt de forpligtelser, aftaler og tilsagn, som </w:t>
      </w:r>
      <w:r w:rsidR="00DB44D5" w:rsidRPr="00595546">
        <w:rPr>
          <w:lang w:bidi="en-GB"/>
        </w:rPr>
        <w:t>Tilbudsgiver</w:t>
      </w:r>
      <w:r w:rsidRPr="00595546">
        <w:rPr>
          <w:lang w:bidi="en-GB"/>
        </w:rPr>
        <w:t xml:space="preserve"> har indgået i </w:t>
      </w:r>
      <w:r w:rsidR="00DB44D5" w:rsidRPr="00595546">
        <w:rPr>
          <w:lang w:bidi="en-GB"/>
        </w:rPr>
        <w:t>Offentliggørelsesaftalen</w:t>
      </w:r>
      <w:r w:rsidRPr="00595546">
        <w:rPr>
          <w:lang w:bidi="en-GB"/>
        </w:rPr>
        <w:t xml:space="preserve"> til fordel for </w:t>
      </w:r>
      <w:r w:rsidR="00DB44D5" w:rsidRPr="00595546">
        <w:rPr>
          <w:lang w:bidi="en-GB"/>
        </w:rPr>
        <w:t xml:space="preserve">Selskabet </w:t>
      </w:r>
      <w:r w:rsidRPr="00595546">
        <w:rPr>
          <w:lang w:bidi="en-GB"/>
        </w:rPr>
        <w:t xml:space="preserve">og dets interessenter, har </w:t>
      </w:r>
      <w:r w:rsidR="00595546" w:rsidRPr="00595546">
        <w:rPr>
          <w:lang w:bidi="en-GB"/>
        </w:rPr>
        <w:t>Bestyrelsen</w:t>
      </w:r>
      <w:r w:rsidRPr="00595546">
        <w:rPr>
          <w:lang w:bidi="en-GB"/>
        </w:rPr>
        <w:t xml:space="preserve">, bistået af </w:t>
      </w:r>
      <w:r w:rsidR="00EA5A67">
        <w:rPr>
          <w:lang w:bidi="en-GB"/>
        </w:rPr>
        <w:t>Direktionen</w:t>
      </w:r>
      <w:r w:rsidRPr="00595546">
        <w:rPr>
          <w:lang w:bidi="en-GB"/>
        </w:rPr>
        <w:t xml:space="preserve"> samt </w:t>
      </w:r>
      <w:r w:rsidR="00C830B1" w:rsidRPr="00595546">
        <w:rPr>
          <w:lang w:bidi="en-GB"/>
        </w:rPr>
        <w:t xml:space="preserve">Guggenheim </w:t>
      </w:r>
      <w:r w:rsidRPr="00595546">
        <w:rPr>
          <w:lang w:bidi="en-GB"/>
        </w:rPr>
        <w:t xml:space="preserve">som finansiel rådgiver og </w:t>
      </w:r>
      <w:r w:rsidR="00C830B1" w:rsidRPr="00595546">
        <w:rPr>
          <w:lang w:bidi="en-GB"/>
        </w:rPr>
        <w:t xml:space="preserve">Krogerus og </w:t>
      </w:r>
      <w:r w:rsidRPr="00595546">
        <w:rPr>
          <w:lang w:bidi="en-GB"/>
        </w:rPr>
        <w:t xml:space="preserve">Kromann Reumert som juridiske </w:t>
      </w:r>
      <w:r w:rsidR="00C830B1" w:rsidRPr="00595546">
        <w:rPr>
          <w:lang w:bidi="en-GB"/>
        </w:rPr>
        <w:t>rådgivere</w:t>
      </w:r>
      <w:r w:rsidRPr="00595546">
        <w:rPr>
          <w:lang w:bidi="en-GB"/>
        </w:rPr>
        <w:t xml:space="preserve">, analyseret </w:t>
      </w:r>
      <w:r w:rsidR="00DB44D5" w:rsidRPr="00595546">
        <w:rPr>
          <w:lang w:bidi="en-GB"/>
        </w:rPr>
        <w:t>Tilbuddet</w:t>
      </w:r>
      <w:r w:rsidRPr="00595546">
        <w:rPr>
          <w:lang w:bidi="en-GB"/>
        </w:rPr>
        <w:t xml:space="preserve">. </w:t>
      </w:r>
    </w:p>
    <w:p w14:paraId="2F684B59" w14:textId="77777777" w:rsidR="001C5619" w:rsidRPr="00595546" w:rsidRDefault="001C5619" w:rsidP="002E490A">
      <w:pPr>
        <w:pStyle w:val="NormalIndent"/>
        <w:jc w:val="both"/>
        <w:rPr>
          <w:lang w:bidi="en-GB"/>
        </w:rPr>
      </w:pPr>
    </w:p>
    <w:p w14:paraId="6F223918" w14:textId="1494C775" w:rsidR="00243FC5" w:rsidRPr="00595546" w:rsidRDefault="005F5EBA" w:rsidP="002E490A">
      <w:pPr>
        <w:pStyle w:val="NormalIndent"/>
        <w:jc w:val="both"/>
        <w:rPr>
          <w:lang w:bidi="en-GB"/>
        </w:rPr>
      </w:pPr>
      <w:r w:rsidRPr="00595546">
        <w:t xml:space="preserve">Bestyrelsens </w:t>
      </w:r>
      <w:r w:rsidRPr="00595546">
        <w:rPr>
          <w:lang w:bidi="en-GB"/>
        </w:rPr>
        <w:t xml:space="preserve">vurdering af </w:t>
      </w:r>
      <w:r w:rsidR="00DB44D5" w:rsidRPr="00595546">
        <w:rPr>
          <w:lang w:bidi="en-GB"/>
        </w:rPr>
        <w:t xml:space="preserve">Tilbuddets </w:t>
      </w:r>
      <w:r w:rsidRPr="00595546">
        <w:rPr>
          <w:lang w:bidi="en-GB"/>
        </w:rPr>
        <w:t xml:space="preserve">økonomiske fordele </w:t>
      </w:r>
      <w:r w:rsidR="00595546" w:rsidRPr="00595546">
        <w:t xml:space="preserve">er </w:t>
      </w:r>
      <w:r w:rsidRPr="00595546">
        <w:t xml:space="preserve">blandt andet </w:t>
      </w:r>
      <w:r w:rsidR="00595546" w:rsidRPr="00595546">
        <w:t>baseret på en</w:t>
      </w:r>
      <w:r w:rsidRPr="00595546">
        <w:t xml:space="preserve"> Fairness Opinion fra </w:t>
      </w:r>
      <w:proofErr w:type="spellStart"/>
      <w:r w:rsidRPr="00595546">
        <w:t>DNB</w:t>
      </w:r>
      <w:proofErr w:type="spellEnd"/>
      <w:r w:rsidRPr="00595546">
        <w:t xml:space="preserve"> Carnegie af</w:t>
      </w:r>
      <w:r w:rsidR="0041259C" w:rsidRPr="00595546">
        <w:t xml:space="preserve"> 10. december 2025</w:t>
      </w:r>
      <w:r w:rsidRPr="00595546">
        <w:t xml:space="preserve">, </w:t>
      </w:r>
      <w:r w:rsidR="00595546" w:rsidRPr="00595546">
        <w:t xml:space="preserve">hvoraf </w:t>
      </w:r>
      <w:r w:rsidRPr="00595546">
        <w:t xml:space="preserve">det </w:t>
      </w:r>
      <w:r w:rsidR="00595546" w:rsidRPr="00595546">
        <w:t>følger</w:t>
      </w:r>
      <w:r w:rsidRPr="00595546">
        <w:t xml:space="preserve">, at </w:t>
      </w:r>
      <w:r w:rsidR="00DB44D5" w:rsidRPr="00595546">
        <w:t xml:space="preserve">Tilbudskursen </w:t>
      </w:r>
      <w:r w:rsidRPr="00595546">
        <w:t xml:space="preserve">på denne dato og på baggrund af og med forbehold for de forskellige antagelser, procedurer, overvejelser, begrænsninger og forbehold, der er anført i den skriftlige udtalelse, var rimelig for </w:t>
      </w:r>
      <w:r w:rsidR="00DB44D5" w:rsidRPr="00595546">
        <w:t xml:space="preserve">Aktionærerne </w:t>
      </w:r>
      <w:r w:rsidRPr="00595546">
        <w:t>ud fra et økonomisk synspunkt.</w:t>
      </w:r>
    </w:p>
    <w:p w14:paraId="1FF32DE9" w14:textId="4AF03064" w:rsidR="00C409D1" w:rsidRPr="00595546" w:rsidRDefault="00DB44D5" w:rsidP="00A05058">
      <w:pPr>
        <w:pStyle w:val="Heading2"/>
        <w:jc w:val="both"/>
      </w:pPr>
      <w:bookmarkStart w:id="79" w:name="_Toc218590517"/>
      <w:bookmarkEnd w:id="77"/>
      <w:bookmarkEnd w:id="78"/>
      <w:r w:rsidRPr="00595546">
        <w:rPr>
          <w:lang w:bidi="en-GB"/>
        </w:rPr>
        <w:t>Tilbudskursen</w:t>
      </w:r>
      <w:bookmarkEnd w:id="79"/>
    </w:p>
    <w:p w14:paraId="409413EE" w14:textId="3728A2D5" w:rsidR="00C409D1" w:rsidRPr="00595546" w:rsidRDefault="00C409D1" w:rsidP="00A05058">
      <w:pPr>
        <w:pStyle w:val="Heading3"/>
        <w:jc w:val="both"/>
      </w:pPr>
      <w:bookmarkStart w:id="80" w:name="_Ref194075176"/>
      <w:bookmarkStart w:id="81" w:name="_Toc194440324"/>
      <w:bookmarkStart w:id="82" w:name="_Ref203811345"/>
      <w:bookmarkStart w:id="83" w:name="_Toc218590518"/>
      <w:r w:rsidRPr="00595546">
        <w:rPr>
          <w:lang w:bidi="en-GB"/>
        </w:rPr>
        <w:t xml:space="preserve">Sammenligning med relevante historiske </w:t>
      </w:r>
      <w:bookmarkEnd w:id="80"/>
      <w:bookmarkEnd w:id="81"/>
      <w:bookmarkEnd w:id="82"/>
      <w:r w:rsidR="00407272">
        <w:rPr>
          <w:lang w:bidi="en-GB"/>
        </w:rPr>
        <w:t>kurser</w:t>
      </w:r>
      <w:bookmarkEnd w:id="83"/>
    </w:p>
    <w:p w14:paraId="6293AC4F" w14:textId="111084C0" w:rsidR="00036DEF" w:rsidRPr="00595546" w:rsidRDefault="00C409D1" w:rsidP="00A05058">
      <w:pPr>
        <w:pStyle w:val="DSBodyTextIndent1"/>
        <w:jc w:val="both"/>
        <w:rPr>
          <w:lang w:bidi="en-GB"/>
        </w:rPr>
      </w:pPr>
      <w:r w:rsidRPr="00595546">
        <w:rPr>
          <w:lang w:bidi="en-GB"/>
        </w:rPr>
        <w:t xml:space="preserve">Nedenstående tabel viser </w:t>
      </w:r>
      <w:r w:rsidR="00DB44D5" w:rsidRPr="00595546">
        <w:rPr>
          <w:lang w:bidi="en-GB"/>
        </w:rPr>
        <w:t xml:space="preserve">Tilbudskursen </w:t>
      </w:r>
      <w:r w:rsidRPr="00595546">
        <w:rPr>
          <w:lang w:bidi="en-GB"/>
        </w:rPr>
        <w:t xml:space="preserve">sammenlignet med markedskursen på </w:t>
      </w:r>
      <w:r w:rsidR="00DB44D5" w:rsidRPr="00595546">
        <w:rPr>
          <w:lang w:bidi="en-GB"/>
        </w:rPr>
        <w:t xml:space="preserve">Aktierne </w:t>
      </w:r>
      <w:r w:rsidRPr="00595546">
        <w:rPr>
          <w:lang w:bidi="en-GB"/>
        </w:rPr>
        <w:t xml:space="preserve">på visse relevante historiske datoer og i relevante historiske perioder: </w:t>
      </w:r>
    </w:p>
    <w:p w14:paraId="62FBF63F" w14:textId="77777777" w:rsidR="00C409D1" w:rsidRPr="00595546" w:rsidRDefault="00C409D1" w:rsidP="00A05058">
      <w:pPr>
        <w:spacing w:after="160" w:line="259" w:lineRule="auto"/>
        <w:jc w:val="both"/>
      </w:pPr>
    </w:p>
    <w:tbl>
      <w:tblPr>
        <w:tblW w:w="0" w:type="auto"/>
        <w:tblInd w:w="709" w:type="dxa"/>
        <w:tblLook w:val="04A0" w:firstRow="1" w:lastRow="0" w:firstColumn="1" w:lastColumn="0" w:noHBand="0" w:noVBand="1"/>
      </w:tblPr>
      <w:tblGrid>
        <w:gridCol w:w="5817"/>
        <w:gridCol w:w="1276"/>
        <w:gridCol w:w="2119"/>
      </w:tblGrid>
      <w:tr w:rsidR="00D0192F" w:rsidRPr="00595546" w14:paraId="17216BB8" w14:textId="77777777" w:rsidTr="00D0192F">
        <w:trPr>
          <w:cantSplit/>
        </w:trPr>
        <w:tc>
          <w:tcPr>
            <w:tcW w:w="5817" w:type="dxa"/>
            <w:vAlign w:val="bottom"/>
            <w:hideMark/>
          </w:tcPr>
          <w:p w14:paraId="7722B59C" w14:textId="1250CE52" w:rsidR="00D0192F" w:rsidRPr="00595546" w:rsidRDefault="00D0192F" w:rsidP="00A05058">
            <w:pPr>
              <w:spacing w:after="160" w:line="259" w:lineRule="auto"/>
              <w:jc w:val="both"/>
              <w:rPr>
                <w:rFonts w:asciiTheme="majorHAnsi" w:hAnsiTheme="majorHAnsi" w:cstheme="majorHAnsi"/>
                <w:b/>
              </w:rPr>
            </w:pPr>
            <w:r w:rsidRPr="00595546">
              <w:rPr>
                <w:rFonts w:asciiTheme="majorHAnsi" w:hAnsiTheme="majorHAnsi" w:cstheme="majorHAnsi"/>
                <w:b/>
                <w:lang w:bidi="en-GB"/>
              </w:rPr>
              <w:t>Dato/periode</w:t>
            </w:r>
          </w:p>
        </w:tc>
        <w:tc>
          <w:tcPr>
            <w:tcW w:w="1276" w:type="dxa"/>
            <w:vAlign w:val="bottom"/>
            <w:hideMark/>
          </w:tcPr>
          <w:p w14:paraId="099E2300" w14:textId="6F7E390C" w:rsidR="00D0192F" w:rsidRPr="00595546" w:rsidRDefault="00D0192F" w:rsidP="00804204">
            <w:pPr>
              <w:spacing w:after="160" w:line="259" w:lineRule="auto"/>
              <w:jc w:val="center"/>
              <w:rPr>
                <w:b/>
                <w:bCs/>
              </w:rPr>
            </w:pPr>
            <w:r w:rsidRPr="00595546">
              <w:rPr>
                <w:rFonts w:cs="Arial"/>
                <w:b/>
                <w:bCs/>
                <w:lang w:eastAsia="en-GB"/>
              </w:rPr>
              <w:t>Kurs pr. aktie (DKK)</w:t>
            </w:r>
          </w:p>
        </w:tc>
        <w:tc>
          <w:tcPr>
            <w:tcW w:w="2119" w:type="dxa"/>
            <w:vAlign w:val="bottom"/>
            <w:hideMark/>
          </w:tcPr>
          <w:p w14:paraId="30145584" w14:textId="5FB5C89E" w:rsidR="00D0192F" w:rsidRPr="00595546" w:rsidRDefault="00D0192F" w:rsidP="00804204">
            <w:pPr>
              <w:spacing w:after="160" w:line="259" w:lineRule="auto"/>
              <w:jc w:val="center"/>
              <w:rPr>
                <w:b/>
                <w:bCs/>
              </w:rPr>
            </w:pPr>
            <w:r w:rsidRPr="00595546">
              <w:rPr>
                <w:rFonts w:cs="Arial"/>
                <w:b/>
                <w:bCs/>
                <w:lang w:eastAsia="en-GB"/>
              </w:rPr>
              <w:t>Tilbudspræmien sammenlignet med den relevante historiske aktiekurs pr. aktie (i procent)</w:t>
            </w:r>
          </w:p>
        </w:tc>
      </w:tr>
      <w:tr w:rsidR="00955009" w:rsidRPr="00595546" w14:paraId="4E29DEB3" w14:textId="77777777" w:rsidTr="004464F6">
        <w:trPr>
          <w:cantSplit/>
          <w:trHeight w:val="773"/>
        </w:trPr>
        <w:tc>
          <w:tcPr>
            <w:tcW w:w="5817" w:type="dxa"/>
            <w:vAlign w:val="center"/>
          </w:tcPr>
          <w:p w14:paraId="5183E330" w14:textId="06501587" w:rsidR="00955009" w:rsidRPr="00595546" w:rsidRDefault="000722BD" w:rsidP="00A05058">
            <w:pPr>
              <w:spacing w:after="160" w:line="259" w:lineRule="auto"/>
              <w:jc w:val="both"/>
              <w:rPr>
                <w:rFonts w:asciiTheme="majorHAnsi" w:hAnsiTheme="majorHAnsi" w:cstheme="majorHAnsi"/>
                <w:lang w:bidi="en-GB"/>
              </w:rPr>
            </w:pPr>
            <w:r w:rsidRPr="00595546">
              <w:rPr>
                <w:rFonts w:asciiTheme="majorHAnsi" w:hAnsiTheme="majorHAnsi" w:cstheme="majorHAnsi"/>
                <w:lang w:eastAsia="en-GB"/>
              </w:rPr>
              <w:t xml:space="preserve">10. december 2025 </w:t>
            </w:r>
            <w:r w:rsidR="00955009" w:rsidRPr="00595546">
              <w:rPr>
                <w:rFonts w:asciiTheme="majorHAnsi" w:hAnsiTheme="majorHAnsi" w:cstheme="majorHAnsi"/>
                <w:lang w:eastAsia="en-GB"/>
              </w:rPr>
              <w:t>(</w:t>
            </w:r>
            <w:r w:rsidR="00C01579" w:rsidRPr="00595546">
              <w:rPr>
                <w:rFonts w:asciiTheme="majorHAnsi" w:eastAsia="Aptos" w:hAnsiTheme="majorHAnsi" w:cstheme="majorHAnsi"/>
              </w:rPr>
              <w:t xml:space="preserve">den sidste handelsdag før </w:t>
            </w:r>
            <w:r w:rsidR="00595546" w:rsidRPr="00595546">
              <w:rPr>
                <w:rFonts w:asciiTheme="majorHAnsi" w:eastAsia="Aptos" w:hAnsiTheme="majorHAnsi" w:cstheme="majorHAnsi"/>
              </w:rPr>
              <w:t>meddelelsen om</w:t>
            </w:r>
            <w:r w:rsidR="00B74E56">
              <w:rPr>
                <w:rFonts w:asciiTheme="majorHAnsi" w:eastAsia="Aptos" w:hAnsiTheme="majorHAnsi" w:cstheme="majorHAnsi"/>
              </w:rPr>
              <w:t xml:space="preserve"> </w:t>
            </w:r>
            <w:r w:rsidR="00595546" w:rsidRPr="00595546">
              <w:rPr>
                <w:rFonts w:asciiTheme="majorHAnsi" w:eastAsia="Aptos" w:hAnsiTheme="majorHAnsi" w:cstheme="majorHAnsi"/>
              </w:rPr>
              <w:t>Tilbuddet</w:t>
            </w:r>
            <w:r w:rsidR="00955009" w:rsidRPr="00595546">
              <w:rPr>
                <w:rFonts w:asciiTheme="majorHAnsi" w:hAnsiTheme="majorHAnsi" w:cstheme="majorHAnsi"/>
                <w:lang w:eastAsia="en-GB"/>
              </w:rPr>
              <w:t>)</w:t>
            </w:r>
          </w:p>
        </w:tc>
        <w:tc>
          <w:tcPr>
            <w:tcW w:w="1276" w:type="dxa"/>
            <w:vAlign w:val="center"/>
            <w:hideMark/>
          </w:tcPr>
          <w:p w14:paraId="4BAF85A6" w14:textId="23D381E0" w:rsidR="00955009" w:rsidRPr="00595546" w:rsidRDefault="00C61881" w:rsidP="00804204">
            <w:pPr>
              <w:spacing w:after="160" w:line="259" w:lineRule="auto"/>
              <w:jc w:val="center"/>
            </w:pPr>
            <w:r w:rsidRPr="00595546">
              <w:rPr>
                <w:rFonts w:asciiTheme="majorHAnsi" w:hAnsiTheme="majorHAnsi" w:cstheme="majorHAnsi"/>
                <w:lang w:eastAsia="en-GB"/>
              </w:rPr>
              <w:t>103</w:t>
            </w:r>
          </w:p>
        </w:tc>
        <w:tc>
          <w:tcPr>
            <w:tcW w:w="2119" w:type="dxa"/>
            <w:vAlign w:val="center"/>
            <w:hideMark/>
          </w:tcPr>
          <w:p w14:paraId="27A709A6" w14:textId="51F9A2FE" w:rsidR="00955009" w:rsidRPr="00595546" w:rsidRDefault="00276DA2" w:rsidP="00804204">
            <w:pPr>
              <w:spacing w:after="160" w:line="259" w:lineRule="auto"/>
              <w:jc w:val="center"/>
            </w:pPr>
            <w:r w:rsidRPr="00595546">
              <w:rPr>
                <w:rFonts w:asciiTheme="majorHAnsi" w:hAnsiTheme="majorHAnsi" w:cstheme="majorHAnsi"/>
                <w:lang w:eastAsia="en-GB"/>
              </w:rPr>
              <w:t>35,</w:t>
            </w:r>
            <w:r w:rsidRPr="00595546">
              <w:t>9</w:t>
            </w:r>
            <w:r w:rsidR="00C1112F">
              <w:t>%</w:t>
            </w:r>
          </w:p>
        </w:tc>
      </w:tr>
      <w:tr w:rsidR="00AA3DD4" w:rsidRPr="00595546" w14:paraId="5FC68CD0" w14:textId="77777777" w:rsidTr="004464F6">
        <w:trPr>
          <w:cantSplit/>
          <w:trHeight w:val="980"/>
        </w:trPr>
        <w:tc>
          <w:tcPr>
            <w:tcW w:w="5817" w:type="dxa"/>
            <w:vAlign w:val="center"/>
          </w:tcPr>
          <w:p w14:paraId="23D549B1" w14:textId="112D927B" w:rsidR="00AA3DD4" w:rsidRPr="00595546" w:rsidRDefault="007C685B" w:rsidP="00AA3DD4">
            <w:pPr>
              <w:jc w:val="both"/>
              <w:rPr>
                <w:rFonts w:asciiTheme="majorHAnsi" w:hAnsiTheme="majorHAnsi" w:cstheme="majorHAnsi"/>
                <w:lang w:eastAsia="en-GB"/>
              </w:rPr>
            </w:pPr>
            <w:r w:rsidRPr="007C685B">
              <w:rPr>
                <w:rFonts w:asciiTheme="majorHAnsi" w:hAnsiTheme="majorHAnsi" w:cstheme="majorHAnsi"/>
                <w:lang w:eastAsia="en-GB"/>
              </w:rPr>
              <w:t xml:space="preserve">Volumenvægtet gennemsnitskurs for den sidste måned forud for </w:t>
            </w:r>
            <w:r w:rsidR="001A3EE1" w:rsidRPr="00595546">
              <w:rPr>
                <w:rFonts w:asciiTheme="majorHAnsi" w:hAnsiTheme="majorHAnsi" w:cstheme="majorHAnsi"/>
                <w:lang w:eastAsia="en-GB"/>
              </w:rPr>
              <w:t>den 10. december 2025</w:t>
            </w:r>
          </w:p>
          <w:p w14:paraId="6C4F9F69" w14:textId="77777777" w:rsidR="00AA3DD4" w:rsidRPr="00595546" w:rsidRDefault="00AA3DD4" w:rsidP="00A05058">
            <w:pPr>
              <w:jc w:val="both"/>
              <w:rPr>
                <w:rFonts w:asciiTheme="majorHAnsi" w:hAnsiTheme="majorHAnsi" w:cstheme="majorHAnsi"/>
                <w:lang w:eastAsia="en-GB"/>
              </w:rPr>
            </w:pPr>
          </w:p>
        </w:tc>
        <w:tc>
          <w:tcPr>
            <w:tcW w:w="1276" w:type="dxa"/>
            <w:vAlign w:val="center"/>
          </w:tcPr>
          <w:p w14:paraId="45A36127" w14:textId="648E5837" w:rsidR="00AA3DD4" w:rsidRPr="00595546" w:rsidRDefault="0017179E" w:rsidP="00804204">
            <w:pPr>
              <w:spacing w:after="160" w:line="259" w:lineRule="auto"/>
              <w:jc w:val="center"/>
            </w:pPr>
            <w:r w:rsidRPr="00595546">
              <w:rPr>
                <w:rFonts w:asciiTheme="majorHAnsi" w:hAnsiTheme="majorHAnsi" w:cstheme="majorHAnsi"/>
                <w:lang w:eastAsia="en-GB"/>
              </w:rPr>
              <w:t>100,11</w:t>
            </w:r>
          </w:p>
        </w:tc>
        <w:tc>
          <w:tcPr>
            <w:tcW w:w="2119" w:type="dxa"/>
            <w:vAlign w:val="center"/>
          </w:tcPr>
          <w:p w14:paraId="27D2DF20" w14:textId="7F82A4CF" w:rsidR="00AA3DD4" w:rsidRPr="00595546" w:rsidRDefault="00276DA2" w:rsidP="00804204">
            <w:pPr>
              <w:spacing w:after="160" w:line="259" w:lineRule="auto"/>
              <w:jc w:val="center"/>
            </w:pPr>
            <w:r w:rsidRPr="00595546">
              <w:rPr>
                <w:rFonts w:asciiTheme="majorHAnsi" w:hAnsiTheme="majorHAnsi" w:cstheme="majorHAnsi"/>
                <w:lang w:eastAsia="en-GB"/>
              </w:rPr>
              <w:t>39,</w:t>
            </w:r>
            <w:r w:rsidRPr="00595546">
              <w:t>8</w:t>
            </w:r>
            <w:r w:rsidR="00C1112F">
              <w:t>%</w:t>
            </w:r>
          </w:p>
        </w:tc>
      </w:tr>
      <w:tr w:rsidR="00C02368" w:rsidRPr="00595546" w14:paraId="0207CB2C" w14:textId="77777777" w:rsidTr="004464F6">
        <w:trPr>
          <w:cantSplit/>
          <w:trHeight w:val="980"/>
        </w:trPr>
        <w:tc>
          <w:tcPr>
            <w:tcW w:w="5817" w:type="dxa"/>
            <w:vAlign w:val="center"/>
          </w:tcPr>
          <w:p w14:paraId="14BDA550" w14:textId="073D112C" w:rsidR="00C02368" w:rsidRPr="00595546" w:rsidRDefault="007C685B" w:rsidP="00C02368">
            <w:pPr>
              <w:jc w:val="both"/>
              <w:rPr>
                <w:rFonts w:asciiTheme="majorHAnsi" w:hAnsiTheme="majorHAnsi" w:cstheme="majorHAnsi"/>
                <w:lang w:eastAsia="en-GB"/>
              </w:rPr>
            </w:pPr>
            <w:r w:rsidRPr="007C685B">
              <w:rPr>
                <w:rFonts w:asciiTheme="majorHAnsi" w:hAnsiTheme="majorHAnsi" w:cstheme="majorHAnsi"/>
                <w:lang w:eastAsia="en-GB"/>
              </w:rPr>
              <w:lastRenderedPageBreak/>
              <w:t xml:space="preserve">Volumenvægtet gennemsnitskurs for de sidste tre måneder forud </w:t>
            </w:r>
            <w:r>
              <w:rPr>
                <w:rFonts w:asciiTheme="majorHAnsi" w:hAnsiTheme="majorHAnsi" w:cstheme="majorHAnsi"/>
                <w:lang w:eastAsia="en-GB"/>
              </w:rPr>
              <w:t xml:space="preserve">for </w:t>
            </w:r>
            <w:r w:rsidR="001A3EE1" w:rsidRPr="00595546">
              <w:rPr>
                <w:rFonts w:asciiTheme="majorHAnsi" w:hAnsiTheme="majorHAnsi" w:cstheme="majorHAnsi"/>
                <w:lang w:eastAsia="en-GB"/>
              </w:rPr>
              <w:t>den 10. december 2025</w:t>
            </w:r>
          </w:p>
        </w:tc>
        <w:tc>
          <w:tcPr>
            <w:tcW w:w="1276" w:type="dxa"/>
            <w:vAlign w:val="center"/>
          </w:tcPr>
          <w:p w14:paraId="4A7BAD3A" w14:textId="24A031EF" w:rsidR="00C02368" w:rsidRPr="00595546" w:rsidRDefault="0017179E" w:rsidP="00C02368">
            <w:pPr>
              <w:spacing w:after="160" w:line="259" w:lineRule="auto"/>
              <w:jc w:val="center"/>
              <w:rPr>
                <w:rFonts w:asciiTheme="majorHAnsi" w:hAnsiTheme="majorHAnsi" w:cstheme="majorHAnsi"/>
                <w:lang w:eastAsia="en-GB"/>
              </w:rPr>
            </w:pPr>
            <w:r w:rsidRPr="00595546">
              <w:rPr>
                <w:rFonts w:asciiTheme="majorHAnsi" w:hAnsiTheme="majorHAnsi" w:cstheme="majorHAnsi"/>
                <w:lang w:eastAsia="en-GB"/>
              </w:rPr>
              <w:t>107,60</w:t>
            </w:r>
          </w:p>
        </w:tc>
        <w:tc>
          <w:tcPr>
            <w:tcW w:w="2119" w:type="dxa"/>
            <w:vAlign w:val="center"/>
          </w:tcPr>
          <w:p w14:paraId="05B168A2" w14:textId="02A1428C" w:rsidR="00C02368" w:rsidRPr="00595546" w:rsidRDefault="00276DA2" w:rsidP="00C02368">
            <w:pPr>
              <w:spacing w:after="160" w:line="259" w:lineRule="auto"/>
              <w:jc w:val="center"/>
              <w:rPr>
                <w:rFonts w:asciiTheme="majorHAnsi" w:hAnsiTheme="majorHAnsi" w:cstheme="majorHAnsi"/>
                <w:lang w:eastAsia="en-GB"/>
              </w:rPr>
            </w:pPr>
            <w:r w:rsidRPr="00595546">
              <w:rPr>
                <w:rFonts w:asciiTheme="majorHAnsi" w:hAnsiTheme="majorHAnsi" w:cstheme="majorHAnsi"/>
                <w:lang w:eastAsia="en-GB"/>
              </w:rPr>
              <w:t>30,</w:t>
            </w:r>
            <w:r w:rsidRPr="00595546">
              <w:t>1</w:t>
            </w:r>
            <w:r w:rsidR="00C1112F">
              <w:t>%</w:t>
            </w:r>
          </w:p>
        </w:tc>
      </w:tr>
      <w:tr w:rsidR="00C02368" w:rsidRPr="00595546" w14:paraId="6CCB2BC4" w14:textId="77777777" w:rsidTr="004464F6">
        <w:trPr>
          <w:cantSplit/>
          <w:trHeight w:val="980"/>
        </w:trPr>
        <w:tc>
          <w:tcPr>
            <w:tcW w:w="5817" w:type="dxa"/>
            <w:vAlign w:val="center"/>
          </w:tcPr>
          <w:p w14:paraId="676D722A" w14:textId="08D174F9" w:rsidR="00C02368" w:rsidRPr="00595546" w:rsidRDefault="007C685B" w:rsidP="00C02368">
            <w:pPr>
              <w:jc w:val="both"/>
              <w:rPr>
                <w:rFonts w:asciiTheme="majorHAnsi" w:hAnsiTheme="majorHAnsi" w:cstheme="majorHAnsi"/>
                <w:lang w:eastAsia="en-GB"/>
              </w:rPr>
            </w:pPr>
            <w:r w:rsidRPr="007C685B">
              <w:rPr>
                <w:rFonts w:asciiTheme="majorHAnsi" w:hAnsiTheme="majorHAnsi" w:cstheme="majorHAnsi"/>
                <w:lang w:eastAsia="en-GB"/>
              </w:rPr>
              <w:t xml:space="preserve">Volumenvægtet gennemsnitskurs for de sidste seks måneder forud for </w:t>
            </w:r>
            <w:r>
              <w:rPr>
                <w:rFonts w:asciiTheme="majorHAnsi" w:hAnsiTheme="majorHAnsi" w:cstheme="majorHAnsi"/>
                <w:lang w:eastAsia="en-GB"/>
              </w:rPr>
              <w:t xml:space="preserve">den </w:t>
            </w:r>
            <w:r w:rsidR="001A3EE1" w:rsidRPr="00595546">
              <w:rPr>
                <w:rFonts w:asciiTheme="majorHAnsi" w:hAnsiTheme="majorHAnsi" w:cstheme="majorHAnsi"/>
                <w:lang w:eastAsia="en-GB"/>
              </w:rPr>
              <w:t>10. december 2025</w:t>
            </w:r>
          </w:p>
          <w:p w14:paraId="46AE1744" w14:textId="579AC466" w:rsidR="00C02368" w:rsidRPr="00595546" w:rsidRDefault="00C02368" w:rsidP="00C02368">
            <w:pPr>
              <w:spacing w:after="160" w:line="259" w:lineRule="auto"/>
              <w:jc w:val="both"/>
              <w:rPr>
                <w:rFonts w:asciiTheme="majorHAnsi" w:hAnsiTheme="majorHAnsi" w:cstheme="majorHAnsi"/>
              </w:rPr>
            </w:pPr>
          </w:p>
        </w:tc>
        <w:tc>
          <w:tcPr>
            <w:tcW w:w="1276" w:type="dxa"/>
            <w:vAlign w:val="center"/>
            <w:hideMark/>
          </w:tcPr>
          <w:p w14:paraId="1FBF7787" w14:textId="1D23ED6A" w:rsidR="00C02368" w:rsidRPr="00595546" w:rsidRDefault="0017179E" w:rsidP="00C02368">
            <w:pPr>
              <w:spacing w:after="160" w:line="259" w:lineRule="auto"/>
              <w:jc w:val="center"/>
            </w:pPr>
            <w:r w:rsidRPr="00595546">
              <w:rPr>
                <w:rFonts w:asciiTheme="majorHAnsi" w:hAnsiTheme="majorHAnsi" w:cstheme="majorHAnsi"/>
                <w:lang w:eastAsia="en-GB"/>
              </w:rPr>
              <w:t>103,05</w:t>
            </w:r>
          </w:p>
        </w:tc>
        <w:tc>
          <w:tcPr>
            <w:tcW w:w="2119" w:type="dxa"/>
            <w:vAlign w:val="center"/>
            <w:hideMark/>
          </w:tcPr>
          <w:p w14:paraId="0F593822" w14:textId="25C7F225" w:rsidR="00C02368" w:rsidRPr="00595546" w:rsidRDefault="00276DA2" w:rsidP="00C02368">
            <w:pPr>
              <w:spacing w:after="160" w:line="259" w:lineRule="auto"/>
              <w:jc w:val="center"/>
            </w:pPr>
            <w:r w:rsidRPr="00595546">
              <w:rPr>
                <w:rFonts w:asciiTheme="majorHAnsi" w:hAnsiTheme="majorHAnsi" w:cstheme="majorHAnsi"/>
                <w:lang w:eastAsia="en-GB"/>
              </w:rPr>
              <w:t>35,</w:t>
            </w:r>
            <w:r w:rsidRPr="00595546">
              <w:t>9</w:t>
            </w:r>
            <w:r w:rsidR="00C1112F">
              <w:t>%</w:t>
            </w:r>
          </w:p>
        </w:tc>
      </w:tr>
      <w:tr w:rsidR="001A3EE1" w:rsidRPr="00595546" w14:paraId="3DA7D0EE" w14:textId="77777777" w:rsidTr="004464F6">
        <w:trPr>
          <w:cantSplit/>
          <w:trHeight w:val="980"/>
        </w:trPr>
        <w:tc>
          <w:tcPr>
            <w:tcW w:w="5817" w:type="dxa"/>
            <w:vAlign w:val="center"/>
          </w:tcPr>
          <w:p w14:paraId="157794BF" w14:textId="0294E8BF" w:rsidR="001A3EE1" w:rsidRPr="00595546" w:rsidRDefault="007C685B" w:rsidP="00C02368">
            <w:pPr>
              <w:jc w:val="both"/>
              <w:rPr>
                <w:rFonts w:asciiTheme="majorHAnsi" w:hAnsiTheme="majorHAnsi" w:cstheme="majorHAnsi"/>
                <w:lang w:eastAsia="en-GB"/>
              </w:rPr>
            </w:pPr>
            <w:r w:rsidRPr="007C685B">
              <w:rPr>
                <w:rFonts w:asciiTheme="majorHAnsi" w:hAnsiTheme="majorHAnsi" w:cstheme="majorHAnsi"/>
                <w:lang w:eastAsia="en-GB"/>
              </w:rPr>
              <w:t xml:space="preserve">Volumenvægtet gennemsnitskurs for de sidste </w:t>
            </w:r>
            <w:r>
              <w:rPr>
                <w:rFonts w:asciiTheme="majorHAnsi" w:hAnsiTheme="majorHAnsi" w:cstheme="majorHAnsi"/>
                <w:lang w:eastAsia="en-GB"/>
              </w:rPr>
              <w:t>tolv</w:t>
            </w:r>
            <w:r w:rsidRPr="007C685B">
              <w:rPr>
                <w:rFonts w:asciiTheme="majorHAnsi" w:hAnsiTheme="majorHAnsi" w:cstheme="majorHAnsi"/>
                <w:lang w:eastAsia="en-GB"/>
              </w:rPr>
              <w:t xml:space="preserve"> måneder forud for </w:t>
            </w:r>
            <w:r>
              <w:rPr>
                <w:rFonts w:asciiTheme="majorHAnsi" w:hAnsiTheme="majorHAnsi" w:cstheme="majorHAnsi"/>
                <w:lang w:eastAsia="en-GB"/>
              </w:rPr>
              <w:t xml:space="preserve">den </w:t>
            </w:r>
            <w:r w:rsidR="00687E53" w:rsidRPr="00595546">
              <w:rPr>
                <w:rFonts w:asciiTheme="majorHAnsi" w:hAnsiTheme="majorHAnsi" w:cstheme="majorHAnsi"/>
                <w:lang w:eastAsia="en-GB"/>
              </w:rPr>
              <w:t>10. december 2025</w:t>
            </w:r>
          </w:p>
        </w:tc>
        <w:tc>
          <w:tcPr>
            <w:tcW w:w="1276" w:type="dxa"/>
            <w:vAlign w:val="center"/>
          </w:tcPr>
          <w:p w14:paraId="27921F68" w14:textId="6F51F498" w:rsidR="001A3EE1" w:rsidRPr="00595546" w:rsidRDefault="00276DA2" w:rsidP="00C02368">
            <w:pPr>
              <w:spacing w:after="160" w:line="259" w:lineRule="auto"/>
              <w:jc w:val="center"/>
              <w:rPr>
                <w:rFonts w:asciiTheme="majorHAnsi" w:hAnsiTheme="majorHAnsi" w:cstheme="majorHAnsi"/>
                <w:lang w:eastAsia="en-GB"/>
              </w:rPr>
            </w:pPr>
            <w:r w:rsidRPr="00595546">
              <w:rPr>
                <w:rFonts w:asciiTheme="majorHAnsi" w:hAnsiTheme="majorHAnsi" w:cstheme="majorHAnsi"/>
                <w:lang w:eastAsia="en-GB"/>
              </w:rPr>
              <w:t>98,38</w:t>
            </w:r>
          </w:p>
        </w:tc>
        <w:tc>
          <w:tcPr>
            <w:tcW w:w="2119" w:type="dxa"/>
            <w:vAlign w:val="center"/>
          </w:tcPr>
          <w:p w14:paraId="2BCB9F37" w14:textId="6B6F3EC5" w:rsidR="001A3EE1" w:rsidRPr="00595546" w:rsidRDefault="00276DA2" w:rsidP="00C02368">
            <w:pPr>
              <w:spacing w:after="160" w:line="259" w:lineRule="auto"/>
              <w:jc w:val="center"/>
              <w:rPr>
                <w:rFonts w:asciiTheme="majorHAnsi" w:hAnsiTheme="majorHAnsi" w:cstheme="majorHAnsi"/>
                <w:lang w:eastAsia="en-GB"/>
              </w:rPr>
            </w:pPr>
            <w:r w:rsidRPr="00595546">
              <w:rPr>
                <w:rFonts w:asciiTheme="majorHAnsi" w:hAnsiTheme="majorHAnsi" w:cstheme="majorHAnsi"/>
                <w:lang w:eastAsia="en-GB"/>
              </w:rPr>
              <w:t>42,</w:t>
            </w:r>
            <w:r w:rsidR="00632EED" w:rsidRPr="00595546">
              <w:t>3</w:t>
            </w:r>
            <w:r w:rsidR="00C1112F">
              <w:t>%</w:t>
            </w:r>
          </w:p>
        </w:tc>
      </w:tr>
    </w:tbl>
    <w:p w14:paraId="690ECCC0" w14:textId="6E80D592" w:rsidR="00AA3DD4" w:rsidRPr="00595546" w:rsidRDefault="00C90443" w:rsidP="008A73C5">
      <w:pPr>
        <w:pStyle w:val="DSBodyTextIndent1"/>
        <w:jc w:val="both"/>
        <w:rPr>
          <w:i/>
          <w:sz w:val="14"/>
          <w:szCs w:val="14"/>
        </w:rPr>
      </w:pPr>
      <w:bookmarkStart w:id="84" w:name="_9kR3WTr17858CZIggtfa0mj"/>
      <w:bookmarkStart w:id="85" w:name="_9kR3WTr24458DaIggtfa0mj"/>
      <w:bookmarkStart w:id="86" w:name="_9kR3WTr19A58EbIggtfa0mj"/>
      <w:bookmarkStart w:id="87" w:name="_Hlk194065010"/>
      <w:r w:rsidRPr="00595546">
        <w:rPr>
          <w:i/>
          <w:sz w:val="14"/>
          <w:szCs w:val="14"/>
        </w:rPr>
        <w:t>Kilde</w:t>
      </w:r>
      <w:r w:rsidR="00074712" w:rsidRPr="00595546">
        <w:rPr>
          <w:i/>
          <w:sz w:val="14"/>
          <w:szCs w:val="14"/>
        </w:rPr>
        <w:t xml:space="preserve">: </w:t>
      </w:r>
      <w:proofErr w:type="spellStart"/>
      <w:r w:rsidR="00074712" w:rsidRPr="00595546">
        <w:rPr>
          <w:i/>
          <w:sz w:val="14"/>
          <w:szCs w:val="14"/>
        </w:rPr>
        <w:t>FactSet</w:t>
      </w:r>
      <w:proofErr w:type="spellEnd"/>
    </w:p>
    <w:p w14:paraId="3C9D32A1" w14:textId="3E2328F1" w:rsidR="00C409D1" w:rsidRPr="00595546" w:rsidRDefault="00C409D1" w:rsidP="00350AC9">
      <w:pPr>
        <w:pStyle w:val="Heading2"/>
        <w:jc w:val="both"/>
      </w:pPr>
      <w:bookmarkStart w:id="88" w:name="_Toc194440326"/>
      <w:bookmarkStart w:id="89" w:name="_Toc218590519"/>
      <w:bookmarkEnd w:id="84"/>
      <w:bookmarkEnd w:id="85"/>
      <w:bookmarkEnd w:id="86"/>
      <w:bookmarkEnd w:id="87"/>
      <w:r w:rsidRPr="00595546">
        <w:rPr>
          <w:lang w:bidi="en-GB"/>
        </w:rPr>
        <w:t xml:space="preserve">Tilbuddets indvirkning på </w:t>
      </w:r>
      <w:r w:rsidR="00DB44D5" w:rsidRPr="00595546">
        <w:rPr>
          <w:lang w:bidi="en-GB"/>
        </w:rPr>
        <w:t xml:space="preserve">Aktionærernes </w:t>
      </w:r>
      <w:r w:rsidRPr="00595546">
        <w:rPr>
          <w:lang w:bidi="en-GB"/>
        </w:rPr>
        <w:t xml:space="preserve">og </w:t>
      </w:r>
      <w:r w:rsidR="00DB44D5" w:rsidRPr="00595546">
        <w:rPr>
          <w:lang w:bidi="en-GB"/>
        </w:rPr>
        <w:t xml:space="preserve">Selskabets </w:t>
      </w:r>
      <w:r w:rsidRPr="00595546">
        <w:rPr>
          <w:lang w:bidi="en-GB"/>
        </w:rPr>
        <w:t>interesser, herunder på beskæftigelsen</w:t>
      </w:r>
      <w:bookmarkEnd w:id="88"/>
      <w:bookmarkEnd w:id="89"/>
    </w:p>
    <w:p w14:paraId="0D5AECB8" w14:textId="29FD477F" w:rsidR="002F6E6D" w:rsidRPr="00595546" w:rsidRDefault="00B86488" w:rsidP="00A05058">
      <w:pPr>
        <w:pStyle w:val="DSBodyTextIndent1"/>
        <w:jc w:val="both"/>
        <w:rPr>
          <w:lang w:bidi="en-GB"/>
        </w:rPr>
      </w:pPr>
      <w:r w:rsidRPr="00595546">
        <w:rPr>
          <w:lang w:bidi="en-GB"/>
        </w:rPr>
        <w:t xml:space="preserve">Bestyrelsen </w:t>
      </w:r>
      <w:r w:rsidR="003A1E91" w:rsidRPr="00595546">
        <w:rPr>
          <w:lang w:bidi="en-GB"/>
        </w:rPr>
        <w:t xml:space="preserve">har </w:t>
      </w:r>
      <w:r w:rsidR="00C409D1" w:rsidRPr="00595546">
        <w:rPr>
          <w:lang w:bidi="en-GB"/>
        </w:rPr>
        <w:t xml:space="preserve">vurderet en række forhold i forbindelse med </w:t>
      </w:r>
      <w:r w:rsidR="00DB44D5" w:rsidRPr="00595546">
        <w:rPr>
          <w:lang w:bidi="en-GB"/>
        </w:rPr>
        <w:t>Tilbuddet</w:t>
      </w:r>
      <w:r w:rsidR="00C409D1" w:rsidRPr="00595546">
        <w:rPr>
          <w:lang w:bidi="en-GB"/>
        </w:rPr>
        <w:t xml:space="preserve">, som har eller kan have </w:t>
      </w:r>
      <w:r w:rsidR="00847DE1">
        <w:rPr>
          <w:lang w:bidi="en-GB"/>
        </w:rPr>
        <w:t>konsekvenser for</w:t>
      </w:r>
      <w:r w:rsidR="00C409D1" w:rsidRPr="00595546">
        <w:rPr>
          <w:lang w:bidi="en-GB"/>
        </w:rPr>
        <w:t xml:space="preserve"> </w:t>
      </w:r>
      <w:r w:rsidR="00DB44D5" w:rsidRPr="00595546">
        <w:rPr>
          <w:lang w:bidi="en-GB"/>
        </w:rPr>
        <w:t>Koncernen</w:t>
      </w:r>
      <w:r w:rsidR="00C409D1" w:rsidRPr="00595546">
        <w:rPr>
          <w:lang w:bidi="en-GB"/>
        </w:rPr>
        <w:t xml:space="preserve">, </w:t>
      </w:r>
      <w:r w:rsidR="00DB44D5" w:rsidRPr="00595546">
        <w:rPr>
          <w:lang w:bidi="en-GB"/>
        </w:rPr>
        <w:t xml:space="preserve">Aktionærerne </w:t>
      </w:r>
      <w:r w:rsidR="00C409D1" w:rsidRPr="00595546">
        <w:rPr>
          <w:lang w:bidi="en-GB"/>
        </w:rPr>
        <w:t xml:space="preserve">og andre interessenter, herunder </w:t>
      </w:r>
      <w:r w:rsidR="00DB44D5" w:rsidRPr="00595546">
        <w:rPr>
          <w:lang w:bidi="en-GB"/>
        </w:rPr>
        <w:t xml:space="preserve">Koncernens </w:t>
      </w:r>
      <w:r w:rsidR="00C409D1" w:rsidRPr="00595546">
        <w:rPr>
          <w:lang w:bidi="en-GB"/>
        </w:rPr>
        <w:t xml:space="preserve">medarbejdere, og som kan være af betydning for </w:t>
      </w:r>
      <w:r w:rsidR="00DB44D5" w:rsidRPr="00595546">
        <w:rPr>
          <w:lang w:bidi="en-GB"/>
        </w:rPr>
        <w:t xml:space="preserve">Aktionærernes </w:t>
      </w:r>
      <w:r w:rsidR="00C409D1" w:rsidRPr="00595546">
        <w:rPr>
          <w:lang w:bidi="en-GB"/>
        </w:rPr>
        <w:t xml:space="preserve">holdning til </w:t>
      </w:r>
      <w:r w:rsidR="00DB44D5" w:rsidRPr="00595546">
        <w:rPr>
          <w:lang w:bidi="en-GB"/>
        </w:rPr>
        <w:t>Tilbuddet</w:t>
      </w:r>
      <w:r w:rsidR="00C409D1" w:rsidRPr="00595546">
        <w:rPr>
          <w:lang w:bidi="en-GB"/>
        </w:rPr>
        <w:t xml:space="preserve">. </w:t>
      </w:r>
    </w:p>
    <w:p w14:paraId="24C92970" w14:textId="77777777" w:rsidR="002F6E6D" w:rsidRPr="00595546" w:rsidRDefault="002F6E6D" w:rsidP="00A05058">
      <w:pPr>
        <w:pStyle w:val="DSBodyTextIndent1"/>
        <w:jc w:val="both"/>
        <w:rPr>
          <w:lang w:bidi="en-GB"/>
        </w:rPr>
      </w:pPr>
    </w:p>
    <w:p w14:paraId="75AC2C6B" w14:textId="6B08853D" w:rsidR="00C409D1" w:rsidRPr="00595546" w:rsidRDefault="00C409D1" w:rsidP="00A05058">
      <w:pPr>
        <w:pStyle w:val="DSBodyTextIndent1"/>
        <w:jc w:val="both"/>
        <w:rPr>
          <w:lang w:bidi="en-GB"/>
        </w:rPr>
      </w:pPr>
      <w:r w:rsidRPr="00595546">
        <w:rPr>
          <w:lang w:bidi="en-GB"/>
        </w:rPr>
        <w:t xml:space="preserve">Nedenfor følger en ikke-udtømmende beskrivelse af visse kort- og langsigtede potentielle konsekvenser af </w:t>
      </w:r>
      <w:r w:rsidR="00DB44D5" w:rsidRPr="00595546">
        <w:rPr>
          <w:lang w:bidi="en-GB"/>
        </w:rPr>
        <w:t xml:space="preserve">Tilbuddet </w:t>
      </w:r>
      <w:r w:rsidRPr="00595546">
        <w:rPr>
          <w:lang w:bidi="en-GB"/>
        </w:rPr>
        <w:t xml:space="preserve">for </w:t>
      </w:r>
      <w:r w:rsidR="00DB44D5" w:rsidRPr="00595546">
        <w:rPr>
          <w:lang w:bidi="en-GB"/>
        </w:rPr>
        <w:t>Koncernen</w:t>
      </w:r>
      <w:r w:rsidRPr="00595546">
        <w:rPr>
          <w:lang w:bidi="en-GB"/>
        </w:rPr>
        <w:t xml:space="preserve">, </w:t>
      </w:r>
      <w:r w:rsidR="00DB44D5" w:rsidRPr="00595546">
        <w:rPr>
          <w:lang w:bidi="en-GB"/>
        </w:rPr>
        <w:t xml:space="preserve">Aktionærerne </w:t>
      </w:r>
      <w:r w:rsidRPr="00595546">
        <w:rPr>
          <w:lang w:bidi="en-GB"/>
        </w:rPr>
        <w:t xml:space="preserve">og andre interessenter, herunder medarbejdere, som </w:t>
      </w:r>
      <w:r w:rsidR="00595546" w:rsidRPr="00595546">
        <w:rPr>
          <w:lang w:bidi="en-GB"/>
        </w:rPr>
        <w:t>Bestyrelsen</w:t>
      </w:r>
      <w:r w:rsidRPr="00595546">
        <w:rPr>
          <w:lang w:bidi="en-GB"/>
        </w:rPr>
        <w:t xml:space="preserve"> anser for at være af særlig betydning for </w:t>
      </w:r>
      <w:r w:rsidR="00DB44D5" w:rsidRPr="00595546">
        <w:rPr>
          <w:lang w:bidi="en-GB"/>
        </w:rPr>
        <w:t xml:space="preserve">Aktionærernes </w:t>
      </w:r>
      <w:r w:rsidRPr="00595546">
        <w:rPr>
          <w:lang w:bidi="en-GB"/>
        </w:rPr>
        <w:t xml:space="preserve">holdning til </w:t>
      </w:r>
      <w:r w:rsidR="00DB44D5" w:rsidRPr="00595546">
        <w:rPr>
          <w:lang w:bidi="en-GB"/>
        </w:rPr>
        <w:t>Tilbuddet</w:t>
      </w:r>
      <w:r w:rsidRPr="00595546">
        <w:rPr>
          <w:lang w:bidi="en-GB"/>
        </w:rPr>
        <w:t>.</w:t>
      </w:r>
      <w:r w:rsidRPr="00595546">
        <w:rPr>
          <w:vertAlign w:val="superscript"/>
          <w:lang w:bidi="en-GB"/>
        </w:rPr>
        <w:footnoteReference w:id="3"/>
      </w:r>
      <w:r w:rsidRPr="00595546">
        <w:rPr>
          <w:lang w:bidi="en-GB"/>
        </w:rPr>
        <w:t xml:space="preserve"> </w:t>
      </w:r>
    </w:p>
    <w:p w14:paraId="6930EE38" w14:textId="493A0FB9" w:rsidR="00C409D1" w:rsidRPr="00595546" w:rsidRDefault="00DB44D5" w:rsidP="00A05058">
      <w:pPr>
        <w:pStyle w:val="Heading3"/>
        <w:jc w:val="both"/>
        <w:rPr>
          <w:lang w:bidi="en-GB"/>
        </w:rPr>
      </w:pPr>
      <w:bookmarkStart w:id="90" w:name="_Toc194440327"/>
      <w:bookmarkStart w:id="91" w:name="_Toc218590520"/>
      <w:r w:rsidRPr="00595546">
        <w:rPr>
          <w:lang w:bidi="en-GB"/>
        </w:rPr>
        <w:t>Tilbudsgivers</w:t>
      </w:r>
      <w:r w:rsidR="00BE5403" w:rsidRPr="00595546">
        <w:rPr>
          <w:lang w:bidi="en-GB"/>
        </w:rPr>
        <w:t xml:space="preserve"> </w:t>
      </w:r>
      <w:r w:rsidR="00C409D1" w:rsidRPr="00595546">
        <w:rPr>
          <w:lang w:bidi="en-GB"/>
        </w:rPr>
        <w:t xml:space="preserve">hensigter som udtrykt i </w:t>
      </w:r>
      <w:bookmarkEnd w:id="90"/>
      <w:r w:rsidRPr="00595546">
        <w:rPr>
          <w:lang w:bidi="en-GB"/>
        </w:rPr>
        <w:t>Tilbudsdokumentet</w:t>
      </w:r>
      <w:bookmarkEnd w:id="91"/>
      <w:r w:rsidRPr="00595546">
        <w:rPr>
          <w:lang w:bidi="en-GB"/>
        </w:rPr>
        <w:t xml:space="preserve"> </w:t>
      </w:r>
    </w:p>
    <w:p w14:paraId="152FC32C" w14:textId="6404A187" w:rsidR="00C409D1" w:rsidRPr="00595546" w:rsidRDefault="00C409D1" w:rsidP="00A05058">
      <w:pPr>
        <w:pStyle w:val="DSBodyTextIndent1"/>
        <w:jc w:val="both"/>
        <w:rPr>
          <w:lang w:bidi="en-GB"/>
        </w:rPr>
      </w:pPr>
      <w:r w:rsidRPr="00595546">
        <w:rPr>
          <w:lang w:bidi="en-GB"/>
        </w:rPr>
        <w:t xml:space="preserve">I </w:t>
      </w:r>
      <w:r w:rsidR="00DB44D5" w:rsidRPr="00595546">
        <w:rPr>
          <w:lang w:bidi="en-GB"/>
        </w:rPr>
        <w:t xml:space="preserve">Tilbudsdokumentet </w:t>
      </w:r>
      <w:r w:rsidRPr="00595546">
        <w:rPr>
          <w:lang w:bidi="en-GB"/>
        </w:rPr>
        <w:t>har</w:t>
      </w:r>
      <w:r w:rsidR="000A0B9F" w:rsidRPr="00595546">
        <w:rPr>
          <w:lang w:bidi="en-GB"/>
        </w:rPr>
        <w:t xml:space="preserve"> </w:t>
      </w:r>
      <w:r w:rsidR="00DB44D5" w:rsidRPr="00595546">
        <w:rPr>
          <w:lang w:bidi="en-GB"/>
        </w:rPr>
        <w:t>Tilbudsgiver</w:t>
      </w:r>
      <w:r w:rsidR="000A0B9F" w:rsidRPr="00595546">
        <w:rPr>
          <w:lang w:bidi="en-GB"/>
        </w:rPr>
        <w:t xml:space="preserve"> </w:t>
      </w:r>
      <w:r w:rsidR="006F006F">
        <w:rPr>
          <w:lang w:bidi="en-GB"/>
        </w:rPr>
        <w:t>anført</w:t>
      </w:r>
      <w:r w:rsidRPr="00595546">
        <w:rPr>
          <w:lang w:bidi="en-GB"/>
        </w:rPr>
        <w:t xml:space="preserve"> visse </w:t>
      </w:r>
      <w:r w:rsidR="00D71DAA">
        <w:rPr>
          <w:lang w:bidi="en-GB"/>
        </w:rPr>
        <w:t>udsagn</w:t>
      </w:r>
      <w:r w:rsidRPr="00595546">
        <w:rPr>
          <w:lang w:bidi="en-GB"/>
        </w:rPr>
        <w:t xml:space="preserve"> om sine intentioner efter </w:t>
      </w:r>
      <w:r w:rsidR="00595546" w:rsidRPr="00595546">
        <w:rPr>
          <w:lang w:bidi="en-GB"/>
        </w:rPr>
        <w:t>Gennemførelsen</w:t>
      </w:r>
      <w:r w:rsidRPr="00595546">
        <w:rPr>
          <w:lang w:bidi="en-GB"/>
        </w:rPr>
        <w:t xml:space="preserve"> af </w:t>
      </w:r>
      <w:r w:rsidR="00DB44D5" w:rsidRPr="00595546">
        <w:rPr>
          <w:lang w:bidi="en-GB"/>
        </w:rPr>
        <w:t>Tilbuddet</w:t>
      </w:r>
      <w:r w:rsidRPr="00595546">
        <w:rPr>
          <w:lang w:bidi="en-GB"/>
        </w:rPr>
        <w:t>.</w:t>
      </w:r>
    </w:p>
    <w:p w14:paraId="30C099AE" w14:textId="77777777" w:rsidR="00C409D1" w:rsidRPr="00595546" w:rsidRDefault="00C409D1" w:rsidP="00A05058">
      <w:pPr>
        <w:pStyle w:val="DSBodyTextIndent1"/>
        <w:jc w:val="both"/>
        <w:rPr>
          <w:i/>
          <w:lang w:bidi="en-GB"/>
        </w:rPr>
      </w:pPr>
    </w:p>
    <w:p w14:paraId="316372E9" w14:textId="27524BCC" w:rsidR="00C409D1" w:rsidRPr="00595546" w:rsidRDefault="00C409D1" w:rsidP="00A05058">
      <w:pPr>
        <w:pStyle w:val="DSBodyTextIndent1"/>
        <w:jc w:val="both"/>
        <w:rPr>
          <w:lang w:bidi="en-GB"/>
        </w:rPr>
      </w:pPr>
      <w:r w:rsidRPr="00595546">
        <w:rPr>
          <w:lang w:bidi="en-GB"/>
        </w:rPr>
        <w:t xml:space="preserve">I sin vurdering </w:t>
      </w:r>
      <w:r w:rsidR="007F7798" w:rsidRPr="00595546">
        <w:rPr>
          <w:lang w:bidi="en-GB"/>
        </w:rPr>
        <w:t xml:space="preserve">har </w:t>
      </w:r>
      <w:r w:rsidR="00595546" w:rsidRPr="00595546">
        <w:rPr>
          <w:lang w:bidi="en-GB"/>
        </w:rPr>
        <w:t>Bestyrelsen</w:t>
      </w:r>
      <w:r w:rsidR="00B86488" w:rsidRPr="00595546">
        <w:rPr>
          <w:lang w:bidi="en-GB"/>
        </w:rPr>
        <w:t xml:space="preserve"> </w:t>
      </w:r>
      <w:r w:rsidRPr="00595546">
        <w:rPr>
          <w:lang w:bidi="en-GB"/>
        </w:rPr>
        <w:t xml:space="preserve">uden uafhængig verifikation lagt til grund og antaget, at de </w:t>
      </w:r>
      <w:r w:rsidR="00D71DAA">
        <w:rPr>
          <w:lang w:bidi="en-GB"/>
        </w:rPr>
        <w:t>udsagn</w:t>
      </w:r>
      <w:r w:rsidRPr="00595546">
        <w:rPr>
          <w:lang w:bidi="en-GB"/>
        </w:rPr>
        <w:t xml:space="preserve">, som </w:t>
      </w:r>
      <w:r w:rsidR="00DB44D5" w:rsidRPr="00595546">
        <w:rPr>
          <w:lang w:bidi="en-GB"/>
        </w:rPr>
        <w:t>Tilbudsgiver</w:t>
      </w:r>
      <w:r w:rsidRPr="00595546">
        <w:rPr>
          <w:lang w:bidi="en-GB"/>
        </w:rPr>
        <w:t xml:space="preserve"> har </w:t>
      </w:r>
      <w:r w:rsidR="00731AC6">
        <w:rPr>
          <w:lang w:bidi="en-GB"/>
        </w:rPr>
        <w:t xml:space="preserve">anført </w:t>
      </w:r>
      <w:r w:rsidRPr="00595546">
        <w:rPr>
          <w:lang w:bidi="en-GB"/>
        </w:rPr>
        <w:t xml:space="preserve">i </w:t>
      </w:r>
      <w:r w:rsidR="00DB44D5" w:rsidRPr="00595546">
        <w:rPr>
          <w:lang w:bidi="en-GB"/>
        </w:rPr>
        <w:t xml:space="preserve">Tilbudsdokumentet </w:t>
      </w:r>
      <w:r w:rsidRPr="00595546">
        <w:rPr>
          <w:lang w:bidi="en-GB"/>
        </w:rPr>
        <w:t xml:space="preserve">om nedenstående forhold, er sande, korrekte og ikke vildledende fremstillinger af </w:t>
      </w:r>
      <w:r w:rsidR="00DB44D5" w:rsidRPr="00595546">
        <w:rPr>
          <w:lang w:bidi="en-GB"/>
        </w:rPr>
        <w:t>Tilbudsgiver</w:t>
      </w:r>
      <w:r w:rsidR="00222AA4" w:rsidRPr="00595546">
        <w:rPr>
          <w:lang w:bidi="en-GB"/>
        </w:rPr>
        <w:t>s</w:t>
      </w:r>
      <w:r w:rsidR="000A0B9F" w:rsidRPr="00595546">
        <w:rPr>
          <w:lang w:bidi="en-GB"/>
        </w:rPr>
        <w:t xml:space="preserve"> </w:t>
      </w:r>
      <w:r w:rsidRPr="00595546">
        <w:rPr>
          <w:lang w:bidi="en-GB"/>
        </w:rPr>
        <w:t xml:space="preserve">hensigter. </w:t>
      </w:r>
    </w:p>
    <w:p w14:paraId="449A111A" w14:textId="79EF6361" w:rsidR="00BC1C37" w:rsidRPr="00595546" w:rsidRDefault="00DB44D5" w:rsidP="00A05058">
      <w:pPr>
        <w:pStyle w:val="Heading4"/>
        <w:jc w:val="both"/>
        <w:rPr>
          <w:lang w:bidi="en-GB"/>
        </w:rPr>
      </w:pPr>
      <w:bookmarkStart w:id="92" w:name="_Ref205310253"/>
      <w:bookmarkStart w:id="93" w:name="_Toc215176007"/>
      <w:bookmarkStart w:id="94" w:name="_Toc218590521"/>
      <w:bookmarkStart w:id="95" w:name="_Toc194440328"/>
      <w:r w:rsidRPr="00595546">
        <w:rPr>
          <w:lang w:bidi="en-GB"/>
        </w:rPr>
        <w:t>Tilbudsgivers</w:t>
      </w:r>
      <w:r w:rsidRPr="00595546">
        <w:rPr>
          <w:rFonts w:cs="Times New Roman"/>
        </w:rPr>
        <w:t xml:space="preserve"> </w:t>
      </w:r>
      <w:r w:rsidR="00767798" w:rsidRPr="00595546">
        <w:rPr>
          <w:rFonts w:cs="Times New Roman"/>
        </w:rPr>
        <w:t xml:space="preserve">baggrund for </w:t>
      </w:r>
      <w:r w:rsidRPr="00595546">
        <w:rPr>
          <w:rFonts w:cs="Times New Roman"/>
        </w:rPr>
        <w:t>Til</w:t>
      </w:r>
      <w:r w:rsidR="00767798" w:rsidRPr="00595546">
        <w:rPr>
          <w:rFonts w:cs="Times New Roman"/>
        </w:rPr>
        <w:t>buddet og strategiske planer</w:t>
      </w:r>
      <w:bookmarkEnd w:id="92"/>
      <w:bookmarkEnd w:id="93"/>
      <w:bookmarkEnd w:id="94"/>
    </w:p>
    <w:p w14:paraId="0992DED8" w14:textId="762302F8" w:rsidR="00BC1C37" w:rsidRPr="00595546" w:rsidRDefault="00BC1C37" w:rsidP="00BC1C37">
      <w:pPr>
        <w:pStyle w:val="DSBodyTextIndent1"/>
        <w:jc w:val="both"/>
        <w:rPr>
          <w:lang w:bidi="en-GB"/>
        </w:rPr>
      </w:pPr>
      <w:r w:rsidRPr="00595546">
        <w:rPr>
          <w:lang w:bidi="en-GB"/>
        </w:rPr>
        <w:t xml:space="preserve">I </w:t>
      </w:r>
      <w:r w:rsidR="00DB44D5" w:rsidRPr="00595546">
        <w:rPr>
          <w:lang w:bidi="en-GB"/>
        </w:rPr>
        <w:t xml:space="preserve">Tilbudsdokumentet </w:t>
      </w:r>
      <w:r w:rsidRPr="00595546">
        <w:rPr>
          <w:lang w:bidi="en-GB"/>
        </w:rPr>
        <w:t xml:space="preserve">har </w:t>
      </w:r>
      <w:r w:rsidR="00DB44D5" w:rsidRPr="00595546">
        <w:rPr>
          <w:lang w:bidi="en-GB"/>
        </w:rPr>
        <w:t>Tilbudsgiver</w:t>
      </w:r>
      <w:r w:rsidRPr="00595546">
        <w:rPr>
          <w:lang w:bidi="en-GB"/>
        </w:rPr>
        <w:t xml:space="preserve"> </w:t>
      </w:r>
      <w:r w:rsidR="00595546" w:rsidRPr="00595546">
        <w:rPr>
          <w:lang w:bidi="en-GB"/>
        </w:rPr>
        <w:t>anført</w:t>
      </w:r>
      <w:r w:rsidRPr="00595546">
        <w:rPr>
          <w:lang w:bidi="en-GB"/>
        </w:rPr>
        <w:t xml:space="preserve"> følgende vedrørende </w:t>
      </w:r>
      <w:r w:rsidR="008C6A98" w:rsidRPr="00595546">
        <w:rPr>
          <w:rFonts w:cs="Times New Roman"/>
        </w:rPr>
        <w:t xml:space="preserve">baggrunden for </w:t>
      </w:r>
      <w:r w:rsidR="00DB44D5" w:rsidRPr="00595546">
        <w:rPr>
          <w:rFonts w:cs="Times New Roman"/>
        </w:rPr>
        <w:t xml:space="preserve">Tilbuddet </w:t>
      </w:r>
      <w:r w:rsidR="008C6A98" w:rsidRPr="00595546">
        <w:rPr>
          <w:rFonts w:cs="Times New Roman"/>
        </w:rPr>
        <w:t>og sine strategiske planer</w:t>
      </w:r>
      <w:r w:rsidRPr="00595546">
        <w:rPr>
          <w:lang w:bidi="en-GB"/>
        </w:rPr>
        <w:t>:</w:t>
      </w:r>
    </w:p>
    <w:p w14:paraId="627BB120" w14:textId="77777777" w:rsidR="00BC1C37" w:rsidRPr="00595546" w:rsidRDefault="00BC1C37" w:rsidP="00BC1C37">
      <w:pPr>
        <w:pStyle w:val="DSBodyTextIndent1"/>
        <w:jc w:val="both"/>
        <w:rPr>
          <w:i/>
          <w:iCs/>
          <w:lang w:bidi="en-GB"/>
        </w:rPr>
      </w:pPr>
    </w:p>
    <w:p w14:paraId="49989E81" w14:textId="27CAC77D" w:rsidR="00595546" w:rsidRPr="00595546" w:rsidRDefault="00373499"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w:t>
      </w:r>
      <w:r w:rsidR="00595546" w:rsidRPr="00595546">
        <w:rPr>
          <w:rFonts w:ascii="Arial" w:eastAsiaTheme="minorHAnsi" w:hAnsi="Arial" w:cstheme="minorBidi"/>
          <w:i/>
          <w:iCs/>
          <w:sz w:val="18"/>
          <w:lang w:eastAsia="en-US" w:bidi="en-GB"/>
        </w:rPr>
        <w:t xml:space="preserve">Tilbudsgiver er overbevist om, at denne transaktion udgør en unik og attraktiv strategisk mulighed for begge virksomheder og danner grundlaget for en stærk global vækstplatform. Ved at sammenlægge virksomhederne forventer Tilbudsgiver at frigøre betydelig værdi og opnå meningsfulde </w:t>
      </w:r>
      <w:proofErr w:type="spellStart"/>
      <w:r w:rsidR="00595546" w:rsidRPr="00595546">
        <w:rPr>
          <w:rFonts w:ascii="Arial" w:eastAsiaTheme="minorHAnsi" w:hAnsi="Arial" w:cstheme="minorBidi"/>
          <w:i/>
          <w:iCs/>
          <w:sz w:val="18"/>
          <w:lang w:eastAsia="en-US" w:bidi="en-GB"/>
        </w:rPr>
        <w:t>synergier</w:t>
      </w:r>
      <w:proofErr w:type="spellEnd"/>
      <w:r w:rsidR="00595546" w:rsidRPr="00595546">
        <w:rPr>
          <w:rFonts w:ascii="Arial" w:eastAsiaTheme="minorHAnsi" w:hAnsi="Arial" w:cstheme="minorBidi"/>
          <w:i/>
          <w:iCs/>
          <w:sz w:val="18"/>
          <w:lang w:eastAsia="en-US" w:bidi="en-GB"/>
        </w:rPr>
        <w:t xml:space="preserve"> med minimal overlapning. Tilbudsgiver har aktivt undersøgt mulighederne for ekspansion til tilstødende produktkategorier, hvor professionelle rengøringsapparater udgør en naturlig udvidelse af dets nuværende portefølje. Tilbudsgiver har en strategisk vision om at blive en førende global aktør inden for både maskinel og manuel professionel rengøring og udnytte vækstmulighederne på underforsynede markeder, hvilket baner vejen for fremtiden inden for autonome mobile rengøringsrobotter.</w:t>
      </w:r>
    </w:p>
    <w:p w14:paraId="7F058E68" w14:textId="02A47E81"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lastRenderedPageBreak/>
        <w:t xml:space="preserve">Selskabet anses for at passe meget godt ind i denne strategiske vision. Dets ledende position, globale tilstedeværelse og avancerede kapaciteter inden for digitalisering, automatisering og </w:t>
      </w:r>
      <w:proofErr w:type="spellStart"/>
      <w:r w:rsidRPr="00595546">
        <w:rPr>
          <w:rFonts w:ascii="Arial" w:eastAsiaTheme="minorHAnsi" w:hAnsi="Arial" w:cstheme="minorBidi"/>
          <w:i/>
          <w:iCs/>
          <w:sz w:val="18"/>
          <w:lang w:eastAsia="en-US" w:bidi="en-GB"/>
        </w:rPr>
        <w:t>konnektivitet</w:t>
      </w:r>
      <w:proofErr w:type="spellEnd"/>
      <w:r w:rsidRPr="00595546">
        <w:rPr>
          <w:rFonts w:ascii="Arial" w:eastAsiaTheme="minorHAnsi" w:hAnsi="Arial" w:cstheme="minorBidi"/>
          <w:i/>
          <w:iCs/>
          <w:sz w:val="18"/>
          <w:lang w:eastAsia="en-US" w:bidi="en-GB"/>
        </w:rPr>
        <w:t xml:space="preserve"> gør det til en stærk platform for Tilbudsgiver og vil fremskynde Tilbudsgivers indtræden i det komplementære maskinrengøringssegment og frigøre betydelige vækstmuligheder. Maskinrengøring, som allerede er en betydeligt større og hurtigere voksende kategori end manuel rengøring, er klar til yderligere ekspansion, da den direkte adresserer branchens mest presserende udfordring, nemlig mangel på arbejdskraft.</w:t>
      </w:r>
    </w:p>
    <w:p w14:paraId="133519EE" w14:textId="7DCE49BC"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Tilbudsgiver mener også, at Selskabet og Tilbudsgiver deler en stærk kulturel overensstemmelse, herunder en fælles vision, en dyb passion for rengøring og en professionel, resultatorienteret, global tankegang, samt fælles værdier med hensyn til kundeorientering og omsætning af forsknings- og udviklingskapaciteter til værdiskabende produkter for kunderne. Tilbudsgiver er overbevist om, at det kan støtte Selskabets forbedringsplaner ved at udnytte Selskabets erfarne ledelsesteam, globale kapaciteter og gennemprøvede regionale driftsmodel, hvor lokal ansvarlighed styrkes af global funktionel ekspertise. Tilbudsgiver anerkender styrken i selskabets globale forretning, der er opbygget på levering af højkvalitetsløsninger gennem mange år, og ser særlig værdi i specialsegmentet, herunder fælles muligheder i kontrollerede miljøer. Derudover bidrager Tilbudsgiver med stærk ekspertise inden for projekt- og forandringsledelse og robuste brand managementkompetencer, som kan gavne selskabet på tværs af dets portefølje, især inden for forbrugerforretningen.</w:t>
      </w:r>
    </w:p>
    <w:p w14:paraId="059156FD" w14:textId="28A9905B" w:rsidR="00062E8D"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Tilbudsgiver har til hensigt, på et passende tidspunkt efter Gennemførelsen, og hvis den besidder det nødvendige antal Aktier, at indlede og gennemføre en Tvangsindløsning af alle resterende Aktionærer bortset fra Tilbudsgiver og Selskabet i overensstemmelse med Selskabsloven og foranledige, at Aktierne fjernes fra handel og officiel notering på Nasdaq Copenhagen, som nærmere beskrevet i afsnittene 8.6 (Tvangsindløsning) og 8.7 (Afnotering)."</w:t>
      </w:r>
    </w:p>
    <w:p w14:paraId="2FDCAD3A" w14:textId="3FEE530D" w:rsidR="00373499" w:rsidRPr="00595546" w:rsidRDefault="00373499" w:rsidP="002126AB">
      <w:r w:rsidRPr="00595546">
        <w:tab/>
      </w:r>
    </w:p>
    <w:p w14:paraId="6D0B82D1" w14:textId="7BDFB4B7" w:rsidR="00062E8D" w:rsidRPr="00595546" w:rsidRDefault="00062E8D" w:rsidP="00062E8D">
      <w:pPr>
        <w:pStyle w:val="DSBodyTextIndent1"/>
        <w:jc w:val="both"/>
        <w:rPr>
          <w:u w:val="single"/>
          <w:lang w:bidi="en-GB"/>
        </w:rPr>
      </w:pPr>
      <w:r w:rsidRPr="00595546">
        <w:rPr>
          <w:u w:val="single"/>
          <w:lang w:bidi="en-GB"/>
        </w:rPr>
        <w:t xml:space="preserve">Bestyrelsen udtaler følgende </w:t>
      </w:r>
      <w:r w:rsidR="00195927" w:rsidRPr="00595546">
        <w:rPr>
          <w:u w:val="single"/>
          <w:lang w:bidi="en-GB"/>
        </w:rPr>
        <w:t xml:space="preserve">om </w:t>
      </w:r>
      <w:r w:rsidR="00DB44D5" w:rsidRPr="00595546">
        <w:rPr>
          <w:u w:val="single"/>
          <w:lang w:bidi="en-GB"/>
        </w:rPr>
        <w:t>Tilbudsgiver</w:t>
      </w:r>
      <w:r w:rsidRPr="00595546">
        <w:rPr>
          <w:u w:val="single"/>
          <w:lang w:bidi="en-GB"/>
        </w:rPr>
        <w:t xml:space="preserve">s således </w:t>
      </w:r>
      <w:r w:rsidR="00595546" w:rsidRPr="00595546">
        <w:rPr>
          <w:u w:val="single"/>
          <w:lang w:bidi="en-GB"/>
        </w:rPr>
        <w:t>anførte hensigter</w:t>
      </w:r>
      <w:r w:rsidRPr="00595546">
        <w:rPr>
          <w:u w:val="single"/>
          <w:lang w:bidi="en-GB"/>
        </w:rPr>
        <w:t>:</w:t>
      </w:r>
    </w:p>
    <w:p w14:paraId="51B197A7" w14:textId="7A7DEF41" w:rsidR="00C022D7" w:rsidRPr="00595546" w:rsidRDefault="00564AEB" w:rsidP="00350AC9">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Bestyrelsen har </w:t>
      </w:r>
      <w:r w:rsidR="00E40632" w:rsidRPr="00595546">
        <w:rPr>
          <w:rFonts w:asciiTheme="majorHAnsi" w:hAnsiTheme="majorHAnsi" w:cstheme="majorHAnsi"/>
          <w:lang w:eastAsia="en-GB"/>
        </w:rPr>
        <w:t xml:space="preserve">nøje overvejet </w:t>
      </w:r>
      <w:r w:rsidR="00DB44D5" w:rsidRPr="00595546">
        <w:rPr>
          <w:rFonts w:asciiTheme="majorHAnsi" w:hAnsiTheme="majorHAnsi" w:cstheme="majorHAnsi"/>
          <w:lang w:eastAsia="en-GB"/>
        </w:rPr>
        <w:t>Tilbudsgiver</w:t>
      </w:r>
      <w:r w:rsidR="00E40632" w:rsidRPr="00595546">
        <w:rPr>
          <w:rFonts w:asciiTheme="majorHAnsi" w:hAnsiTheme="majorHAnsi" w:cstheme="majorHAnsi"/>
          <w:lang w:eastAsia="en-GB"/>
        </w:rPr>
        <w:t xml:space="preserve">s </w:t>
      </w:r>
      <w:r w:rsidR="00C24C5F" w:rsidRPr="00595546">
        <w:rPr>
          <w:rFonts w:asciiTheme="majorHAnsi" w:hAnsiTheme="majorHAnsi" w:cstheme="majorHAnsi"/>
          <w:lang w:eastAsia="en-GB"/>
        </w:rPr>
        <w:t xml:space="preserve">baggrund for </w:t>
      </w:r>
      <w:r w:rsidR="00DB44D5" w:rsidRPr="00595546">
        <w:rPr>
          <w:rFonts w:asciiTheme="majorHAnsi" w:hAnsiTheme="majorHAnsi" w:cstheme="majorHAnsi"/>
          <w:lang w:eastAsia="en-GB"/>
        </w:rPr>
        <w:t xml:space="preserve">Tilbuddet </w:t>
      </w:r>
      <w:r w:rsidR="00C24C5F" w:rsidRPr="00595546">
        <w:rPr>
          <w:rFonts w:asciiTheme="majorHAnsi" w:hAnsiTheme="majorHAnsi" w:cstheme="majorHAnsi"/>
          <w:lang w:eastAsia="en-GB"/>
        </w:rPr>
        <w:t xml:space="preserve">og dens strategiske </w:t>
      </w:r>
      <w:r w:rsidR="00E40632" w:rsidRPr="00595546">
        <w:rPr>
          <w:rFonts w:asciiTheme="majorHAnsi" w:hAnsiTheme="majorHAnsi" w:cstheme="majorHAnsi"/>
          <w:lang w:eastAsia="en-GB"/>
        </w:rPr>
        <w:t xml:space="preserve">planer. </w:t>
      </w:r>
    </w:p>
    <w:p w14:paraId="02520D4A" w14:textId="77777777" w:rsidR="00C022D7" w:rsidRPr="00595546" w:rsidRDefault="00C022D7" w:rsidP="00350AC9">
      <w:pPr>
        <w:pStyle w:val="DSBodyTextIndent1"/>
        <w:jc w:val="both"/>
        <w:rPr>
          <w:rFonts w:asciiTheme="majorHAnsi" w:hAnsiTheme="majorHAnsi" w:cstheme="majorHAnsi"/>
          <w:lang w:eastAsia="en-GB"/>
        </w:rPr>
      </w:pPr>
    </w:p>
    <w:p w14:paraId="6A75AA78" w14:textId="0B3C07E9" w:rsidR="004606DD" w:rsidRPr="00595546" w:rsidRDefault="00E40632" w:rsidP="00350AC9">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Bestyrelsen er enig i, at </w:t>
      </w:r>
      <w:r w:rsidR="00DB44D5" w:rsidRPr="00595546">
        <w:rPr>
          <w:rFonts w:asciiTheme="majorHAnsi" w:hAnsiTheme="majorHAnsi" w:cstheme="majorHAnsi"/>
          <w:lang w:eastAsia="en-GB"/>
        </w:rPr>
        <w:t xml:space="preserve">Selskabets </w:t>
      </w:r>
      <w:r w:rsidR="004606DD" w:rsidRPr="00595546">
        <w:rPr>
          <w:rFonts w:asciiTheme="majorHAnsi" w:hAnsiTheme="majorHAnsi" w:cstheme="majorHAnsi"/>
          <w:lang w:eastAsia="en-GB"/>
        </w:rPr>
        <w:t xml:space="preserve">forretning inden for </w:t>
      </w:r>
      <w:r w:rsidR="00027774" w:rsidRPr="00595546">
        <w:rPr>
          <w:rFonts w:asciiTheme="majorHAnsi" w:hAnsiTheme="majorHAnsi" w:cstheme="majorHAnsi"/>
          <w:lang w:eastAsia="en-GB"/>
        </w:rPr>
        <w:t>maskin</w:t>
      </w:r>
      <w:r w:rsidR="000A753E">
        <w:rPr>
          <w:rFonts w:asciiTheme="majorHAnsi" w:hAnsiTheme="majorHAnsi" w:cstheme="majorHAnsi"/>
          <w:lang w:eastAsia="en-GB"/>
        </w:rPr>
        <w:t xml:space="preserve">rengøring </w:t>
      </w:r>
      <w:r w:rsidR="004606DD" w:rsidRPr="00595546">
        <w:rPr>
          <w:rFonts w:asciiTheme="majorHAnsi" w:hAnsiTheme="majorHAnsi" w:cstheme="majorHAnsi"/>
          <w:lang w:eastAsia="en-GB"/>
        </w:rPr>
        <w:t xml:space="preserve">er et godt supplement til </w:t>
      </w:r>
      <w:r w:rsidR="00DB44D5" w:rsidRPr="00595546">
        <w:rPr>
          <w:rFonts w:asciiTheme="majorHAnsi" w:hAnsiTheme="majorHAnsi" w:cstheme="majorHAnsi"/>
          <w:lang w:eastAsia="en-GB"/>
        </w:rPr>
        <w:t>Tilbudsgiver</w:t>
      </w:r>
      <w:r w:rsidR="00027774" w:rsidRPr="00595546">
        <w:rPr>
          <w:rFonts w:asciiTheme="majorHAnsi" w:hAnsiTheme="majorHAnsi" w:cstheme="majorHAnsi"/>
          <w:lang w:eastAsia="en-GB"/>
        </w:rPr>
        <w:t xml:space="preserve">s forretning </w:t>
      </w:r>
      <w:r w:rsidR="00520409" w:rsidRPr="00595546">
        <w:rPr>
          <w:rFonts w:asciiTheme="majorHAnsi" w:hAnsiTheme="majorHAnsi" w:cstheme="majorHAnsi"/>
          <w:lang w:eastAsia="en-GB"/>
        </w:rPr>
        <w:t xml:space="preserve">inden for </w:t>
      </w:r>
      <w:r w:rsidR="00027774" w:rsidRPr="00595546">
        <w:rPr>
          <w:rFonts w:asciiTheme="majorHAnsi" w:hAnsiTheme="majorHAnsi" w:cstheme="majorHAnsi"/>
          <w:lang w:eastAsia="en-GB"/>
        </w:rPr>
        <w:t>manuel rengøring</w:t>
      </w:r>
      <w:r w:rsidR="00AB4859" w:rsidRPr="00595546">
        <w:rPr>
          <w:rFonts w:asciiTheme="majorHAnsi" w:hAnsiTheme="majorHAnsi" w:cstheme="majorHAnsi"/>
          <w:lang w:eastAsia="en-GB"/>
        </w:rPr>
        <w:t xml:space="preserve">, og at en sammenlægning heraf vil </w:t>
      </w:r>
      <w:r w:rsidR="00F83B7D" w:rsidRPr="00595546">
        <w:rPr>
          <w:rFonts w:asciiTheme="majorHAnsi" w:hAnsiTheme="majorHAnsi" w:cstheme="majorHAnsi"/>
          <w:lang w:eastAsia="en-GB"/>
        </w:rPr>
        <w:t xml:space="preserve">give vækstmuligheder for </w:t>
      </w:r>
      <w:r w:rsidR="007B4610" w:rsidRPr="00595546">
        <w:rPr>
          <w:rFonts w:asciiTheme="majorHAnsi" w:hAnsiTheme="majorHAnsi" w:cstheme="majorHAnsi"/>
          <w:lang w:eastAsia="en-GB"/>
        </w:rPr>
        <w:t xml:space="preserve">både </w:t>
      </w:r>
      <w:r w:rsidR="00DB44D5" w:rsidRPr="00595546">
        <w:rPr>
          <w:rFonts w:asciiTheme="majorHAnsi" w:hAnsiTheme="majorHAnsi" w:cstheme="majorHAnsi"/>
          <w:lang w:eastAsia="en-GB"/>
        </w:rPr>
        <w:t>Tilbudsgiver</w:t>
      </w:r>
      <w:r w:rsidR="007B4610" w:rsidRPr="00595546">
        <w:rPr>
          <w:rFonts w:asciiTheme="majorHAnsi" w:hAnsiTheme="majorHAnsi" w:cstheme="majorHAnsi"/>
          <w:lang w:eastAsia="en-GB"/>
        </w:rPr>
        <w:t xml:space="preserve"> og </w:t>
      </w:r>
      <w:r w:rsidR="00DB44D5" w:rsidRPr="00595546">
        <w:rPr>
          <w:rFonts w:asciiTheme="majorHAnsi" w:hAnsiTheme="majorHAnsi" w:cstheme="majorHAnsi"/>
          <w:lang w:eastAsia="en-GB"/>
        </w:rPr>
        <w:t>Selskabet</w:t>
      </w:r>
      <w:r w:rsidR="00F83B7D" w:rsidRPr="00595546">
        <w:rPr>
          <w:rFonts w:asciiTheme="majorHAnsi" w:hAnsiTheme="majorHAnsi" w:cstheme="majorHAnsi"/>
          <w:lang w:eastAsia="en-GB"/>
        </w:rPr>
        <w:t xml:space="preserve">. </w:t>
      </w:r>
    </w:p>
    <w:p w14:paraId="57571D85" w14:textId="77777777" w:rsidR="004606DD" w:rsidRPr="00595546" w:rsidRDefault="004606DD" w:rsidP="00350AC9">
      <w:pPr>
        <w:pStyle w:val="DSBodyTextIndent1"/>
        <w:jc w:val="both"/>
        <w:rPr>
          <w:rFonts w:asciiTheme="majorHAnsi" w:hAnsiTheme="majorHAnsi" w:cstheme="majorHAnsi"/>
          <w:lang w:eastAsia="en-GB"/>
        </w:rPr>
      </w:pPr>
    </w:p>
    <w:p w14:paraId="410D895F" w14:textId="33070F5E" w:rsidR="00BF2E52" w:rsidRPr="00595546" w:rsidRDefault="003F7875" w:rsidP="005777E8">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Selvom </w:t>
      </w:r>
      <w:r w:rsidR="00DB44D5" w:rsidRPr="00595546">
        <w:rPr>
          <w:rFonts w:asciiTheme="majorHAnsi" w:hAnsiTheme="majorHAnsi" w:cstheme="majorHAnsi"/>
          <w:lang w:eastAsia="en-GB"/>
        </w:rPr>
        <w:t xml:space="preserve">Selskabet </w:t>
      </w:r>
      <w:r w:rsidRPr="00595546">
        <w:rPr>
          <w:rFonts w:asciiTheme="majorHAnsi" w:hAnsiTheme="majorHAnsi" w:cstheme="majorHAnsi"/>
          <w:lang w:eastAsia="en-GB"/>
        </w:rPr>
        <w:t xml:space="preserve">er godt positioneret til at gennemføre sin strategi som et selvstændigt børsnoteret selskab, anerkender </w:t>
      </w:r>
      <w:r w:rsidR="00595546" w:rsidRPr="00595546">
        <w:rPr>
          <w:rFonts w:asciiTheme="majorHAnsi" w:hAnsiTheme="majorHAnsi" w:cstheme="majorHAnsi"/>
          <w:lang w:eastAsia="en-GB"/>
        </w:rPr>
        <w:t>Bestyrelsen</w:t>
      </w:r>
      <w:r w:rsidR="005777E8" w:rsidRPr="00595546">
        <w:rPr>
          <w:rFonts w:asciiTheme="majorHAnsi" w:hAnsiTheme="majorHAnsi" w:cstheme="majorHAnsi"/>
          <w:lang w:eastAsia="en-GB"/>
        </w:rPr>
        <w:t xml:space="preserve">, at </w:t>
      </w:r>
      <w:r w:rsidR="00DB44D5" w:rsidRPr="00595546">
        <w:rPr>
          <w:rFonts w:asciiTheme="majorHAnsi" w:hAnsiTheme="majorHAnsi" w:cstheme="majorHAnsi"/>
          <w:lang w:eastAsia="en-GB"/>
        </w:rPr>
        <w:t>Tilbudsgiver</w:t>
      </w:r>
      <w:r w:rsidR="005777E8" w:rsidRPr="00595546">
        <w:rPr>
          <w:rFonts w:asciiTheme="majorHAnsi" w:hAnsiTheme="majorHAnsi" w:cstheme="majorHAnsi"/>
          <w:lang w:eastAsia="en-GB"/>
        </w:rPr>
        <w:t xml:space="preserve"> har ret i, at </w:t>
      </w:r>
      <w:r w:rsidR="00DB44D5" w:rsidRPr="00595546">
        <w:rPr>
          <w:rFonts w:asciiTheme="majorHAnsi" w:hAnsiTheme="majorHAnsi" w:cstheme="majorHAnsi"/>
          <w:lang w:eastAsia="en-GB"/>
        </w:rPr>
        <w:t xml:space="preserve">Tilbuddet </w:t>
      </w:r>
      <w:r w:rsidR="005777E8" w:rsidRPr="00595546">
        <w:rPr>
          <w:rFonts w:asciiTheme="majorHAnsi" w:hAnsiTheme="majorHAnsi" w:cstheme="majorHAnsi"/>
          <w:lang w:eastAsia="en-GB"/>
        </w:rPr>
        <w:t xml:space="preserve">udgør en attraktiv strategisk mulighed, og at </w:t>
      </w:r>
      <w:r w:rsidR="00DB44D5" w:rsidRPr="00595546">
        <w:rPr>
          <w:rFonts w:asciiTheme="majorHAnsi" w:hAnsiTheme="majorHAnsi" w:cstheme="majorHAnsi"/>
          <w:lang w:eastAsia="en-GB"/>
        </w:rPr>
        <w:t xml:space="preserve">Selskabets </w:t>
      </w:r>
      <w:r w:rsidR="005777E8" w:rsidRPr="00595546">
        <w:rPr>
          <w:rFonts w:asciiTheme="majorHAnsi" w:hAnsiTheme="majorHAnsi" w:cstheme="majorHAnsi"/>
          <w:lang w:eastAsia="en-GB"/>
        </w:rPr>
        <w:t xml:space="preserve">ledende position, globale tilstedeværelse og avancerede kompetencer inden for digitalisering og automatisering i høj grad supplerer </w:t>
      </w:r>
      <w:r w:rsidR="00DB44D5" w:rsidRPr="00595546">
        <w:rPr>
          <w:rFonts w:asciiTheme="majorHAnsi" w:hAnsiTheme="majorHAnsi" w:cstheme="majorHAnsi"/>
          <w:lang w:eastAsia="en-GB"/>
        </w:rPr>
        <w:t>Tilbudsgiver</w:t>
      </w:r>
      <w:r w:rsidR="005777E8" w:rsidRPr="00595546">
        <w:rPr>
          <w:rFonts w:asciiTheme="majorHAnsi" w:hAnsiTheme="majorHAnsi" w:cstheme="majorHAnsi"/>
          <w:lang w:eastAsia="en-GB"/>
        </w:rPr>
        <w:t xml:space="preserve">s vision. </w:t>
      </w:r>
      <w:r w:rsidR="008E09DD" w:rsidRPr="00595546">
        <w:rPr>
          <w:rFonts w:asciiTheme="majorHAnsi" w:hAnsiTheme="majorHAnsi" w:cstheme="majorHAnsi"/>
          <w:lang w:eastAsia="en-GB"/>
        </w:rPr>
        <w:t xml:space="preserve">Bestyrelsen </w:t>
      </w:r>
      <w:r w:rsidR="00663CCD" w:rsidRPr="00595546">
        <w:rPr>
          <w:rFonts w:asciiTheme="majorHAnsi" w:hAnsiTheme="majorHAnsi" w:cstheme="majorHAnsi"/>
          <w:lang w:eastAsia="en-GB"/>
        </w:rPr>
        <w:t xml:space="preserve">mener, at </w:t>
      </w:r>
      <w:r w:rsidR="00DB44D5" w:rsidRPr="00595546">
        <w:rPr>
          <w:rFonts w:asciiTheme="majorHAnsi" w:hAnsiTheme="majorHAnsi" w:cstheme="majorHAnsi"/>
          <w:lang w:eastAsia="en-GB"/>
        </w:rPr>
        <w:t>Tilbudsgiver</w:t>
      </w:r>
      <w:r w:rsidR="00663CCD" w:rsidRPr="00595546">
        <w:rPr>
          <w:rFonts w:asciiTheme="majorHAnsi" w:hAnsiTheme="majorHAnsi" w:cstheme="majorHAnsi"/>
          <w:lang w:eastAsia="en-GB"/>
        </w:rPr>
        <w:t xml:space="preserve">s strategiske planer generelt er i overensstemmelse med </w:t>
      </w:r>
      <w:r w:rsidR="00DB44D5" w:rsidRPr="00595546">
        <w:rPr>
          <w:rFonts w:asciiTheme="majorHAnsi" w:hAnsiTheme="majorHAnsi" w:cstheme="majorHAnsi"/>
          <w:lang w:eastAsia="en-GB"/>
        </w:rPr>
        <w:t xml:space="preserve">Selskabets </w:t>
      </w:r>
      <w:r w:rsidR="00663CCD" w:rsidRPr="00595546">
        <w:rPr>
          <w:rFonts w:asciiTheme="majorHAnsi" w:hAnsiTheme="majorHAnsi" w:cstheme="majorHAnsi"/>
          <w:lang w:eastAsia="en-GB"/>
        </w:rPr>
        <w:t>langsigtede mål og kan skabe vækstmuligheder.</w:t>
      </w:r>
    </w:p>
    <w:p w14:paraId="42231B8F" w14:textId="77777777" w:rsidR="00BF2E52" w:rsidRPr="00595546" w:rsidRDefault="00BF2E52" w:rsidP="005777E8">
      <w:pPr>
        <w:pStyle w:val="DSBodyTextIndent1"/>
        <w:jc w:val="both"/>
        <w:rPr>
          <w:rFonts w:asciiTheme="majorHAnsi" w:hAnsiTheme="majorHAnsi" w:cstheme="majorHAnsi"/>
          <w:lang w:eastAsia="en-GB"/>
        </w:rPr>
      </w:pPr>
    </w:p>
    <w:p w14:paraId="1A0B3F1E" w14:textId="460A5E1D" w:rsidR="00C84588" w:rsidRPr="00595546" w:rsidRDefault="00DB44D5" w:rsidP="00C84588">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Tilbudsgiver </w:t>
      </w:r>
      <w:r w:rsidR="005777E8" w:rsidRPr="00595546">
        <w:rPr>
          <w:rFonts w:asciiTheme="majorHAnsi" w:hAnsiTheme="majorHAnsi" w:cstheme="majorHAnsi"/>
          <w:lang w:eastAsia="en-GB"/>
        </w:rPr>
        <w:t xml:space="preserve">har tilkendegivet, at </w:t>
      </w:r>
      <w:r w:rsidR="00F1018C">
        <w:rPr>
          <w:rFonts w:asciiTheme="majorHAnsi" w:hAnsiTheme="majorHAnsi" w:cstheme="majorHAnsi"/>
          <w:lang w:eastAsia="en-GB"/>
        </w:rPr>
        <w:t>man</w:t>
      </w:r>
      <w:r w:rsidR="005777E8" w:rsidRPr="00595546">
        <w:rPr>
          <w:rFonts w:asciiTheme="majorHAnsi" w:hAnsiTheme="majorHAnsi" w:cstheme="majorHAnsi"/>
          <w:lang w:eastAsia="en-GB"/>
        </w:rPr>
        <w:t xml:space="preserve"> agter at udnytte </w:t>
      </w:r>
      <w:r w:rsidRPr="00595546">
        <w:rPr>
          <w:rFonts w:asciiTheme="majorHAnsi" w:hAnsiTheme="majorHAnsi" w:cstheme="majorHAnsi"/>
          <w:lang w:eastAsia="en-GB"/>
        </w:rPr>
        <w:t xml:space="preserve">Selskabets </w:t>
      </w:r>
      <w:r w:rsidR="005777E8" w:rsidRPr="00595546">
        <w:rPr>
          <w:rFonts w:asciiTheme="majorHAnsi" w:hAnsiTheme="majorHAnsi" w:cstheme="majorHAnsi"/>
          <w:lang w:eastAsia="en-GB"/>
        </w:rPr>
        <w:t xml:space="preserve">erfarne ledelsesteam og regionale driftsmodel, samtidig med at den lokale ansvarlighed opretholdes, understøttet af global funktionel ekspertise. </w:t>
      </w:r>
      <w:r w:rsidR="008E09DD" w:rsidRPr="00595546">
        <w:rPr>
          <w:rFonts w:asciiTheme="majorHAnsi" w:hAnsiTheme="majorHAnsi" w:cstheme="majorHAnsi"/>
          <w:lang w:eastAsia="en-GB"/>
        </w:rPr>
        <w:t xml:space="preserve">Bestyrelsen </w:t>
      </w:r>
      <w:r w:rsidR="005777E8" w:rsidRPr="00595546">
        <w:rPr>
          <w:rFonts w:asciiTheme="majorHAnsi" w:hAnsiTheme="majorHAnsi" w:cstheme="majorHAnsi"/>
          <w:lang w:eastAsia="en-GB"/>
        </w:rPr>
        <w:t xml:space="preserve">anser denne tilgang for positiv for den operationelle kontinuitet og mener, at den kan understøtte </w:t>
      </w:r>
      <w:r w:rsidRPr="00595546">
        <w:rPr>
          <w:rFonts w:asciiTheme="majorHAnsi" w:hAnsiTheme="majorHAnsi" w:cstheme="majorHAnsi"/>
          <w:lang w:eastAsia="en-GB"/>
        </w:rPr>
        <w:t xml:space="preserve">Selskabets </w:t>
      </w:r>
      <w:r w:rsidR="005777E8" w:rsidRPr="00595546">
        <w:rPr>
          <w:rFonts w:asciiTheme="majorHAnsi" w:hAnsiTheme="majorHAnsi" w:cstheme="majorHAnsi"/>
          <w:lang w:eastAsia="en-GB"/>
        </w:rPr>
        <w:t xml:space="preserve">løbende forbedringsplaner. </w:t>
      </w:r>
      <w:r w:rsidR="004F01C9" w:rsidRPr="00595546">
        <w:rPr>
          <w:rFonts w:asciiTheme="majorHAnsi" w:hAnsiTheme="majorHAnsi" w:cstheme="majorHAnsi"/>
          <w:lang w:eastAsia="en-GB"/>
        </w:rPr>
        <w:t>Bestyrelsen noterer sig</w:t>
      </w:r>
      <w:r w:rsidR="005777E8" w:rsidRPr="00595546">
        <w:rPr>
          <w:rFonts w:asciiTheme="majorHAnsi" w:hAnsiTheme="majorHAnsi" w:cstheme="majorHAnsi"/>
          <w:lang w:eastAsia="en-GB"/>
        </w:rPr>
        <w:t xml:space="preserve"> også </w:t>
      </w:r>
      <w:r w:rsidRPr="00595546">
        <w:rPr>
          <w:rFonts w:asciiTheme="majorHAnsi" w:hAnsiTheme="majorHAnsi" w:cstheme="majorHAnsi"/>
          <w:lang w:eastAsia="en-GB"/>
        </w:rPr>
        <w:t>Tilbudsgiver</w:t>
      </w:r>
      <w:r w:rsidR="005777E8" w:rsidRPr="00595546">
        <w:rPr>
          <w:rFonts w:asciiTheme="majorHAnsi" w:hAnsiTheme="majorHAnsi" w:cstheme="majorHAnsi"/>
          <w:lang w:eastAsia="en-GB"/>
        </w:rPr>
        <w:t>s fokus på kulturel tilpasning og fælles værdier</w:t>
      </w:r>
      <w:r w:rsidR="004F01C9" w:rsidRPr="00595546">
        <w:rPr>
          <w:rFonts w:asciiTheme="majorHAnsi" w:hAnsiTheme="majorHAnsi" w:cstheme="majorHAnsi"/>
          <w:lang w:eastAsia="en-GB"/>
        </w:rPr>
        <w:t xml:space="preserve">. Bestyrelsen </w:t>
      </w:r>
      <w:r w:rsidR="005777E8" w:rsidRPr="00595546">
        <w:rPr>
          <w:rFonts w:asciiTheme="majorHAnsi" w:hAnsiTheme="majorHAnsi" w:cstheme="majorHAnsi"/>
          <w:lang w:eastAsia="en-GB"/>
        </w:rPr>
        <w:t xml:space="preserve">ser fordele ved adgang til bredere ressourcer og kapaciteter under </w:t>
      </w:r>
      <w:r w:rsidRPr="00595546">
        <w:rPr>
          <w:rFonts w:asciiTheme="majorHAnsi" w:hAnsiTheme="majorHAnsi" w:cstheme="majorHAnsi"/>
          <w:lang w:eastAsia="en-GB"/>
        </w:rPr>
        <w:t>Tilbudsgiver</w:t>
      </w:r>
      <w:r w:rsidR="005777E8" w:rsidRPr="00595546">
        <w:rPr>
          <w:rFonts w:asciiTheme="majorHAnsi" w:hAnsiTheme="majorHAnsi" w:cstheme="majorHAnsi"/>
          <w:lang w:eastAsia="en-GB"/>
        </w:rPr>
        <w:t>s ejerskab samt potentiel acceleration af væksten inden for maskinrensning og automatisering</w:t>
      </w:r>
      <w:r w:rsidR="00C84588" w:rsidRPr="00595546">
        <w:rPr>
          <w:rFonts w:asciiTheme="majorHAnsi" w:hAnsiTheme="majorHAnsi" w:cstheme="majorHAnsi"/>
          <w:lang w:eastAsia="en-GB"/>
        </w:rPr>
        <w:t>.</w:t>
      </w:r>
    </w:p>
    <w:p w14:paraId="710C954D" w14:textId="77777777" w:rsidR="00644673" w:rsidRPr="00595546" w:rsidRDefault="00644673" w:rsidP="00350AC9">
      <w:pPr>
        <w:pStyle w:val="DSBodyTextIndent1"/>
        <w:jc w:val="both"/>
        <w:rPr>
          <w:rFonts w:asciiTheme="majorHAnsi" w:hAnsiTheme="majorHAnsi" w:cstheme="majorHAnsi"/>
          <w:lang w:eastAsia="en-GB"/>
        </w:rPr>
      </w:pPr>
    </w:p>
    <w:p w14:paraId="1163E09F" w14:textId="075E4A9F" w:rsidR="00A06682" w:rsidRPr="00595546" w:rsidRDefault="00A06682" w:rsidP="00350AC9">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Som yderligere beskrevet i </w:t>
      </w:r>
      <w:r w:rsidR="00DB44D5" w:rsidRPr="00595546">
        <w:rPr>
          <w:rFonts w:asciiTheme="majorHAnsi" w:hAnsiTheme="majorHAnsi" w:cstheme="majorHAnsi"/>
          <w:lang w:eastAsia="en-GB"/>
        </w:rPr>
        <w:t xml:space="preserve">Tilbudsdokumentet </w:t>
      </w:r>
      <w:r w:rsidR="00CB5FAE" w:rsidRPr="00595546">
        <w:rPr>
          <w:rFonts w:asciiTheme="majorHAnsi" w:hAnsiTheme="majorHAnsi" w:cstheme="majorHAnsi"/>
          <w:lang w:eastAsia="en-GB"/>
        </w:rPr>
        <w:t xml:space="preserve">kan </w:t>
      </w:r>
      <w:r w:rsidR="00595546" w:rsidRPr="00595546">
        <w:rPr>
          <w:rFonts w:asciiTheme="majorHAnsi" w:hAnsiTheme="majorHAnsi" w:cstheme="majorHAnsi"/>
          <w:lang w:eastAsia="en-GB"/>
        </w:rPr>
        <w:t>Gennemførelsen</w:t>
      </w:r>
      <w:r w:rsidRPr="00595546">
        <w:rPr>
          <w:rFonts w:asciiTheme="majorHAnsi" w:hAnsiTheme="majorHAnsi" w:cstheme="majorHAnsi"/>
          <w:lang w:eastAsia="en-GB"/>
        </w:rPr>
        <w:t xml:space="preserve"> af </w:t>
      </w:r>
      <w:r w:rsidR="00DB44D5" w:rsidRPr="00595546">
        <w:rPr>
          <w:rFonts w:asciiTheme="majorHAnsi" w:hAnsiTheme="majorHAnsi" w:cstheme="majorHAnsi"/>
          <w:lang w:eastAsia="en-GB"/>
        </w:rPr>
        <w:t xml:space="preserve">Tilbuddet </w:t>
      </w:r>
      <w:r w:rsidRPr="00595546">
        <w:rPr>
          <w:rFonts w:asciiTheme="majorHAnsi" w:hAnsiTheme="majorHAnsi" w:cstheme="majorHAnsi"/>
          <w:lang w:eastAsia="en-GB"/>
        </w:rPr>
        <w:t xml:space="preserve">og </w:t>
      </w:r>
      <w:r w:rsidR="00DB44D5" w:rsidRPr="00595546">
        <w:rPr>
          <w:rFonts w:asciiTheme="majorHAnsi" w:hAnsiTheme="majorHAnsi" w:cstheme="majorHAnsi"/>
          <w:lang w:eastAsia="en-GB"/>
        </w:rPr>
        <w:t>Tilbudsgiver</w:t>
      </w:r>
      <w:r w:rsidR="00CB5FAE" w:rsidRPr="00595546">
        <w:rPr>
          <w:rFonts w:asciiTheme="majorHAnsi" w:hAnsiTheme="majorHAnsi" w:cstheme="majorHAnsi"/>
          <w:lang w:eastAsia="en-GB"/>
        </w:rPr>
        <w:t xml:space="preserve">s angivne prioriteter – herunder en potentiel </w:t>
      </w:r>
      <w:r w:rsidR="00F1018C">
        <w:rPr>
          <w:rFonts w:asciiTheme="majorHAnsi" w:hAnsiTheme="majorHAnsi" w:cstheme="majorHAnsi"/>
          <w:lang w:eastAsia="en-GB"/>
        </w:rPr>
        <w:t>tvangsindløsning</w:t>
      </w:r>
      <w:r w:rsidR="00CB5FAE" w:rsidRPr="00595546">
        <w:rPr>
          <w:rFonts w:asciiTheme="majorHAnsi" w:hAnsiTheme="majorHAnsi" w:cstheme="majorHAnsi"/>
          <w:lang w:eastAsia="en-GB"/>
        </w:rPr>
        <w:t xml:space="preserve"> og afnotering – for </w:t>
      </w:r>
      <w:r w:rsidR="00DB44D5" w:rsidRPr="00595546">
        <w:rPr>
          <w:rFonts w:asciiTheme="majorHAnsi" w:hAnsiTheme="majorHAnsi" w:cstheme="majorHAnsi"/>
          <w:lang w:eastAsia="en-GB"/>
        </w:rPr>
        <w:t>Aktionærer</w:t>
      </w:r>
      <w:r w:rsidR="00CB5FAE" w:rsidRPr="00595546">
        <w:rPr>
          <w:rFonts w:asciiTheme="majorHAnsi" w:hAnsiTheme="majorHAnsi" w:cstheme="majorHAnsi"/>
          <w:lang w:eastAsia="en-GB"/>
        </w:rPr>
        <w:t xml:space="preserve">, der ikke accepterer </w:t>
      </w:r>
      <w:r w:rsidR="00DB44D5" w:rsidRPr="00595546">
        <w:rPr>
          <w:rFonts w:asciiTheme="majorHAnsi" w:hAnsiTheme="majorHAnsi" w:cstheme="majorHAnsi"/>
          <w:lang w:eastAsia="en-GB"/>
        </w:rPr>
        <w:t>Tilbuddet</w:t>
      </w:r>
      <w:r w:rsidR="00CB5FAE" w:rsidRPr="00595546">
        <w:rPr>
          <w:rFonts w:asciiTheme="majorHAnsi" w:hAnsiTheme="majorHAnsi" w:cstheme="majorHAnsi"/>
          <w:lang w:eastAsia="en-GB"/>
        </w:rPr>
        <w:t xml:space="preserve">, resultere i en </w:t>
      </w:r>
      <w:r w:rsidR="008B6303" w:rsidRPr="00595546">
        <w:rPr>
          <w:rFonts w:asciiTheme="majorHAnsi" w:hAnsiTheme="majorHAnsi" w:cstheme="majorHAnsi"/>
          <w:lang w:eastAsia="en-GB"/>
        </w:rPr>
        <w:t xml:space="preserve">betydelig reduktion af </w:t>
      </w:r>
      <w:proofErr w:type="spellStart"/>
      <w:r w:rsidR="008B6303" w:rsidRPr="00595546">
        <w:rPr>
          <w:rFonts w:asciiTheme="majorHAnsi" w:hAnsiTheme="majorHAnsi" w:cstheme="majorHAnsi"/>
          <w:lang w:eastAsia="en-GB"/>
        </w:rPr>
        <w:t>free</w:t>
      </w:r>
      <w:proofErr w:type="spellEnd"/>
      <w:r w:rsidR="008B6303" w:rsidRPr="00595546">
        <w:rPr>
          <w:rFonts w:asciiTheme="majorHAnsi" w:hAnsiTheme="majorHAnsi" w:cstheme="majorHAnsi"/>
          <w:lang w:eastAsia="en-GB"/>
        </w:rPr>
        <w:t xml:space="preserve"> </w:t>
      </w:r>
      <w:proofErr w:type="spellStart"/>
      <w:r w:rsidR="008B6303" w:rsidRPr="00595546">
        <w:rPr>
          <w:rFonts w:asciiTheme="majorHAnsi" w:hAnsiTheme="majorHAnsi" w:cstheme="majorHAnsi"/>
          <w:lang w:eastAsia="en-GB"/>
        </w:rPr>
        <w:t>float</w:t>
      </w:r>
      <w:proofErr w:type="spellEnd"/>
      <w:r w:rsidR="008B6303" w:rsidRPr="00595546">
        <w:rPr>
          <w:rFonts w:asciiTheme="majorHAnsi" w:hAnsiTheme="majorHAnsi" w:cstheme="majorHAnsi"/>
          <w:lang w:eastAsia="en-GB"/>
        </w:rPr>
        <w:t xml:space="preserve"> og potentiel indvirkning på likviditeten af </w:t>
      </w:r>
      <w:r w:rsidR="00DB44D5" w:rsidRPr="00595546">
        <w:rPr>
          <w:rFonts w:asciiTheme="majorHAnsi" w:hAnsiTheme="majorHAnsi" w:cstheme="majorHAnsi"/>
          <w:lang w:eastAsia="en-GB"/>
        </w:rPr>
        <w:t xml:space="preserve">Aktierne </w:t>
      </w:r>
      <w:r w:rsidR="008B6303" w:rsidRPr="00595546">
        <w:rPr>
          <w:rFonts w:asciiTheme="majorHAnsi" w:hAnsiTheme="majorHAnsi" w:cstheme="majorHAnsi"/>
          <w:lang w:eastAsia="en-GB"/>
        </w:rPr>
        <w:t>på Nasdaq Copenhagen.</w:t>
      </w:r>
    </w:p>
    <w:p w14:paraId="0C478753" w14:textId="236E5731" w:rsidR="00524188" w:rsidRPr="00595546" w:rsidRDefault="00DB44D5" w:rsidP="00556179">
      <w:pPr>
        <w:pStyle w:val="Heading4"/>
        <w:jc w:val="both"/>
        <w:rPr>
          <w:lang w:bidi="en-GB"/>
        </w:rPr>
      </w:pPr>
      <w:bookmarkStart w:id="96" w:name="_Toc218590522"/>
      <w:r w:rsidRPr="00595546">
        <w:rPr>
          <w:lang w:bidi="en-GB"/>
        </w:rPr>
        <w:lastRenderedPageBreak/>
        <w:t>Tilbudsgivers</w:t>
      </w:r>
      <w:r w:rsidR="000A0B9F" w:rsidRPr="00595546">
        <w:rPr>
          <w:lang w:bidi="en-GB"/>
        </w:rPr>
        <w:t xml:space="preserve"> </w:t>
      </w:r>
      <w:r w:rsidR="00595546" w:rsidRPr="00595546">
        <w:rPr>
          <w:lang w:bidi="en-GB"/>
        </w:rPr>
        <w:t>hensigter</w:t>
      </w:r>
      <w:r w:rsidR="00BC1C37" w:rsidRPr="00595546">
        <w:rPr>
          <w:lang w:bidi="en-GB"/>
        </w:rPr>
        <w:t xml:space="preserve"> vedrørende </w:t>
      </w:r>
      <w:bookmarkStart w:id="97" w:name="_Ref214973609"/>
      <w:bookmarkStart w:id="98" w:name="_Toc215176008"/>
      <w:bookmarkEnd w:id="95"/>
      <w:r w:rsidRPr="00595546">
        <w:rPr>
          <w:lang w:bidi="en-GB"/>
        </w:rPr>
        <w:t>Koncernens</w:t>
      </w:r>
      <w:r w:rsidRPr="00595546">
        <w:rPr>
          <w:rFonts w:cs="Times New Roman"/>
        </w:rPr>
        <w:t xml:space="preserve"> </w:t>
      </w:r>
      <w:r w:rsidR="009E3DF6" w:rsidRPr="00595546">
        <w:rPr>
          <w:rFonts w:cs="Times New Roman"/>
        </w:rPr>
        <w:t>medarbejdere og ansættelsesvilkår samt hjemsted og hovedaktiviteter</w:t>
      </w:r>
      <w:bookmarkEnd w:id="96"/>
      <w:bookmarkEnd w:id="97"/>
      <w:bookmarkEnd w:id="98"/>
    </w:p>
    <w:p w14:paraId="0D8EA88C" w14:textId="718D7A67" w:rsidR="00C409D1" w:rsidRPr="00595546" w:rsidRDefault="00C409D1" w:rsidP="00A05058">
      <w:pPr>
        <w:pStyle w:val="DSBodyTextIndent1"/>
        <w:jc w:val="both"/>
        <w:rPr>
          <w:lang w:bidi="en-GB"/>
        </w:rPr>
      </w:pPr>
      <w:r w:rsidRPr="00595546">
        <w:rPr>
          <w:lang w:bidi="en-GB"/>
        </w:rPr>
        <w:t xml:space="preserve">I </w:t>
      </w:r>
      <w:r w:rsidR="00DB44D5" w:rsidRPr="00595546">
        <w:rPr>
          <w:lang w:bidi="en-GB"/>
        </w:rPr>
        <w:t xml:space="preserve">Tilbudsdokumentet </w:t>
      </w:r>
      <w:r w:rsidRPr="00595546">
        <w:rPr>
          <w:lang w:bidi="en-GB"/>
        </w:rPr>
        <w:t xml:space="preserve">har </w:t>
      </w:r>
      <w:r w:rsidR="00DB44D5" w:rsidRPr="00595546">
        <w:rPr>
          <w:lang w:bidi="en-GB"/>
        </w:rPr>
        <w:t>Tilbudsgiver</w:t>
      </w:r>
      <w:r w:rsidR="000A0B9F" w:rsidRPr="00595546">
        <w:rPr>
          <w:lang w:bidi="en-GB"/>
        </w:rPr>
        <w:t xml:space="preserve"> </w:t>
      </w:r>
      <w:r w:rsidR="00595546" w:rsidRPr="00595546">
        <w:rPr>
          <w:lang w:bidi="en-GB"/>
        </w:rPr>
        <w:t>anført</w:t>
      </w:r>
      <w:r w:rsidRPr="00595546">
        <w:rPr>
          <w:lang w:bidi="en-GB"/>
        </w:rPr>
        <w:t xml:space="preserve"> følgende vedrørende </w:t>
      </w:r>
      <w:r w:rsidR="00595546" w:rsidRPr="00595546">
        <w:rPr>
          <w:lang w:bidi="en-GB"/>
        </w:rPr>
        <w:t>hensigterne</w:t>
      </w:r>
      <w:r w:rsidRPr="00595546">
        <w:rPr>
          <w:lang w:bidi="en-GB"/>
        </w:rPr>
        <w:t xml:space="preserve"> for </w:t>
      </w:r>
      <w:r w:rsidR="00DB44D5" w:rsidRPr="00595546">
        <w:rPr>
          <w:lang w:bidi="en-GB"/>
        </w:rPr>
        <w:t xml:space="preserve">Koncernens </w:t>
      </w:r>
      <w:r w:rsidRPr="00595546">
        <w:t xml:space="preserve">medarbejdere og ansættelsesvilkår i </w:t>
      </w:r>
      <w:r w:rsidR="00DB44D5" w:rsidRPr="00595546">
        <w:t xml:space="preserve">Koncernen </w:t>
      </w:r>
      <w:r w:rsidR="00062E8D" w:rsidRPr="00595546">
        <w:t xml:space="preserve">samt i relation til </w:t>
      </w:r>
      <w:r w:rsidR="00DB44D5" w:rsidRPr="00595546">
        <w:t xml:space="preserve">Selskabets </w:t>
      </w:r>
      <w:r w:rsidR="00062E8D" w:rsidRPr="00595546">
        <w:t xml:space="preserve">hjemsted og </w:t>
      </w:r>
      <w:r w:rsidR="00907951" w:rsidRPr="00595546">
        <w:t>hovedaktiviteter</w:t>
      </w:r>
      <w:r w:rsidR="00062E8D" w:rsidRPr="00595546">
        <w:t xml:space="preserve"> </w:t>
      </w:r>
      <w:r w:rsidRPr="00595546">
        <w:t xml:space="preserve">efter </w:t>
      </w:r>
      <w:r w:rsidR="00595546" w:rsidRPr="00595546">
        <w:t>Gennemførelsen</w:t>
      </w:r>
      <w:r w:rsidRPr="00595546">
        <w:t xml:space="preserve"> af </w:t>
      </w:r>
      <w:r w:rsidR="00DB44D5" w:rsidRPr="00595546">
        <w:t>Tilbuddet</w:t>
      </w:r>
      <w:r w:rsidRPr="00595546">
        <w:rPr>
          <w:lang w:bidi="en-GB"/>
        </w:rPr>
        <w:t>:</w:t>
      </w:r>
    </w:p>
    <w:p w14:paraId="65C55EB0" w14:textId="77777777" w:rsidR="00852925" w:rsidRPr="00595546" w:rsidRDefault="00852925" w:rsidP="00A05058">
      <w:pPr>
        <w:pStyle w:val="DSBodyTextIndent1"/>
        <w:jc w:val="both"/>
        <w:rPr>
          <w:lang w:bidi="en-GB"/>
        </w:rPr>
      </w:pPr>
    </w:p>
    <w:p w14:paraId="0C0AC4F6" w14:textId="157D15A9" w:rsidR="00595546" w:rsidRPr="00595546" w:rsidRDefault="00852925"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w:t>
      </w:r>
      <w:r w:rsidR="00595546" w:rsidRPr="00595546">
        <w:rPr>
          <w:rFonts w:ascii="Arial" w:eastAsiaTheme="minorHAnsi" w:hAnsi="Arial" w:cstheme="minorBidi"/>
          <w:i/>
          <w:iCs/>
          <w:sz w:val="18"/>
          <w:lang w:eastAsia="en-US" w:bidi="en-GB"/>
        </w:rPr>
        <w:t xml:space="preserve">Tilbudsgiver har generelt til hensigt at støtte den fortsatte udvikling af Selskabet og Koncernen, herunder ved at sikre en robust operationel platform og en stærk organisation. </w:t>
      </w:r>
    </w:p>
    <w:p w14:paraId="2AB0E321" w14:textId="75CF1C8A" w:rsidR="00524188"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Med hensyn til medarbejderne overvejer Tilbudsgiver ikke som følge af gennemførelsen af Tilbuddet nogen generelle og væsentlige reduktioner i det samlede antal medarbejdere eller nogen generelle og væsentlige negative ændringer i ansættelsesvilkårene.</w:t>
      </w:r>
      <w:r w:rsidR="00852925" w:rsidRPr="00595546">
        <w:rPr>
          <w:rFonts w:ascii="Arial" w:eastAsiaTheme="minorHAnsi" w:hAnsi="Arial" w:cstheme="minorBidi"/>
          <w:i/>
          <w:iCs/>
          <w:sz w:val="18"/>
          <w:lang w:eastAsia="en-US" w:bidi="en-GB"/>
        </w:rPr>
        <w:t>"</w:t>
      </w:r>
    </w:p>
    <w:p w14:paraId="0B5705CE" w14:textId="77777777" w:rsidR="00852925" w:rsidRPr="00595546" w:rsidRDefault="00852925" w:rsidP="002126AB"/>
    <w:p w14:paraId="4B8CB0E3" w14:textId="558AF0F2" w:rsidR="00C409D1" w:rsidRPr="00595546" w:rsidRDefault="00B86488" w:rsidP="00A05058">
      <w:pPr>
        <w:pStyle w:val="DSBodyTextIndent1"/>
        <w:jc w:val="both"/>
        <w:rPr>
          <w:u w:val="single"/>
          <w:lang w:bidi="en-GB"/>
        </w:rPr>
      </w:pPr>
      <w:r w:rsidRPr="00595546">
        <w:rPr>
          <w:u w:val="single"/>
          <w:lang w:bidi="en-GB"/>
        </w:rPr>
        <w:t xml:space="preserve">Bestyrelsen </w:t>
      </w:r>
      <w:r w:rsidR="00BC1C37" w:rsidRPr="00595546">
        <w:rPr>
          <w:u w:val="single"/>
          <w:lang w:bidi="en-GB"/>
        </w:rPr>
        <w:t xml:space="preserve">udtaler </w:t>
      </w:r>
      <w:r w:rsidR="00C409D1" w:rsidRPr="00595546">
        <w:rPr>
          <w:u w:val="single"/>
          <w:lang w:bidi="en-GB"/>
        </w:rPr>
        <w:t xml:space="preserve">følgende </w:t>
      </w:r>
      <w:r w:rsidR="0018131F" w:rsidRPr="00595546">
        <w:rPr>
          <w:u w:val="single"/>
          <w:lang w:bidi="en-GB"/>
        </w:rPr>
        <w:t xml:space="preserve">om </w:t>
      </w:r>
      <w:r w:rsidR="00DB44D5" w:rsidRPr="00595546">
        <w:rPr>
          <w:u w:val="single"/>
          <w:lang w:bidi="en-GB"/>
        </w:rPr>
        <w:t>Tilbudsgiver</w:t>
      </w:r>
      <w:r w:rsidR="008B089F" w:rsidRPr="00595546">
        <w:rPr>
          <w:u w:val="single"/>
          <w:lang w:bidi="en-GB"/>
        </w:rPr>
        <w:t xml:space="preserve">s </w:t>
      </w:r>
      <w:r w:rsidR="00595546" w:rsidRPr="00595546">
        <w:rPr>
          <w:u w:val="single"/>
          <w:lang w:bidi="en-GB"/>
        </w:rPr>
        <w:t>således anførte hensigter</w:t>
      </w:r>
      <w:r w:rsidR="00C409D1" w:rsidRPr="00595546">
        <w:rPr>
          <w:u w:val="single"/>
          <w:lang w:bidi="en-GB"/>
        </w:rPr>
        <w:t>:</w:t>
      </w:r>
    </w:p>
    <w:p w14:paraId="6C04E7EA" w14:textId="7BC110A4" w:rsidR="003D6617" w:rsidRPr="00595546" w:rsidRDefault="001301C3" w:rsidP="003D6617">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Bestyrelsen </w:t>
      </w:r>
      <w:r w:rsidR="006001E7" w:rsidRPr="00595546">
        <w:rPr>
          <w:rFonts w:asciiTheme="majorHAnsi" w:hAnsiTheme="majorHAnsi" w:cstheme="majorHAnsi"/>
          <w:lang w:eastAsia="en-GB"/>
        </w:rPr>
        <w:t xml:space="preserve">finder, at </w:t>
      </w:r>
      <w:r w:rsidR="00DB44D5" w:rsidRPr="00595546">
        <w:rPr>
          <w:rFonts w:asciiTheme="majorHAnsi" w:hAnsiTheme="majorHAnsi" w:cstheme="majorHAnsi"/>
          <w:lang w:eastAsia="en-GB"/>
        </w:rPr>
        <w:t>Tilbudsgiver</w:t>
      </w:r>
      <w:r w:rsidRPr="00595546">
        <w:rPr>
          <w:rFonts w:asciiTheme="majorHAnsi" w:hAnsiTheme="majorHAnsi" w:cstheme="majorHAnsi"/>
          <w:lang w:eastAsia="en-GB"/>
        </w:rPr>
        <w:t xml:space="preserve">s </w:t>
      </w:r>
      <w:r w:rsidR="00E206A0" w:rsidRPr="00595546">
        <w:rPr>
          <w:rFonts w:asciiTheme="majorHAnsi" w:hAnsiTheme="majorHAnsi" w:cstheme="majorHAnsi"/>
          <w:lang w:eastAsia="en-GB"/>
        </w:rPr>
        <w:t xml:space="preserve">hensigt </w:t>
      </w:r>
      <w:r w:rsidRPr="00595546">
        <w:rPr>
          <w:rFonts w:asciiTheme="majorHAnsi" w:hAnsiTheme="majorHAnsi" w:cstheme="majorHAnsi"/>
          <w:lang w:eastAsia="en-GB"/>
        </w:rPr>
        <w:t xml:space="preserve">om fortsat udvikling af </w:t>
      </w:r>
      <w:r w:rsidR="00DB44D5" w:rsidRPr="00595546">
        <w:rPr>
          <w:rFonts w:asciiTheme="majorHAnsi" w:hAnsiTheme="majorHAnsi" w:cstheme="majorHAnsi"/>
          <w:lang w:eastAsia="en-GB"/>
        </w:rPr>
        <w:t xml:space="preserve">Selskabet </w:t>
      </w:r>
      <w:r w:rsidRPr="00595546">
        <w:rPr>
          <w:rFonts w:asciiTheme="majorHAnsi" w:hAnsiTheme="majorHAnsi" w:cstheme="majorHAnsi"/>
          <w:lang w:eastAsia="en-GB"/>
        </w:rPr>
        <w:t xml:space="preserve">og </w:t>
      </w:r>
      <w:r w:rsidR="00DB44D5" w:rsidRPr="00595546">
        <w:rPr>
          <w:rFonts w:asciiTheme="majorHAnsi" w:hAnsiTheme="majorHAnsi" w:cstheme="majorHAnsi"/>
          <w:lang w:eastAsia="en-GB"/>
        </w:rPr>
        <w:t xml:space="preserve">Koncernen </w:t>
      </w:r>
      <w:r w:rsidR="006001E7" w:rsidRPr="00595546">
        <w:rPr>
          <w:rFonts w:asciiTheme="majorHAnsi" w:hAnsiTheme="majorHAnsi" w:cstheme="majorHAnsi"/>
          <w:lang w:eastAsia="en-GB"/>
        </w:rPr>
        <w:t xml:space="preserve">er i overensstemmelse med </w:t>
      </w:r>
      <w:r w:rsidR="00DB44D5" w:rsidRPr="00595546">
        <w:rPr>
          <w:rFonts w:asciiTheme="majorHAnsi" w:hAnsiTheme="majorHAnsi" w:cstheme="majorHAnsi"/>
          <w:lang w:eastAsia="en-GB"/>
        </w:rPr>
        <w:t xml:space="preserve">Selskabets </w:t>
      </w:r>
      <w:r w:rsidR="006001E7" w:rsidRPr="00595546">
        <w:rPr>
          <w:rFonts w:asciiTheme="majorHAnsi" w:hAnsiTheme="majorHAnsi" w:cstheme="majorHAnsi"/>
          <w:lang w:eastAsia="en-GB"/>
        </w:rPr>
        <w:t xml:space="preserve">grundlæggende principper. </w:t>
      </w:r>
    </w:p>
    <w:p w14:paraId="45415A79" w14:textId="77777777" w:rsidR="003D6617" w:rsidRPr="00595546" w:rsidRDefault="003D6617" w:rsidP="003D6617">
      <w:pPr>
        <w:pStyle w:val="DSBodyTextIndent1"/>
        <w:jc w:val="both"/>
        <w:rPr>
          <w:rFonts w:asciiTheme="majorHAnsi" w:hAnsiTheme="majorHAnsi" w:cstheme="majorHAnsi"/>
          <w:lang w:eastAsia="en-GB"/>
        </w:rPr>
      </w:pPr>
    </w:p>
    <w:p w14:paraId="12CA853F" w14:textId="303EA852" w:rsidR="00C67D2C" w:rsidRPr="00595546" w:rsidRDefault="007039B1" w:rsidP="003D6617">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Bestyrelsen </w:t>
      </w:r>
      <w:r w:rsidR="00905119" w:rsidRPr="00595546">
        <w:rPr>
          <w:rFonts w:asciiTheme="majorHAnsi" w:hAnsiTheme="majorHAnsi" w:cstheme="majorHAnsi"/>
          <w:lang w:eastAsia="en-GB"/>
        </w:rPr>
        <w:t xml:space="preserve">noterer sig og hilser </w:t>
      </w:r>
      <w:r w:rsidR="00DB44D5" w:rsidRPr="00595546">
        <w:rPr>
          <w:rFonts w:asciiTheme="majorHAnsi" w:hAnsiTheme="majorHAnsi" w:cstheme="majorHAnsi"/>
          <w:lang w:eastAsia="en-GB"/>
        </w:rPr>
        <w:t>Tilbudsgiver</w:t>
      </w:r>
      <w:r w:rsidR="00905119" w:rsidRPr="00595546">
        <w:rPr>
          <w:rFonts w:asciiTheme="majorHAnsi" w:hAnsiTheme="majorHAnsi" w:cstheme="majorHAnsi"/>
          <w:lang w:eastAsia="en-GB"/>
        </w:rPr>
        <w:t>s tilsagn vedrørende medarbejdere og ansættelsesvilkår velkommen</w:t>
      </w:r>
      <w:r w:rsidR="000832DA" w:rsidRPr="00595546">
        <w:rPr>
          <w:rFonts w:asciiTheme="majorHAnsi" w:hAnsiTheme="majorHAnsi" w:cstheme="majorHAnsi"/>
          <w:lang w:eastAsia="en-GB"/>
        </w:rPr>
        <w:t xml:space="preserve">. Bestyrelsen </w:t>
      </w:r>
      <w:r w:rsidR="00C31A64" w:rsidRPr="00595546">
        <w:rPr>
          <w:rFonts w:asciiTheme="majorHAnsi" w:hAnsiTheme="majorHAnsi" w:cstheme="majorHAnsi"/>
          <w:lang w:eastAsia="en-GB"/>
        </w:rPr>
        <w:t xml:space="preserve">mener, at </w:t>
      </w:r>
      <w:r w:rsidR="00DB44D5" w:rsidRPr="00595546">
        <w:rPr>
          <w:rFonts w:asciiTheme="majorHAnsi" w:hAnsiTheme="majorHAnsi" w:cstheme="majorHAnsi"/>
          <w:lang w:eastAsia="en-GB"/>
        </w:rPr>
        <w:t xml:space="preserve">Selskabets </w:t>
      </w:r>
      <w:r w:rsidR="00C31A64" w:rsidRPr="00595546">
        <w:rPr>
          <w:rFonts w:asciiTheme="majorHAnsi" w:hAnsiTheme="majorHAnsi" w:cstheme="majorHAnsi"/>
          <w:lang w:eastAsia="en-GB"/>
        </w:rPr>
        <w:t xml:space="preserve">medarbejdere, fodaftryk og kultur </w:t>
      </w:r>
      <w:r w:rsidR="00DB5E18" w:rsidRPr="00595546">
        <w:rPr>
          <w:rFonts w:asciiTheme="majorHAnsi" w:hAnsiTheme="majorHAnsi" w:cstheme="majorHAnsi"/>
          <w:lang w:eastAsia="en-GB"/>
        </w:rPr>
        <w:t xml:space="preserve">er grundlaget for dets succes og position som global leder </w:t>
      </w:r>
      <w:r w:rsidR="003D6617" w:rsidRPr="00595546">
        <w:rPr>
          <w:rFonts w:asciiTheme="majorHAnsi" w:hAnsiTheme="majorHAnsi" w:cstheme="majorHAnsi"/>
          <w:lang w:eastAsia="en-GB"/>
        </w:rPr>
        <w:t>inden for sin branche.</w:t>
      </w:r>
    </w:p>
    <w:p w14:paraId="6DD8F85C" w14:textId="0D53C4D7" w:rsidR="00062E8D" w:rsidRPr="00595546" w:rsidRDefault="00DB44D5" w:rsidP="00062E8D">
      <w:pPr>
        <w:pStyle w:val="Heading4"/>
        <w:jc w:val="both"/>
        <w:rPr>
          <w:lang w:bidi="en-GB"/>
        </w:rPr>
      </w:pPr>
      <w:bookmarkStart w:id="99" w:name="_Ref206089155"/>
      <w:bookmarkStart w:id="100" w:name="_Toc218590523"/>
      <w:bookmarkStart w:id="101" w:name="_Ref194409842"/>
      <w:bookmarkStart w:id="102" w:name="_Toc194440329"/>
      <w:bookmarkStart w:id="103" w:name="_Ref506992034"/>
      <w:r w:rsidRPr="00595546">
        <w:t>Tilbudsgivers</w:t>
      </w:r>
      <w:r w:rsidR="00062E8D" w:rsidRPr="00595546">
        <w:t xml:space="preserve"> </w:t>
      </w:r>
      <w:r w:rsidR="00595546" w:rsidRPr="00595546">
        <w:t>hensigter</w:t>
      </w:r>
      <w:r w:rsidR="00062E8D" w:rsidRPr="00595546">
        <w:t xml:space="preserve"> vedrørende </w:t>
      </w:r>
      <w:r w:rsidR="00062E8D" w:rsidRPr="00595546">
        <w:rPr>
          <w:lang w:bidi="en-GB"/>
        </w:rPr>
        <w:t xml:space="preserve">ændringer </w:t>
      </w:r>
      <w:r w:rsidR="00AD2674" w:rsidRPr="00595546">
        <w:rPr>
          <w:rFonts w:cs="Times New Roman"/>
        </w:rPr>
        <w:t>i ledelse</w:t>
      </w:r>
      <w:r w:rsidR="00595546" w:rsidRPr="00595546">
        <w:rPr>
          <w:rFonts w:cs="Times New Roman"/>
        </w:rPr>
        <w:t>n</w:t>
      </w:r>
      <w:r w:rsidR="00AD2674" w:rsidRPr="00595546">
        <w:rPr>
          <w:rFonts w:cs="Times New Roman"/>
        </w:rPr>
        <w:t xml:space="preserve"> og </w:t>
      </w:r>
      <w:r w:rsidR="00595546" w:rsidRPr="00595546">
        <w:rPr>
          <w:rFonts w:cs="Times New Roman"/>
        </w:rPr>
        <w:t>B</w:t>
      </w:r>
      <w:r w:rsidR="00F47D3A" w:rsidRPr="00595546">
        <w:rPr>
          <w:rFonts w:cs="Times New Roman"/>
        </w:rPr>
        <w:t>estyrel</w:t>
      </w:r>
      <w:bookmarkEnd w:id="99"/>
      <w:r w:rsidR="00595546" w:rsidRPr="00595546">
        <w:rPr>
          <w:rFonts w:cs="Times New Roman"/>
        </w:rPr>
        <w:t>sen</w:t>
      </w:r>
      <w:bookmarkEnd w:id="100"/>
      <w:r w:rsidR="00AD2674" w:rsidRPr="00595546">
        <w:rPr>
          <w:rFonts w:cs="Times New Roman"/>
        </w:rPr>
        <w:t xml:space="preserve"> </w:t>
      </w:r>
    </w:p>
    <w:p w14:paraId="07DFB049" w14:textId="6051DA72" w:rsidR="00062E8D" w:rsidRPr="00595546" w:rsidRDefault="00062E8D" w:rsidP="00062E8D">
      <w:pPr>
        <w:pStyle w:val="DSBodyTextIndent1"/>
        <w:jc w:val="both"/>
      </w:pPr>
      <w:r w:rsidRPr="00595546">
        <w:t xml:space="preserve">I </w:t>
      </w:r>
      <w:r w:rsidR="00DB44D5" w:rsidRPr="00595546">
        <w:t xml:space="preserve">Tilbudsdokumentet </w:t>
      </w:r>
      <w:r w:rsidR="00BE3D47" w:rsidRPr="00595546">
        <w:rPr>
          <w:lang w:bidi="en-GB"/>
        </w:rPr>
        <w:t xml:space="preserve">har </w:t>
      </w:r>
      <w:r w:rsidR="00DB44D5" w:rsidRPr="00595546">
        <w:rPr>
          <w:lang w:bidi="en-GB"/>
        </w:rPr>
        <w:t>Tilbudsgiver</w:t>
      </w:r>
      <w:r w:rsidR="00BE3D47" w:rsidRPr="00595546">
        <w:rPr>
          <w:lang w:bidi="en-GB"/>
        </w:rPr>
        <w:t xml:space="preserve"> </w:t>
      </w:r>
      <w:r w:rsidR="00595546">
        <w:rPr>
          <w:lang w:bidi="en-GB"/>
        </w:rPr>
        <w:t>anført</w:t>
      </w:r>
      <w:r w:rsidR="00BE3D47" w:rsidRPr="00595546">
        <w:rPr>
          <w:lang w:bidi="en-GB"/>
        </w:rPr>
        <w:t xml:space="preserve"> følgende vedrørende </w:t>
      </w:r>
      <w:r w:rsidR="00DB44D5" w:rsidRPr="00595546">
        <w:rPr>
          <w:lang w:bidi="en-GB"/>
        </w:rPr>
        <w:t>Tilbudsgiver</w:t>
      </w:r>
      <w:r w:rsidR="00BE3D47" w:rsidRPr="00595546">
        <w:rPr>
          <w:lang w:bidi="en-GB"/>
        </w:rPr>
        <w:t xml:space="preserve">s </w:t>
      </w:r>
      <w:r w:rsidR="00595546" w:rsidRPr="00595546">
        <w:rPr>
          <w:lang w:bidi="en-GB"/>
        </w:rPr>
        <w:t>hensigter</w:t>
      </w:r>
      <w:r w:rsidR="00BE3D47" w:rsidRPr="00595546">
        <w:rPr>
          <w:lang w:bidi="en-GB"/>
        </w:rPr>
        <w:t xml:space="preserve"> med hensyn til </w:t>
      </w:r>
      <w:r w:rsidR="00DB44D5" w:rsidRPr="00595546">
        <w:rPr>
          <w:lang w:bidi="en-GB"/>
        </w:rPr>
        <w:t xml:space="preserve">Selskabets </w:t>
      </w:r>
      <w:r w:rsidR="00BE3D47" w:rsidRPr="00595546">
        <w:rPr>
          <w:lang w:bidi="en-GB"/>
        </w:rPr>
        <w:t xml:space="preserve">ledelse efter </w:t>
      </w:r>
      <w:r w:rsidR="00DB44D5" w:rsidRPr="00595546">
        <w:rPr>
          <w:lang w:bidi="en-GB"/>
        </w:rPr>
        <w:t xml:space="preserve">Tilbuddets </w:t>
      </w:r>
      <w:r w:rsidR="00BE3D47" w:rsidRPr="00595546">
        <w:rPr>
          <w:lang w:bidi="en-GB"/>
        </w:rPr>
        <w:t>gennemførelse:</w:t>
      </w:r>
    </w:p>
    <w:p w14:paraId="01C342B4" w14:textId="77777777" w:rsidR="00AC6AA4" w:rsidRPr="00595546" w:rsidRDefault="00AC6AA4" w:rsidP="00062E8D">
      <w:pPr>
        <w:pStyle w:val="DSBodyTextIndent1"/>
        <w:jc w:val="both"/>
      </w:pPr>
    </w:p>
    <w:p w14:paraId="4A43CAB1" w14:textId="72AC9069" w:rsidR="00595546" w:rsidRPr="00595546" w:rsidRDefault="00061F73"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w:t>
      </w:r>
      <w:r w:rsidR="00595546" w:rsidRPr="00595546">
        <w:rPr>
          <w:rFonts w:ascii="Arial" w:eastAsiaTheme="minorHAnsi" w:hAnsi="Arial" w:cstheme="minorBidi"/>
          <w:i/>
          <w:iCs/>
          <w:sz w:val="18"/>
          <w:lang w:eastAsia="en-US" w:bidi="en-GB"/>
        </w:rPr>
        <w:t xml:space="preserve">Tilbudsgiver værdsætter og sætter stor pris på, at Ledelsen har opbygget en meget succesrig virksomhed med en fremragende </w:t>
      </w:r>
      <w:proofErr w:type="spellStart"/>
      <w:r w:rsidR="00595546" w:rsidRPr="00595546">
        <w:rPr>
          <w:rFonts w:ascii="Arial" w:eastAsiaTheme="minorHAnsi" w:hAnsi="Arial" w:cstheme="minorBidi"/>
          <w:i/>
          <w:iCs/>
          <w:sz w:val="18"/>
          <w:lang w:eastAsia="en-US" w:bidi="en-GB"/>
        </w:rPr>
        <w:t>track</w:t>
      </w:r>
      <w:proofErr w:type="spellEnd"/>
      <w:r w:rsidR="00595546" w:rsidRPr="00595546">
        <w:rPr>
          <w:rFonts w:ascii="Arial" w:eastAsiaTheme="minorHAnsi" w:hAnsi="Arial" w:cstheme="minorBidi"/>
          <w:i/>
          <w:iCs/>
          <w:sz w:val="18"/>
          <w:lang w:eastAsia="en-US" w:bidi="en-GB"/>
        </w:rPr>
        <w:t xml:space="preserve"> </w:t>
      </w:r>
      <w:proofErr w:type="spellStart"/>
      <w:r w:rsidR="00595546" w:rsidRPr="00595546">
        <w:rPr>
          <w:rFonts w:ascii="Arial" w:eastAsiaTheme="minorHAnsi" w:hAnsi="Arial" w:cstheme="minorBidi"/>
          <w:i/>
          <w:iCs/>
          <w:sz w:val="18"/>
          <w:lang w:eastAsia="en-US" w:bidi="en-GB"/>
        </w:rPr>
        <w:t>record</w:t>
      </w:r>
      <w:proofErr w:type="spellEnd"/>
      <w:r w:rsidR="00595546" w:rsidRPr="00595546">
        <w:rPr>
          <w:rFonts w:ascii="Arial" w:eastAsiaTheme="minorHAnsi" w:hAnsi="Arial" w:cstheme="minorBidi"/>
          <w:i/>
          <w:iCs/>
          <w:sz w:val="18"/>
          <w:lang w:eastAsia="en-US" w:bidi="en-GB"/>
        </w:rPr>
        <w:t>. På datoen for dette Tilbudsdokument forventer Tilbudsgiver at fortsætte det tætte samarbejde med Ledelsen om at udvikle virksomheden.</w:t>
      </w:r>
    </w:p>
    <w:p w14:paraId="614FB6D6" w14:textId="379536DD" w:rsidR="00AC6AA4"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Tilbudsgiver har til hensigt at søge repræsentation i Bestyrelsen på et niveau, der på passende vis afspejler det ejerskab, som Tilbudsgiver i sidste ende opnår efter Gennemførelsen af Tilbuddet. Tilbudsgiver forventer derfor, at alle eller et flertal af de medlemmer af Bestyrelsen, der vælges af generalforsamlingen, vil blive udpeget på baggrund af forslag eller nomineringer efter konsultation med Tilbudsgiver efter Gennemførelsen. Bestyrelsen omfatter medarbejdervalgte repræsentanter, der er udpeget i overensstemmelse med Selskabsloven, og Tilbudsgiver har til hensigt, at denne medarbejderrepræsentation fortsætter uændret efter Gennemførelsen. Efter Tilbudsgivers bekræftelse af, at Betingelserne er opfyldt, og at Tilbuddet vil blive Gennemført, træffer Selskabet og Tilbudsgiver i fællesskab beslutning om en passende dato, hvor der afholdes en ekstraordinær generalforsamling i Selskabet med det formål at vælge nye og/eller yderligere medlemmer til Bestyrelsen."</w:t>
      </w:r>
    </w:p>
    <w:p w14:paraId="055C2526" w14:textId="77777777" w:rsidR="002126AB" w:rsidRPr="00595546" w:rsidRDefault="002126AB" w:rsidP="002126AB"/>
    <w:p w14:paraId="57ABE8A6" w14:textId="56C6FA06" w:rsidR="00AC6AA4" w:rsidRPr="00595546" w:rsidRDefault="00AC6AA4" w:rsidP="00AC6AA4">
      <w:pPr>
        <w:pStyle w:val="DSBodyTextIndent1"/>
        <w:jc w:val="both"/>
        <w:rPr>
          <w:u w:val="single"/>
          <w:lang w:bidi="en-GB"/>
        </w:rPr>
      </w:pPr>
      <w:r w:rsidRPr="00595546" w:rsidDel="00944E4A">
        <w:rPr>
          <w:u w:val="single"/>
          <w:lang w:bidi="en-GB"/>
        </w:rPr>
        <w:t xml:space="preserve">Bestyrelsen </w:t>
      </w:r>
      <w:r w:rsidRPr="00595546">
        <w:rPr>
          <w:u w:val="single"/>
          <w:lang w:bidi="en-GB"/>
        </w:rPr>
        <w:t xml:space="preserve">udtaler følgende </w:t>
      </w:r>
      <w:r w:rsidR="0018131F" w:rsidRPr="00595546">
        <w:rPr>
          <w:u w:val="single"/>
          <w:lang w:bidi="en-GB"/>
        </w:rPr>
        <w:t xml:space="preserve">om </w:t>
      </w:r>
      <w:r w:rsidR="00DB44D5" w:rsidRPr="00595546">
        <w:rPr>
          <w:u w:val="single"/>
          <w:lang w:bidi="en-GB"/>
        </w:rPr>
        <w:t>Tilbudsgiver</w:t>
      </w:r>
      <w:r w:rsidRPr="00595546">
        <w:rPr>
          <w:u w:val="single"/>
          <w:lang w:bidi="en-GB"/>
        </w:rPr>
        <w:t xml:space="preserve">s </w:t>
      </w:r>
      <w:r w:rsidR="00595546" w:rsidRPr="00595546">
        <w:rPr>
          <w:u w:val="single"/>
          <w:lang w:bidi="en-GB"/>
        </w:rPr>
        <w:t>således anførte hensigter</w:t>
      </w:r>
      <w:r w:rsidRPr="00595546">
        <w:rPr>
          <w:u w:val="single"/>
          <w:lang w:bidi="en-GB"/>
        </w:rPr>
        <w:t>:</w:t>
      </w:r>
    </w:p>
    <w:p w14:paraId="27208DE9" w14:textId="58E452C1" w:rsidR="007720CC" w:rsidRPr="00595546" w:rsidRDefault="007720CC" w:rsidP="0006728C">
      <w:pPr>
        <w:pStyle w:val="DSBodyTextIndent1"/>
        <w:jc w:val="both"/>
        <w:rPr>
          <w:rFonts w:asciiTheme="majorHAnsi" w:hAnsiTheme="majorHAnsi" w:cstheme="majorHAnsi"/>
          <w:lang w:eastAsia="en-GB"/>
        </w:rPr>
      </w:pPr>
      <w:bookmarkStart w:id="104" w:name="_Hlk134791542"/>
      <w:r w:rsidRPr="00595546">
        <w:rPr>
          <w:rFonts w:asciiTheme="majorHAnsi" w:hAnsiTheme="majorHAnsi" w:cstheme="majorHAnsi"/>
          <w:lang w:eastAsia="en-GB"/>
        </w:rPr>
        <w:t xml:space="preserve">Bestyrelsen hilser </w:t>
      </w:r>
      <w:r w:rsidR="00DB44D5" w:rsidRPr="00595546">
        <w:rPr>
          <w:rFonts w:asciiTheme="majorHAnsi" w:hAnsiTheme="majorHAnsi" w:cstheme="majorHAnsi"/>
          <w:lang w:eastAsia="en-GB"/>
        </w:rPr>
        <w:t>Tilbudsgiver</w:t>
      </w:r>
      <w:r w:rsidRPr="00595546">
        <w:rPr>
          <w:rFonts w:asciiTheme="majorHAnsi" w:hAnsiTheme="majorHAnsi" w:cstheme="majorHAnsi"/>
          <w:lang w:eastAsia="en-GB"/>
        </w:rPr>
        <w:t xml:space="preserve">s anerkendelse af </w:t>
      </w:r>
      <w:r w:rsidR="00DB44D5" w:rsidRPr="00595546">
        <w:rPr>
          <w:rFonts w:asciiTheme="majorHAnsi" w:hAnsiTheme="majorHAnsi" w:cstheme="majorHAnsi"/>
          <w:lang w:eastAsia="en-GB"/>
        </w:rPr>
        <w:t xml:space="preserve">Selskabets </w:t>
      </w:r>
      <w:r w:rsidRPr="00595546">
        <w:rPr>
          <w:rFonts w:asciiTheme="majorHAnsi" w:hAnsiTheme="majorHAnsi" w:cstheme="majorHAnsi"/>
          <w:lang w:eastAsia="en-GB"/>
        </w:rPr>
        <w:t xml:space="preserve">ledelsesresultater og den erklærede hensigt om at arbejde tæt sammen med ledelsen om at gennemføre den næste fase af </w:t>
      </w:r>
      <w:r w:rsidR="00DB44D5" w:rsidRPr="00595546">
        <w:rPr>
          <w:rFonts w:asciiTheme="majorHAnsi" w:hAnsiTheme="majorHAnsi" w:cstheme="majorHAnsi"/>
          <w:lang w:eastAsia="en-GB"/>
        </w:rPr>
        <w:t xml:space="preserve">Selskabets </w:t>
      </w:r>
      <w:r w:rsidRPr="00595546">
        <w:rPr>
          <w:rFonts w:asciiTheme="majorHAnsi" w:hAnsiTheme="majorHAnsi" w:cstheme="majorHAnsi"/>
          <w:lang w:eastAsia="en-GB"/>
        </w:rPr>
        <w:t>strategi velkommen.</w:t>
      </w:r>
    </w:p>
    <w:p w14:paraId="2403D1C5" w14:textId="77777777" w:rsidR="00637AC7" w:rsidRPr="00595546" w:rsidRDefault="00637AC7" w:rsidP="008E569E">
      <w:pPr>
        <w:pStyle w:val="DSBodyTextIndent1"/>
        <w:jc w:val="both"/>
        <w:rPr>
          <w:rFonts w:asciiTheme="majorHAnsi" w:hAnsiTheme="majorHAnsi" w:cstheme="majorHAnsi"/>
          <w:lang w:eastAsia="en-GB"/>
        </w:rPr>
      </w:pPr>
    </w:p>
    <w:p w14:paraId="26F0EFB3" w14:textId="69DD4414" w:rsidR="007720CC" w:rsidRPr="00595546" w:rsidRDefault="00892B5D" w:rsidP="008E569E">
      <w:pPr>
        <w:pStyle w:val="DSBodyTextIndent1"/>
        <w:jc w:val="both"/>
        <w:rPr>
          <w:rFonts w:asciiTheme="majorHAnsi" w:hAnsiTheme="majorHAnsi" w:cstheme="majorHAnsi"/>
          <w:lang w:eastAsia="en-GB"/>
        </w:rPr>
      </w:pPr>
      <w:r w:rsidRPr="00595546">
        <w:rPr>
          <w:rFonts w:asciiTheme="majorHAnsi" w:hAnsiTheme="majorHAnsi" w:cstheme="majorHAnsi"/>
          <w:lang w:eastAsia="en-GB"/>
        </w:rPr>
        <w:lastRenderedPageBreak/>
        <w:t xml:space="preserve">Bestyrelsen </w:t>
      </w:r>
      <w:r w:rsidR="007720CC" w:rsidRPr="00595546">
        <w:rPr>
          <w:rFonts w:asciiTheme="majorHAnsi" w:hAnsiTheme="majorHAnsi" w:cstheme="majorHAnsi"/>
          <w:lang w:eastAsia="en-GB"/>
        </w:rPr>
        <w:t xml:space="preserve">noterer sig </w:t>
      </w:r>
      <w:r w:rsidR="00DB44D5" w:rsidRPr="00595546">
        <w:rPr>
          <w:rFonts w:asciiTheme="majorHAnsi" w:hAnsiTheme="majorHAnsi" w:cstheme="majorHAnsi"/>
          <w:lang w:eastAsia="en-GB"/>
        </w:rPr>
        <w:t>Tilbudsgiver</w:t>
      </w:r>
      <w:r w:rsidR="007720CC" w:rsidRPr="00595546">
        <w:rPr>
          <w:rFonts w:asciiTheme="majorHAnsi" w:hAnsiTheme="majorHAnsi" w:cstheme="majorHAnsi"/>
          <w:lang w:eastAsia="en-GB"/>
        </w:rPr>
        <w:t xml:space="preserve">s forventning om at søge repræsentation </w:t>
      </w:r>
      <w:r w:rsidR="0092166A" w:rsidRPr="00595546">
        <w:rPr>
          <w:rFonts w:asciiTheme="majorHAnsi" w:hAnsiTheme="majorHAnsi" w:cstheme="majorHAnsi"/>
          <w:lang w:eastAsia="en-GB"/>
        </w:rPr>
        <w:t xml:space="preserve">i </w:t>
      </w:r>
      <w:r w:rsidR="00595546" w:rsidRPr="00595546">
        <w:rPr>
          <w:rFonts w:asciiTheme="majorHAnsi" w:hAnsiTheme="majorHAnsi" w:cstheme="majorHAnsi"/>
          <w:lang w:eastAsia="en-GB"/>
        </w:rPr>
        <w:t xml:space="preserve">Bestyrelsen </w:t>
      </w:r>
      <w:r w:rsidR="007720CC" w:rsidRPr="00595546">
        <w:rPr>
          <w:rFonts w:asciiTheme="majorHAnsi" w:hAnsiTheme="majorHAnsi" w:cstheme="majorHAnsi"/>
          <w:lang w:eastAsia="en-GB"/>
        </w:rPr>
        <w:t xml:space="preserve">efter </w:t>
      </w:r>
      <w:r w:rsidR="00595546" w:rsidRPr="00595546">
        <w:rPr>
          <w:rFonts w:asciiTheme="majorHAnsi" w:hAnsiTheme="majorHAnsi" w:cstheme="majorHAnsi"/>
          <w:lang w:eastAsia="en-GB"/>
        </w:rPr>
        <w:t>Gennemførelsen</w:t>
      </w:r>
      <w:r w:rsidR="007720CC" w:rsidRPr="00595546">
        <w:rPr>
          <w:rFonts w:asciiTheme="majorHAnsi" w:hAnsiTheme="majorHAnsi" w:cstheme="majorHAnsi"/>
          <w:lang w:eastAsia="en-GB"/>
        </w:rPr>
        <w:t xml:space="preserve"> og anser dette for en naturlig konsekvens af ejerskiftet. Det bemærkes endvidere, at hvis </w:t>
      </w:r>
      <w:r w:rsidR="00DB44D5" w:rsidRPr="00595546">
        <w:rPr>
          <w:rFonts w:asciiTheme="majorHAnsi" w:hAnsiTheme="majorHAnsi" w:cstheme="majorHAnsi"/>
          <w:lang w:eastAsia="en-GB"/>
        </w:rPr>
        <w:t>Tilbudsgiver</w:t>
      </w:r>
      <w:r w:rsidR="007720CC" w:rsidRPr="00595546">
        <w:rPr>
          <w:rFonts w:asciiTheme="majorHAnsi" w:hAnsiTheme="majorHAnsi" w:cstheme="majorHAnsi"/>
          <w:lang w:eastAsia="en-GB"/>
        </w:rPr>
        <w:t xml:space="preserve"> efter </w:t>
      </w:r>
      <w:r w:rsidR="00595546" w:rsidRPr="00595546">
        <w:rPr>
          <w:rFonts w:asciiTheme="majorHAnsi" w:hAnsiTheme="majorHAnsi" w:cstheme="majorHAnsi"/>
          <w:lang w:eastAsia="en-GB"/>
        </w:rPr>
        <w:t>Gennemførelsen</w:t>
      </w:r>
      <w:r w:rsidR="007720CC" w:rsidRPr="00595546">
        <w:rPr>
          <w:rFonts w:asciiTheme="majorHAnsi" w:hAnsiTheme="majorHAnsi" w:cstheme="majorHAnsi"/>
          <w:lang w:eastAsia="en-GB"/>
        </w:rPr>
        <w:t xml:space="preserve"> ejer mere end 50 % af </w:t>
      </w:r>
      <w:r w:rsidR="00DB44D5" w:rsidRPr="00595546">
        <w:rPr>
          <w:rFonts w:asciiTheme="majorHAnsi" w:hAnsiTheme="majorHAnsi" w:cstheme="majorHAnsi"/>
          <w:lang w:eastAsia="en-GB"/>
        </w:rPr>
        <w:t xml:space="preserve">Aktierne </w:t>
      </w:r>
      <w:r w:rsidR="007720CC" w:rsidRPr="00595546">
        <w:rPr>
          <w:rFonts w:asciiTheme="majorHAnsi" w:hAnsiTheme="majorHAnsi" w:cstheme="majorHAnsi"/>
          <w:lang w:eastAsia="en-GB"/>
        </w:rPr>
        <w:t xml:space="preserve">(eksklusive </w:t>
      </w:r>
      <w:r w:rsidR="00DB44D5" w:rsidRPr="00595546">
        <w:rPr>
          <w:rFonts w:asciiTheme="majorHAnsi" w:hAnsiTheme="majorHAnsi" w:cstheme="majorHAnsi"/>
          <w:lang w:eastAsia="en-GB"/>
        </w:rPr>
        <w:t>Egne Aktier</w:t>
      </w:r>
      <w:r w:rsidR="007720CC" w:rsidRPr="00595546">
        <w:rPr>
          <w:rFonts w:asciiTheme="majorHAnsi" w:hAnsiTheme="majorHAnsi" w:cstheme="majorHAnsi"/>
          <w:lang w:eastAsia="en-GB"/>
        </w:rPr>
        <w:t xml:space="preserve">), vil </w:t>
      </w:r>
      <w:r w:rsidR="00DB44D5" w:rsidRPr="00595546">
        <w:rPr>
          <w:rFonts w:asciiTheme="majorHAnsi" w:hAnsiTheme="majorHAnsi" w:cstheme="majorHAnsi"/>
          <w:lang w:eastAsia="en-GB"/>
        </w:rPr>
        <w:t>Tilbudsgiver</w:t>
      </w:r>
      <w:r w:rsidR="007720CC" w:rsidRPr="00595546">
        <w:rPr>
          <w:rFonts w:asciiTheme="majorHAnsi" w:hAnsiTheme="majorHAnsi" w:cstheme="majorHAnsi"/>
          <w:lang w:eastAsia="en-GB"/>
        </w:rPr>
        <w:t xml:space="preserve"> i overensstemmelse med selskabslov</w:t>
      </w:r>
      <w:r w:rsidR="00595546">
        <w:rPr>
          <w:rFonts w:asciiTheme="majorHAnsi" w:hAnsiTheme="majorHAnsi" w:cstheme="majorHAnsi"/>
          <w:lang w:eastAsia="en-GB"/>
        </w:rPr>
        <w:t>en</w:t>
      </w:r>
      <w:r w:rsidR="007720CC" w:rsidRPr="00595546">
        <w:rPr>
          <w:rFonts w:asciiTheme="majorHAnsi" w:hAnsiTheme="majorHAnsi" w:cstheme="majorHAnsi"/>
          <w:lang w:eastAsia="en-GB"/>
        </w:rPr>
        <w:t xml:space="preserve"> </w:t>
      </w:r>
      <w:r w:rsidR="00772717" w:rsidRPr="00595546">
        <w:rPr>
          <w:rFonts w:asciiTheme="majorHAnsi" w:hAnsiTheme="majorHAnsi" w:cstheme="majorHAnsi"/>
          <w:lang w:eastAsia="en-GB"/>
        </w:rPr>
        <w:t>(</w:t>
      </w:r>
      <w:r w:rsidR="00595546" w:rsidRPr="00595546">
        <w:rPr>
          <w:rFonts w:asciiTheme="majorHAnsi" w:hAnsiTheme="majorHAnsi" w:cstheme="majorHAnsi"/>
          <w:lang w:eastAsia="en-GB"/>
        </w:rPr>
        <w:t xml:space="preserve">Lovbekendtgørelse </w:t>
      </w:r>
      <w:r w:rsidR="00634020" w:rsidRPr="00595546">
        <w:rPr>
          <w:rFonts w:asciiTheme="majorHAnsi" w:hAnsiTheme="majorHAnsi" w:cstheme="majorHAnsi"/>
          <w:lang w:eastAsia="en-GB"/>
        </w:rPr>
        <w:t>nr.</w:t>
      </w:r>
      <w:r w:rsidR="00FB057E" w:rsidRPr="00595546">
        <w:rPr>
          <w:rFonts w:asciiTheme="majorHAnsi" w:hAnsiTheme="majorHAnsi" w:cstheme="majorHAnsi"/>
          <w:lang w:eastAsia="en-GB"/>
        </w:rPr>
        <w:t xml:space="preserve"> 331 </w:t>
      </w:r>
      <w:r w:rsidR="00634020" w:rsidRPr="00595546">
        <w:rPr>
          <w:rFonts w:asciiTheme="majorHAnsi" w:hAnsiTheme="majorHAnsi" w:cstheme="majorHAnsi"/>
          <w:lang w:eastAsia="en-GB"/>
        </w:rPr>
        <w:t>af</w:t>
      </w:r>
      <w:r w:rsidR="00C5468A" w:rsidRPr="00595546">
        <w:rPr>
          <w:rFonts w:asciiTheme="majorHAnsi" w:hAnsiTheme="majorHAnsi" w:cstheme="majorHAnsi"/>
          <w:lang w:eastAsia="en-GB"/>
        </w:rPr>
        <w:t xml:space="preserve"> 20. marts 2025</w:t>
      </w:r>
      <w:r w:rsidR="00634020" w:rsidRPr="00595546">
        <w:rPr>
          <w:rFonts w:asciiTheme="majorHAnsi" w:hAnsiTheme="majorHAnsi" w:cstheme="majorHAnsi"/>
          <w:lang w:eastAsia="en-GB"/>
        </w:rPr>
        <w:t xml:space="preserve">, med </w:t>
      </w:r>
      <w:r w:rsidR="00595546" w:rsidRPr="00595546">
        <w:rPr>
          <w:rFonts w:asciiTheme="majorHAnsi" w:hAnsiTheme="majorHAnsi" w:cstheme="majorHAnsi"/>
          <w:lang w:eastAsia="en-GB"/>
        </w:rPr>
        <w:t xml:space="preserve">senere </w:t>
      </w:r>
      <w:r w:rsidR="00634020" w:rsidRPr="00595546">
        <w:rPr>
          <w:rFonts w:asciiTheme="majorHAnsi" w:hAnsiTheme="majorHAnsi" w:cstheme="majorHAnsi"/>
          <w:lang w:eastAsia="en-GB"/>
        </w:rPr>
        <w:t xml:space="preserve">ændringer </w:t>
      </w:r>
      <w:r w:rsidR="00DB44D5" w:rsidRPr="00595546">
        <w:rPr>
          <w:rFonts w:asciiTheme="majorHAnsi" w:hAnsiTheme="majorHAnsi" w:cstheme="majorHAnsi"/>
          <w:b/>
          <w:bCs/>
          <w:lang w:eastAsia="en-GB"/>
        </w:rPr>
        <w:t>Selskabsloven</w:t>
      </w:r>
      <w:r w:rsidR="00634020" w:rsidRPr="00595546">
        <w:rPr>
          <w:rFonts w:asciiTheme="majorHAnsi" w:hAnsiTheme="majorHAnsi" w:cstheme="majorHAnsi"/>
          <w:b/>
          <w:bCs/>
          <w:lang w:eastAsia="en-GB"/>
        </w:rPr>
        <w:t xml:space="preserve">) </w:t>
      </w:r>
      <w:r w:rsidR="007720CC" w:rsidRPr="00595546">
        <w:rPr>
          <w:rFonts w:asciiTheme="majorHAnsi" w:hAnsiTheme="majorHAnsi" w:cstheme="majorHAnsi"/>
          <w:lang w:eastAsia="en-GB"/>
        </w:rPr>
        <w:t xml:space="preserve">og </w:t>
      </w:r>
      <w:r w:rsidR="00DB44D5" w:rsidRPr="00595546">
        <w:rPr>
          <w:rFonts w:asciiTheme="majorHAnsi" w:hAnsiTheme="majorHAnsi" w:cstheme="majorHAnsi"/>
          <w:lang w:eastAsia="en-GB"/>
        </w:rPr>
        <w:t xml:space="preserve">Selskabets </w:t>
      </w:r>
      <w:r w:rsidR="007720CC" w:rsidRPr="00595546">
        <w:rPr>
          <w:rFonts w:asciiTheme="majorHAnsi" w:hAnsiTheme="majorHAnsi" w:cstheme="majorHAnsi"/>
          <w:lang w:eastAsia="en-GB"/>
        </w:rPr>
        <w:t xml:space="preserve">vedtægter være i stand til at vælge alle (og under alle omstændigheder et flertal af) de medlemmer af </w:t>
      </w:r>
      <w:r w:rsidR="00595546" w:rsidRPr="00595546">
        <w:rPr>
          <w:rFonts w:asciiTheme="majorHAnsi" w:hAnsiTheme="majorHAnsi" w:cstheme="majorHAnsi"/>
          <w:lang w:eastAsia="en-GB"/>
        </w:rPr>
        <w:t>Bestyrelsen</w:t>
      </w:r>
      <w:r w:rsidR="007720CC" w:rsidRPr="00595546">
        <w:rPr>
          <w:rFonts w:asciiTheme="majorHAnsi" w:hAnsiTheme="majorHAnsi" w:cstheme="majorHAnsi"/>
          <w:lang w:eastAsia="en-GB"/>
        </w:rPr>
        <w:t xml:space="preserve">, der vælges af generalforsamlingen. Selvom dette ikke ville være i overensstemmelse med anbefalingerne </w:t>
      </w:r>
      <w:r w:rsidR="00EE7736">
        <w:rPr>
          <w:rFonts w:asciiTheme="majorHAnsi" w:hAnsiTheme="majorHAnsi" w:cstheme="majorHAnsi"/>
          <w:lang w:eastAsia="en-GB"/>
        </w:rPr>
        <w:t>for</w:t>
      </w:r>
      <w:r w:rsidR="007720CC" w:rsidRPr="00595546">
        <w:rPr>
          <w:rFonts w:asciiTheme="majorHAnsi" w:hAnsiTheme="majorHAnsi" w:cstheme="majorHAnsi"/>
          <w:lang w:eastAsia="en-GB"/>
        </w:rPr>
        <w:t xml:space="preserve"> </w:t>
      </w:r>
      <w:r w:rsidR="007720CC" w:rsidRPr="009E3815">
        <w:rPr>
          <w:rFonts w:asciiTheme="majorHAnsi" w:hAnsiTheme="majorHAnsi" w:cstheme="majorHAnsi"/>
          <w:lang w:eastAsia="en-GB"/>
        </w:rPr>
        <w:t>god</w:t>
      </w:r>
      <w:r w:rsidR="007720CC" w:rsidRPr="00595546">
        <w:rPr>
          <w:rFonts w:asciiTheme="majorHAnsi" w:hAnsiTheme="majorHAnsi" w:cstheme="majorHAnsi"/>
          <w:lang w:eastAsia="en-GB"/>
        </w:rPr>
        <w:t xml:space="preserve"> selskabsledelse udstedt af </w:t>
      </w:r>
      <w:r w:rsidR="00EE7736">
        <w:rPr>
          <w:rFonts w:asciiTheme="majorHAnsi" w:hAnsiTheme="majorHAnsi" w:cstheme="majorHAnsi"/>
          <w:lang w:eastAsia="en-GB"/>
        </w:rPr>
        <w:t>K</w:t>
      </w:r>
      <w:r w:rsidR="007720CC" w:rsidRPr="00595546">
        <w:rPr>
          <w:rFonts w:asciiTheme="majorHAnsi" w:hAnsiTheme="majorHAnsi" w:cstheme="majorHAnsi"/>
          <w:lang w:eastAsia="en-GB"/>
        </w:rPr>
        <w:t>omité</w:t>
      </w:r>
      <w:r w:rsidR="00EE7736">
        <w:rPr>
          <w:rFonts w:asciiTheme="majorHAnsi" w:hAnsiTheme="majorHAnsi" w:cstheme="majorHAnsi"/>
          <w:lang w:eastAsia="en-GB"/>
        </w:rPr>
        <w:t>en</w:t>
      </w:r>
      <w:r w:rsidR="007720CC" w:rsidRPr="00595546">
        <w:rPr>
          <w:rFonts w:asciiTheme="majorHAnsi" w:hAnsiTheme="majorHAnsi" w:cstheme="majorHAnsi"/>
          <w:lang w:eastAsia="en-GB"/>
        </w:rPr>
        <w:t xml:space="preserve"> for </w:t>
      </w:r>
      <w:r w:rsidR="007720CC" w:rsidRPr="009E3815">
        <w:rPr>
          <w:rFonts w:asciiTheme="majorHAnsi" w:hAnsiTheme="majorHAnsi" w:cstheme="majorHAnsi"/>
          <w:lang w:eastAsia="en-GB"/>
        </w:rPr>
        <w:t>god</w:t>
      </w:r>
      <w:r w:rsidR="007720CC" w:rsidRPr="00595546">
        <w:rPr>
          <w:rFonts w:asciiTheme="majorHAnsi" w:hAnsiTheme="majorHAnsi" w:cstheme="majorHAnsi"/>
          <w:lang w:eastAsia="en-GB"/>
        </w:rPr>
        <w:t xml:space="preserve"> selskabsledelse</w:t>
      </w:r>
      <w:r w:rsidR="00B030D6" w:rsidRPr="00595546">
        <w:rPr>
          <w:rStyle w:val="FootnoteReference"/>
          <w:rFonts w:asciiTheme="majorHAnsi" w:hAnsiTheme="majorHAnsi" w:cstheme="majorHAnsi"/>
          <w:lang w:eastAsia="en-GB"/>
        </w:rPr>
        <w:footnoteReference w:id="4"/>
      </w:r>
      <w:r w:rsidR="007720CC" w:rsidRPr="00595546">
        <w:rPr>
          <w:rFonts w:asciiTheme="majorHAnsi" w:hAnsiTheme="majorHAnsi" w:cstheme="majorHAnsi"/>
          <w:lang w:eastAsia="en-GB"/>
        </w:rPr>
        <w:t>, udgør disse anbefalinger ikke-bindende retningslinjer for god praksis for selskaber, der er optaget til handel på Nasdaq Copenhagen.</w:t>
      </w:r>
    </w:p>
    <w:p w14:paraId="2312AD94" w14:textId="77777777" w:rsidR="00E319CA" w:rsidRPr="00595546" w:rsidRDefault="00E319CA" w:rsidP="00C32E4F">
      <w:pPr>
        <w:pStyle w:val="DSBodyTextIndent1"/>
        <w:jc w:val="both"/>
        <w:rPr>
          <w:rFonts w:asciiTheme="majorHAnsi" w:hAnsiTheme="majorHAnsi" w:cstheme="majorHAnsi"/>
          <w:lang w:eastAsia="en-GB"/>
        </w:rPr>
      </w:pPr>
    </w:p>
    <w:p w14:paraId="04286785" w14:textId="3D772612" w:rsidR="007720CC" w:rsidRPr="00595546" w:rsidRDefault="0092166A" w:rsidP="008E569E">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Bestyrelsen </w:t>
      </w:r>
      <w:r w:rsidR="007720CC" w:rsidRPr="00595546">
        <w:rPr>
          <w:rFonts w:asciiTheme="majorHAnsi" w:hAnsiTheme="majorHAnsi" w:cstheme="majorHAnsi"/>
          <w:lang w:eastAsia="en-GB"/>
        </w:rPr>
        <w:t xml:space="preserve">bemærker også, at bestyrelsesmedlemmer i et dansk aktieselskab skal varetage </w:t>
      </w:r>
      <w:r w:rsidR="00DB44D5" w:rsidRPr="00595546">
        <w:rPr>
          <w:rFonts w:asciiTheme="majorHAnsi" w:hAnsiTheme="majorHAnsi" w:cstheme="majorHAnsi"/>
          <w:lang w:eastAsia="en-GB"/>
        </w:rPr>
        <w:t xml:space="preserve">Selskabets </w:t>
      </w:r>
      <w:r w:rsidR="007720CC" w:rsidRPr="00595546">
        <w:rPr>
          <w:rFonts w:asciiTheme="majorHAnsi" w:hAnsiTheme="majorHAnsi" w:cstheme="majorHAnsi"/>
          <w:lang w:eastAsia="en-GB"/>
        </w:rPr>
        <w:t xml:space="preserve">og alle </w:t>
      </w:r>
      <w:r w:rsidR="00DB44D5" w:rsidRPr="00595546">
        <w:rPr>
          <w:rFonts w:asciiTheme="majorHAnsi" w:hAnsiTheme="majorHAnsi" w:cstheme="majorHAnsi"/>
          <w:lang w:eastAsia="en-GB"/>
        </w:rPr>
        <w:t xml:space="preserve">Aktionærers </w:t>
      </w:r>
      <w:r w:rsidR="007720CC" w:rsidRPr="00595546">
        <w:rPr>
          <w:rFonts w:asciiTheme="majorHAnsi" w:hAnsiTheme="majorHAnsi" w:cstheme="majorHAnsi"/>
          <w:lang w:eastAsia="en-GB"/>
        </w:rPr>
        <w:t xml:space="preserve">interesser på behørig vis og skal afstå fra at deltage i bestyrelsesbeslutninger, hvor de (eller en tilknyttet tredjepart) har en væsentlig interessekonflikt. </w:t>
      </w:r>
      <w:r w:rsidRPr="00595546">
        <w:rPr>
          <w:rFonts w:asciiTheme="majorHAnsi" w:hAnsiTheme="majorHAnsi" w:cstheme="majorHAnsi"/>
          <w:lang w:eastAsia="en-GB"/>
        </w:rPr>
        <w:t xml:space="preserve">Bestyrelsen </w:t>
      </w:r>
      <w:r w:rsidR="007720CC" w:rsidRPr="00595546">
        <w:rPr>
          <w:rFonts w:asciiTheme="majorHAnsi" w:hAnsiTheme="majorHAnsi" w:cstheme="majorHAnsi"/>
          <w:lang w:eastAsia="en-GB"/>
        </w:rPr>
        <w:t xml:space="preserve">har ingen grund til at tro, at et </w:t>
      </w:r>
      <w:r w:rsidRPr="00595546">
        <w:rPr>
          <w:rFonts w:asciiTheme="majorHAnsi" w:hAnsiTheme="majorHAnsi" w:cstheme="majorHAnsi"/>
          <w:lang w:eastAsia="en-GB"/>
        </w:rPr>
        <w:t xml:space="preserve">medlem af </w:t>
      </w:r>
      <w:r w:rsidR="00595546" w:rsidRPr="00595546">
        <w:rPr>
          <w:rFonts w:asciiTheme="majorHAnsi" w:hAnsiTheme="majorHAnsi" w:cstheme="majorHAnsi"/>
          <w:lang w:eastAsia="en-GB"/>
        </w:rPr>
        <w:t>Bestyrelsen</w:t>
      </w:r>
      <w:r w:rsidRPr="00595546">
        <w:rPr>
          <w:rFonts w:asciiTheme="majorHAnsi" w:hAnsiTheme="majorHAnsi" w:cstheme="majorHAnsi"/>
          <w:lang w:eastAsia="en-GB"/>
        </w:rPr>
        <w:t xml:space="preserve">, </w:t>
      </w:r>
      <w:r w:rsidR="007720CC" w:rsidRPr="00595546">
        <w:rPr>
          <w:rFonts w:asciiTheme="majorHAnsi" w:hAnsiTheme="majorHAnsi" w:cstheme="majorHAnsi"/>
          <w:lang w:eastAsia="en-GB"/>
        </w:rPr>
        <w:t xml:space="preserve">der vælges på en generalforsamling efter </w:t>
      </w:r>
      <w:r w:rsidR="00595546" w:rsidRPr="00595546">
        <w:rPr>
          <w:rFonts w:asciiTheme="majorHAnsi" w:hAnsiTheme="majorHAnsi" w:cstheme="majorHAnsi"/>
          <w:lang w:eastAsia="en-GB"/>
        </w:rPr>
        <w:t>Gennemførelsen</w:t>
      </w:r>
      <w:r w:rsidR="007720CC" w:rsidRPr="00595546">
        <w:rPr>
          <w:rFonts w:asciiTheme="majorHAnsi" w:hAnsiTheme="majorHAnsi" w:cstheme="majorHAnsi"/>
          <w:lang w:eastAsia="en-GB"/>
        </w:rPr>
        <w:t xml:space="preserve"> af </w:t>
      </w:r>
      <w:r w:rsidR="00DB44D5" w:rsidRPr="00595546">
        <w:rPr>
          <w:rFonts w:asciiTheme="majorHAnsi" w:hAnsiTheme="majorHAnsi" w:cstheme="majorHAnsi"/>
          <w:lang w:eastAsia="en-GB"/>
        </w:rPr>
        <w:t xml:space="preserve">Tilbuddet </w:t>
      </w:r>
      <w:r w:rsidR="007720CC" w:rsidRPr="00595546">
        <w:rPr>
          <w:rFonts w:asciiTheme="majorHAnsi" w:hAnsiTheme="majorHAnsi" w:cstheme="majorHAnsi"/>
          <w:lang w:eastAsia="en-GB"/>
        </w:rPr>
        <w:t xml:space="preserve">på </w:t>
      </w:r>
      <w:r w:rsidR="00DB44D5" w:rsidRPr="00595546">
        <w:rPr>
          <w:rFonts w:asciiTheme="majorHAnsi" w:hAnsiTheme="majorHAnsi" w:cstheme="majorHAnsi"/>
          <w:lang w:eastAsia="en-GB"/>
        </w:rPr>
        <w:t>Tilbudsgiver</w:t>
      </w:r>
      <w:r w:rsidR="007720CC" w:rsidRPr="00595546">
        <w:rPr>
          <w:rFonts w:asciiTheme="majorHAnsi" w:hAnsiTheme="majorHAnsi" w:cstheme="majorHAnsi"/>
          <w:lang w:eastAsia="en-GB"/>
        </w:rPr>
        <w:t>s forslag, ikke vil overholde disse og andre krav i henhold til gældende dansk lovgivning.</w:t>
      </w:r>
    </w:p>
    <w:p w14:paraId="53901A11" w14:textId="77777777" w:rsidR="0092166A" w:rsidRPr="00595546" w:rsidRDefault="0092166A" w:rsidP="00C32E4F">
      <w:pPr>
        <w:pStyle w:val="DSBodyTextIndent1"/>
        <w:jc w:val="both"/>
        <w:rPr>
          <w:rFonts w:asciiTheme="majorHAnsi" w:hAnsiTheme="majorHAnsi" w:cstheme="majorHAnsi"/>
          <w:lang w:eastAsia="en-GB"/>
        </w:rPr>
      </w:pPr>
    </w:p>
    <w:p w14:paraId="1D18035B" w14:textId="658CE31E" w:rsidR="007720CC" w:rsidRPr="00595546" w:rsidRDefault="007720CC" w:rsidP="00C32E4F">
      <w:pPr>
        <w:pStyle w:val="DSBodyTextIndent1"/>
        <w:jc w:val="both"/>
        <w:rPr>
          <w:rFonts w:asciiTheme="majorHAnsi" w:hAnsiTheme="majorHAnsi" w:cstheme="majorHAnsi"/>
          <w:lang w:eastAsia="en-GB"/>
        </w:rPr>
      </w:pPr>
      <w:r w:rsidRPr="00595546">
        <w:rPr>
          <w:rFonts w:asciiTheme="majorHAnsi" w:hAnsiTheme="majorHAnsi" w:cstheme="majorHAnsi"/>
          <w:lang w:eastAsia="en-GB"/>
        </w:rPr>
        <w:t xml:space="preserve">For at undgå tvivl bekræfter </w:t>
      </w:r>
      <w:r w:rsidR="00595546" w:rsidRPr="00595546">
        <w:rPr>
          <w:rFonts w:asciiTheme="majorHAnsi" w:hAnsiTheme="majorHAnsi" w:cstheme="majorHAnsi"/>
          <w:lang w:eastAsia="en-GB"/>
        </w:rPr>
        <w:t>Bestyrelsen</w:t>
      </w:r>
      <w:r w:rsidRPr="00595546">
        <w:rPr>
          <w:rFonts w:asciiTheme="majorHAnsi" w:hAnsiTheme="majorHAnsi" w:cstheme="majorHAnsi"/>
          <w:lang w:eastAsia="en-GB"/>
        </w:rPr>
        <w:t xml:space="preserve">, at der ikke foreligger aftaler eller forståelser mellem </w:t>
      </w:r>
      <w:r w:rsidR="00DB44D5" w:rsidRPr="00595546">
        <w:rPr>
          <w:rFonts w:asciiTheme="majorHAnsi" w:hAnsiTheme="majorHAnsi" w:cstheme="majorHAnsi"/>
          <w:lang w:eastAsia="en-GB"/>
        </w:rPr>
        <w:t>Tilbudsgiver</w:t>
      </w:r>
      <w:r w:rsidRPr="00595546">
        <w:rPr>
          <w:rFonts w:asciiTheme="majorHAnsi" w:hAnsiTheme="majorHAnsi" w:cstheme="majorHAnsi"/>
          <w:lang w:eastAsia="en-GB"/>
        </w:rPr>
        <w:t xml:space="preserve"> og nogen af de nuværende generalforsamlingsvalgte bestyrelsesmedlemmer om fortsættelse af </w:t>
      </w:r>
      <w:r w:rsidR="00D209F1">
        <w:rPr>
          <w:rFonts w:asciiTheme="majorHAnsi" w:hAnsiTheme="majorHAnsi" w:cstheme="majorHAnsi"/>
          <w:lang w:eastAsia="en-GB"/>
        </w:rPr>
        <w:t>bestyrelseshvervet</w:t>
      </w:r>
      <w:r w:rsidRPr="00595546">
        <w:rPr>
          <w:rFonts w:asciiTheme="majorHAnsi" w:hAnsiTheme="majorHAnsi" w:cstheme="majorHAnsi"/>
          <w:lang w:eastAsia="en-GB"/>
        </w:rPr>
        <w:t xml:space="preserve"> efter </w:t>
      </w:r>
      <w:r w:rsidR="00595546" w:rsidRPr="00595546">
        <w:rPr>
          <w:rFonts w:asciiTheme="majorHAnsi" w:hAnsiTheme="majorHAnsi" w:cstheme="majorHAnsi"/>
          <w:lang w:eastAsia="en-GB"/>
        </w:rPr>
        <w:t>Gennemførelsen</w:t>
      </w:r>
      <w:r w:rsidRPr="00595546">
        <w:rPr>
          <w:rFonts w:asciiTheme="majorHAnsi" w:hAnsiTheme="majorHAnsi" w:cstheme="majorHAnsi"/>
          <w:lang w:eastAsia="en-GB"/>
        </w:rPr>
        <w:t>.</w:t>
      </w:r>
    </w:p>
    <w:p w14:paraId="68B32F8A" w14:textId="25CFFDE9" w:rsidR="00C409D1" w:rsidRPr="00595546" w:rsidRDefault="00DB44D5" w:rsidP="00A05058">
      <w:pPr>
        <w:pStyle w:val="Heading4"/>
        <w:jc w:val="both"/>
        <w:rPr>
          <w:lang w:bidi="en-GB"/>
        </w:rPr>
      </w:pPr>
      <w:bookmarkStart w:id="105" w:name="_Ref205904855"/>
      <w:bookmarkStart w:id="106" w:name="_Toc218590524"/>
      <w:bookmarkEnd w:id="104"/>
      <w:r w:rsidRPr="00595546">
        <w:t>Tilbudsgivers</w:t>
      </w:r>
      <w:r w:rsidR="008B089F" w:rsidRPr="00595546">
        <w:t xml:space="preserve"> </w:t>
      </w:r>
      <w:r w:rsidR="00595546" w:rsidRPr="00595546">
        <w:t>hensigter</w:t>
      </w:r>
      <w:r w:rsidR="00C409D1" w:rsidRPr="00595546">
        <w:t xml:space="preserve"> vedrørende </w:t>
      </w:r>
      <w:bookmarkEnd w:id="101"/>
      <w:bookmarkEnd w:id="102"/>
      <w:r w:rsidR="00595546">
        <w:rPr>
          <w:lang w:bidi="en-GB"/>
        </w:rPr>
        <w:t>udlodning af midler</w:t>
      </w:r>
      <w:bookmarkEnd w:id="105"/>
      <w:bookmarkEnd w:id="106"/>
    </w:p>
    <w:p w14:paraId="6B902C7E" w14:textId="247FAFC3" w:rsidR="0018131F" w:rsidRPr="00595546" w:rsidRDefault="0018131F" w:rsidP="0018131F">
      <w:pPr>
        <w:pStyle w:val="NormalIndent"/>
      </w:pPr>
      <w:r w:rsidRPr="00595546">
        <w:t xml:space="preserve">I </w:t>
      </w:r>
      <w:r w:rsidR="00DB44D5" w:rsidRPr="00595546">
        <w:t xml:space="preserve">Tilbudsdokumentet </w:t>
      </w:r>
      <w:r w:rsidRPr="00595546">
        <w:t xml:space="preserve">har </w:t>
      </w:r>
      <w:r w:rsidR="00DB44D5" w:rsidRPr="00595546">
        <w:t>Tilbudsgiver</w:t>
      </w:r>
      <w:r w:rsidRPr="00595546">
        <w:t xml:space="preserve"> </w:t>
      </w:r>
      <w:r w:rsidR="00595546">
        <w:t>anført</w:t>
      </w:r>
      <w:r w:rsidRPr="00595546">
        <w:t xml:space="preserve"> følgende vedrørende udlodning af midler fra </w:t>
      </w:r>
      <w:r w:rsidR="00DB44D5" w:rsidRPr="00595546">
        <w:t xml:space="preserve">Selskabet </w:t>
      </w:r>
      <w:r w:rsidRPr="00595546">
        <w:t xml:space="preserve">efter </w:t>
      </w:r>
      <w:r w:rsidR="00595546" w:rsidRPr="00595546">
        <w:t>Gennemførelsen</w:t>
      </w:r>
      <w:r w:rsidRPr="00595546">
        <w:t xml:space="preserve"> af </w:t>
      </w:r>
      <w:r w:rsidR="00DB44D5" w:rsidRPr="00595546">
        <w:t>Tilbuddet</w:t>
      </w:r>
      <w:r w:rsidRPr="00595546">
        <w:t>:</w:t>
      </w:r>
    </w:p>
    <w:p w14:paraId="0322CDB9" w14:textId="77777777" w:rsidR="00C409D1" w:rsidRPr="00595546" w:rsidRDefault="00C409D1" w:rsidP="00A05058">
      <w:pPr>
        <w:pStyle w:val="DSBodyTextIndent1"/>
        <w:jc w:val="both"/>
      </w:pPr>
    </w:p>
    <w:p w14:paraId="5C9FF645" w14:textId="6254E574" w:rsidR="00595546" w:rsidRPr="00595546" w:rsidRDefault="0072060E" w:rsidP="00595546">
      <w:pPr>
        <w:pStyle w:val="BrdtekstMedIndryk"/>
        <w:ind w:left="1304"/>
        <w:jc w:val="both"/>
        <w:rPr>
          <w:rFonts w:ascii="Arial" w:eastAsiaTheme="minorHAnsi" w:hAnsi="Arial" w:cstheme="minorBidi"/>
          <w:i/>
          <w:iCs/>
          <w:sz w:val="18"/>
          <w:lang w:eastAsia="en-US" w:bidi="en-GB"/>
        </w:rPr>
      </w:pPr>
      <w:bookmarkStart w:id="107" w:name="_Toc194440330"/>
      <w:r w:rsidRPr="00595546">
        <w:rPr>
          <w:rFonts w:ascii="Arial" w:eastAsiaTheme="minorHAnsi" w:hAnsi="Arial" w:cstheme="minorBidi"/>
          <w:i/>
          <w:iCs/>
          <w:sz w:val="18"/>
          <w:lang w:eastAsia="en-US" w:bidi="en-GB"/>
        </w:rPr>
        <w:t>"</w:t>
      </w:r>
      <w:r w:rsidR="00595546" w:rsidRPr="00595546">
        <w:rPr>
          <w:rFonts w:ascii="Arial" w:eastAsiaTheme="minorHAnsi" w:hAnsi="Arial" w:cstheme="minorBidi"/>
          <w:i/>
          <w:iCs/>
          <w:sz w:val="18"/>
          <w:lang w:eastAsia="en-US" w:bidi="en-GB"/>
        </w:rPr>
        <w:t>Tilbudsgiver har på nuværende tidspunkt ikke planer om at udlodde midler fra Selskabet inden for de første tolv (12) måneder efter Gennemførelsen. Derved ændres Selskabets udbyttepraksis ikke.</w:t>
      </w:r>
    </w:p>
    <w:p w14:paraId="7FB7A4B5" w14:textId="7E5C5705"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For at undgå utilsigtede begrænsninger i mulighederne for at lade Selskabet udlodde midler til Tilbudsgiver samt andre Aktionærer efter Gennemførelsen af Tilbuddet som følge af kravene i Selskabsloven og oplysningskravene i Overtagelsesbekendtgørelsen, bør Aktionærerne være opmærksomme på, at Tilbudsgiver forbeholder sig ret til at foreslå, stemme for og/eller på anden måde tilvejebringe:</w:t>
      </w:r>
    </w:p>
    <w:p w14:paraId="4336A652" w14:textId="6281F107"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 xml:space="preserve">(i) at Selskabet erklærer eller udlodder midler i form af udbetaling af udbytte (ordinært eller ekstraordinært) inden for de første tolv (12) måneder efter Gennemførelsen til et samlet beløb, der ikke overstiger </w:t>
      </w:r>
      <w:proofErr w:type="spellStart"/>
      <w:r w:rsidRPr="00595546">
        <w:rPr>
          <w:rFonts w:ascii="Arial" w:eastAsiaTheme="minorHAnsi" w:hAnsi="Arial" w:cstheme="minorBidi"/>
          <w:i/>
          <w:iCs/>
          <w:sz w:val="18"/>
          <w:lang w:eastAsia="en-US" w:bidi="en-GB"/>
        </w:rPr>
        <w:t>EUR</w:t>
      </w:r>
      <w:proofErr w:type="spellEnd"/>
      <w:r w:rsidRPr="00595546">
        <w:rPr>
          <w:rFonts w:ascii="Arial" w:eastAsiaTheme="minorHAnsi" w:hAnsi="Arial" w:cstheme="minorBidi"/>
          <w:i/>
          <w:iCs/>
          <w:sz w:val="18"/>
          <w:lang w:eastAsia="en-US" w:bidi="en-GB"/>
        </w:rPr>
        <w:t xml:space="preserve"> 246,5 mio., svarende til Koncernens konsoliderede frie reserver pr. 31. december 2024 (som kan udloddes til Selskabet af dets Datterselskaber, der træffer beslutning om udbytte i overensstemmelse med Selskabsloven eller lignende udenlandsk Lovgivning) og i øvrigt i overensstemmelse med de begrænsninger for udlodning af udbytte, der er fastsat i Selskabsloven, og</w:t>
      </w:r>
    </w:p>
    <w:p w14:paraId="25625102" w14:textId="7D2A5DF1"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 xml:space="preserve">(ii) at Selskabet på anden lovlig måde foretager udlodninger gennem kapitalnedsættelse til udlodning til et samlet beløb på højst </w:t>
      </w:r>
      <w:proofErr w:type="spellStart"/>
      <w:r w:rsidRPr="00595546">
        <w:rPr>
          <w:rFonts w:ascii="Arial" w:eastAsiaTheme="minorHAnsi" w:hAnsi="Arial" w:cstheme="minorBidi"/>
          <w:i/>
          <w:iCs/>
          <w:sz w:val="18"/>
          <w:lang w:eastAsia="en-US" w:bidi="en-GB"/>
        </w:rPr>
        <w:t>EUR</w:t>
      </w:r>
      <w:proofErr w:type="spellEnd"/>
      <w:r w:rsidRPr="00595546">
        <w:rPr>
          <w:rFonts w:ascii="Arial" w:eastAsiaTheme="minorHAnsi" w:hAnsi="Arial" w:cstheme="minorBidi"/>
          <w:i/>
          <w:iCs/>
          <w:sz w:val="18"/>
          <w:lang w:eastAsia="en-US" w:bidi="en-GB"/>
        </w:rPr>
        <w:t xml:space="preserve"> 246,5 mio., svarende til Koncernens konsoliderede frie reserver pr. 31. december 2024 (som kan udloddes til Selskabet af dets Datterselskaber, der træffer beslutning om udbytte i overensstemmelse med Selskabsloven eller lignende udenlandsk Lovgivning) og i øvrigt i overensstemmelse med de begrænsninger for udlodning af udbytte, der er fastsat i Selskabsloven.</w:t>
      </w:r>
    </w:p>
    <w:p w14:paraId="797C00A6" w14:textId="3C7F278E" w:rsidR="0072060E"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lastRenderedPageBreak/>
        <w:t>Det nøjagtige tidspunkt og beløb for eventuelle udlodninger af midler efter Gennemførelsen afhænger af en række faktorer, herunder Selskabets og Tilbudsgivers interesser, Selskabets finansielle stilling, behov for driftskapital og tilgængeligheden af overskud til udlodning og likvide aktiver. Enhver udlodning af midler fra Selskabet vil ske i overensstemmelse med bestemmelserne i Selskabsloven og Selskabets til enhver tid gældende vedtægter. Det faktiske beløb for de udlodninger, der er beskrevet i afsnittene 8.5(i) og 8.5(ii) ovenfor inden for de første tolv (12) måneder efter Gennemførelsen, kan derfor i sidste ende være lavere end angivet i afsnittene 8.5(i) og 8.5(ii), og det er muligt, at sådanne udlodninger slet ikke vil finde sted."</w:t>
      </w:r>
    </w:p>
    <w:p w14:paraId="4205E40E" w14:textId="77777777" w:rsidR="00595546" w:rsidRPr="00595546" w:rsidRDefault="00595546" w:rsidP="00595546"/>
    <w:p w14:paraId="1CBBAD19" w14:textId="5C126936" w:rsidR="0079341E" w:rsidRPr="00595546" w:rsidRDefault="00DC4944" w:rsidP="00A05058">
      <w:pPr>
        <w:pStyle w:val="DSBodyTextIndent1"/>
        <w:jc w:val="both"/>
        <w:rPr>
          <w:u w:val="single"/>
          <w:lang w:bidi="en-GB"/>
        </w:rPr>
      </w:pPr>
      <w:r w:rsidRPr="00595546">
        <w:rPr>
          <w:u w:val="single"/>
          <w:lang w:bidi="en-GB"/>
        </w:rPr>
        <w:t xml:space="preserve">Bestyrelsen </w:t>
      </w:r>
      <w:r w:rsidR="00D27F02" w:rsidRPr="00595546">
        <w:rPr>
          <w:u w:val="single"/>
          <w:lang w:bidi="en-GB"/>
        </w:rPr>
        <w:t xml:space="preserve">udtaler </w:t>
      </w:r>
      <w:r w:rsidR="0079341E" w:rsidRPr="00595546">
        <w:rPr>
          <w:u w:val="single"/>
          <w:lang w:bidi="en-GB"/>
        </w:rPr>
        <w:t xml:space="preserve">følgende </w:t>
      </w:r>
      <w:r w:rsidR="0018131F" w:rsidRPr="00595546">
        <w:rPr>
          <w:u w:val="single"/>
          <w:lang w:bidi="en-GB"/>
        </w:rPr>
        <w:t xml:space="preserve">om </w:t>
      </w:r>
      <w:r w:rsidR="00DB44D5" w:rsidRPr="00595546">
        <w:rPr>
          <w:u w:val="single"/>
          <w:lang w:bidi="en-GB"/>
        </w:rPr>
        <w:t>Tilbudsgiver</w:t>
      </w:r>
      <w:r w:rsidR="0079341E" w:rsidRPr="00595546">
        <w:rPr>
          <w:u w:val="single"/>
          <w:lang w:bidi="en-GB"/>
        </w:rPr>
        <w:t xml:space="preserve">s </w:t>
      </w:r>
      <w:r w:rsidR="00595546" w:rsidRPr="00595546">
        <w:rPr>
          <w:u w:val="single"/>
          <w:lang w:bidi="en-GB"/>
        </w:rPr>
        <w:t>således anførte hensigter</w:t>
      </w:r>
      <w:r w:rsidR="0079341E" w:rsidRPr="00595546">
        <w:rPr>
          <w:u w:val="single"/>
          <w:lang w:bidi="en-GB"/>
        </w:rPr>
        <w:t>:</w:t>
      </w:r>
    </w:p>
    <w:p w14:paraId="12188A42" w14:textId="30590DC3" w:rsidR="00743404" w:rsidRPr="00595546" w:rsidRDefault="00743404" w:rsidP="00743404">
      <w:pPr>
        <w:pStyle w:val="DSBodyTextIndent1"/>
        <w:jc w:val="both"/>
      </w:pPr>
      <w:r w:rsidRPr="00595546">
        <w:t xml:space="preserve">Bestyrelsen noterer sig </w:t>
      </w:r>
      <w:r w:rsidR="00DB44D5" w:rsidRPr="00595546">
        <w:t>Tilbudsgiver</w:t>
      </w:r>
      <w:r w:rsidRPr="00595546">
        <w:t xml:space="preserve">s erklærede hensigt om, at eventuelle udlodninger inden for de første 12 måneder efter </w:t>
      </w:r>
      <w:r w:rsidR="00595546" w:rsidRPr="00595546">
        <w:t>Gennemførelsen</w:t>
      </w:r>
      <w:r w:rsidRPr="00595546">
        <w:t xml:space="preserve"> udelukkende vil blive fastsat efter </w:t>
      </w:r>
      <w:r w:rsidR="00DB44D5" w:rsidRPr="00595546">
        <w:t>Tilbudsgiver</w:t>
      </w:r>
      <w:r w:rsidRPr="00595546">
        <w:t xml:space="preserve">s skøn, underlagt gældende lovgivning, og kan være lavere end de angivne maksimumsbeløb </w:t>
      </w:r>
      <w:r w:rsidR="00825F5E" w:rsidRPr="00595546">
        <w:t xml:space="preserve">– </w:t>
      </w:r>
      <w:r w:rsidRPr="00595546">
        <w:t>eller måske slet ikke finde sted.</w:t>
      </w:r>
    </w:p>
    <w:p w14:paraId="57334814" w14:textId="77777777" w:rsidR="00825F5E" w:rsidRPr="00595546" w:rsidRDefault="00825F5E" w:rsidP="00C32E4F">
      <w:pPr>
        <w:pStyle w:val="DSBodyTextIndent1"/>
        <w:jc w:val="both"/>
      </w:pPr>
    </w:p>
    <w:p w14:paraId="4D7E8F1B" w14:textId="3F870289" w:rsidR="002A441E" w:rsidRPr="00595546" w:rsidRDefault="004A6F6A" w:rsidP="00C32E4F">
      <w:pPr>
        <w:pStyle w:val="DSBodyTextIndent1"/>
        <w:jc w:val="both"/>
      </w:pPr>
      <w:r w:rsidRPr="00595546">
        <w:t xml:space="preserve">Bestyrelsen </w:t>
      </w:r>
      <w:r w:rsidR="00743404" w:rsidRPr="00595546">
        <w:t xml:space="preserve">har ikke yderligere indsigt i </w:t>
      </w:r>
      <w:r w:rsidR="00DB44D5" w:rsidRPr="00595546">
        <w:t>Tilbudsgiver</w:t>
      </w:r>
      <w:r w:rsidR="00743404" w:rsidRPr="00595546">
        <w:t xml:space="preserve">s specifikke </w:t>
      </w:r>
      <w:r w:rsidR="00595546" w:rsidRPr="00595546">
        <w:t>hensigter</w:t>
      </w:r>
      <w:r w:rsidR="00743404" w:rsidRPr="00595546">
        <w:t xml:space="preserve"> vedrørende udlodninger efter </w:t>
      </w:r>
      <w:r w:rsidR="00595546" w:rsidRPr="00595546">
        <w:t>Gennemførelsen</w:t>
      </w:r>
      <w:r w:rsidR="00743404" w:rsidRPr="00595546">
        <w:t xml:space="preserve">, men har ingen grund til at tro, at sådanne udlodninger, hvis de foretages, vil være i strid med gældende dansk lovgivning eller være til skade for </w:t>
      </w:r>
      <w:r w:rsidR="00DB44D5" w:rsidRPr="00595546">
        <w:t xml:space="preserve">Selskabets </w:t>
      </w:r>
      <w:r w:rsidR="00743404" w:rsidRPr="00595546">
        <w:t>forretning og strategi.</w:t>
      </w:r>
    </w:p>
    <w:p w14:paraId="3F09F694" w14:textId="267FC090" w:rsidR="00C409D1" w:rsidRPr="00595546" w:rsidRDefault="00DB44D5" w:rsidP="00A05058">
      <w:pPr>
        <w:pStyle w:val="Heading4"/>
        <w:jc w:val="both"/>
      </w:pPr>
      <w:bookmarkStart w:id="108" w:name="_Toc218590525"/>
      <w:r w:rsidRPr="00595546">
        <w:t>Tilbudsgivers</w:t>
      </w:r>
      <w:r w:rsidR="00294830" w:rsidRPr="00595546">
        <w:t xml:space="preserve"> </w:t>
      </w:r>
      <w:r w:rsidR="00595546" w:rsidRPr="00595546">
        <w:t>hensigter</w:t>
      </w:r>
      <w:r w:rsidR="00C409D1" w:rsidRPr="00595546">
        <w:t xml:space="preserve"> vedrørende tvangs</w:t>
      </w:r>
      <w:bookmarkEnd w:id="103"/>
      <w:bookmarkEnd w:id="107"/>
      <w:r w:rsidR="00595546" w:rsidRPr="00595546">
        <w:t>indløsning</w:t>
      </w:r>
      <w:bookmarkEnd w:id="108"/>
      <w:r w:rsidR="0087111F" w:rsidRPr="00595546">
        <w:t xml:space="preserve"> </w:t>
      </w:r>
    </w:p>
    <w:p w14:paraId="7C456108" w14:textId="491A86E8" w:rsidR="00C409D1" w:rsidRPr="00595546" w:rsidRDefault="00C409D1" w:rsidP="00A05058">
      <w:pPr>
        <w:pStyle w:val="DSBodyTextIndent1"/>
        <w:jc w:val="both"/>
      </w:pPr>
      <w:r w:rsidRPr="00595546">
        <w:t xml:space="preserve">I </w:t>
      </w:r>
      <w:r w:rsidR="00DB44D5" w:rsidRPr="00595546">
        <w:t xml:space="preserve">Tilbudsdokumentet </w:t>
      </w:r>
      <w:r w:rsidRPr="00595546">
        <w:t xml:space="preserve">har </w:t>
      </w:r>
      <w:r w:rsidR="00DB44D5" w:rsidRPr="00595546">
        <w:t>Tilbudsgiver</w:t>
      </w:r>
      <w:r w:rsidR="000A0B9F" w:rsidRPr="00595546">
        <w:t xml:space="preserve"> </w:t>
      </w:r>
      <w:r w:rsidR="00595546">
        <w:t>anført</w:t>
      </w:r>
      <w:r w:rsidRPr="00595546">
        <w:t xml:space="preserve"> følgende vedrørende </w:t>
      </w:r>
      <w:r w:rsidR="00595546">
        <w:t>tvangsindløsning</w:t>
      </w:r>
      <w:r w:rsidR="002F073E" w:rsidRPr="00595546">
        <w:t xml:space="preserve"> </w:t>
      </w:r>
      <w:r w:rsidRPr="00595546">
        <w:t xml:space="preserve">af </w:t>
      </w:r>
      <w:r w:rsidR="00DB44D5" w:rsidRPr="00595546">
        <w:t xml:space="preserve">Selskabets </w:t>
      </w:r>
      <w:r w:rsidR="00595546">
        <w:t>resterende Aktionærer</w:t>
      </w:r>
      <w:r w:rsidRPr="00595546">
        <w:t xml:space="preserve"> efter </w:t>
      </w:r>
      <w:r w:rsidR="00595546" w:rsidRPr="00595546">
        <w:t>Gennemførelsen</w:t>
      </w:r>
      <w:r w:rsidRPr="00595546">
        <w:t xml:space="preserve"> af </w:t>
      </w:r>
      <w:r w:rsidR="00DB44D5" w:rsidRPr="00595546">
        <w:t>Tilbuddet</w:t>
      </w:r>
      <w:r w:rsidRPr="00595546">
        <w:t>:</w:t>
      </w:r>
    </w:p>
    <w:p w14:paraId="0CA864DF" w14:textId="77777777" w:rsidR="00C409D1" w:rsidRPr="00595546" w:rsidRDefault="00C409D1" w:rsidP="00A05058">
      <w:pPr>
        <w:pStyle w:val="DSBodyTextIndent1"/>
        <w:jc w:val="both"/>
      </w:pPr>
    </w:p>
    <w:p w14:paraId="19AB8F8F" w14:textId="501E453F" w:rsidR="00595546" w:rsidRPr="00595546" w:rsidRDefault="00E154A9"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w:t>
      </w:r>
      <w:r w:rsidR="00595546" w:rsidRPr="00595546">
        <w:rPr>
          <w:rFonts w:ascii="Arial" w:eastAsiaTheme="minorHAnsi" w:hAnsi="Arial" w:cstheme="minorBidi"/>
          <w:i/>
          <w:iCs/>
          <w:sz w:val="18"/>
          <w:lang w:eastAsia="en-US" w:bidi="en-GB"/>
        </w:rPr>
        <w:t xml:space="preserve">Hvis Tilbudsgiver efter Gennemførelsen har det påkrævede antal Aktier i henhold til Selskabsloven (mere end halvfems (90) procent af Aktierne og de tilknyttede stemmerettigheder, eksklusive Egne Aktier), agter Tilbudsgiver at indlede og gennemføre en tvangsindløsning af de resterende Aktier, der ejes af andre Aktionærer end Tilbudsgiver og Selskabet ved Gennemførelsen i overensstemmelse med Selskabsloven og </w:t>
      </w:r>
      <w:proofErr w:type="spellStart"/>
      <w:r w:rsidR="00595546" w:rsidRPr="00595546">
        <w:rPr>
          <w:rFonts w:ascii="Arial" w:eastAsiaTheme="minorHAnsi" w:hAnsi="Arial" w:cstheme="minorBidi"/>
          <w:i/>
          <w:iCs/>
          <w:sz w:val="18"/>
          <w:lang w:eastAsia="en-US" w:bidi="en-GB"/>
        </w:rPr>
        <w:t>VP</w:t>
      </w:r>
      <w:proofErr w:type="spellEnd"/>
      <w:r w:rsidR="00595546" w:rsidRPr="00595546">
        <w:rPr>
          <w:rFonts w:ascii="Arial" w:eastAsiaTheme="minorHAnsi" w:hAnsi="Arial" w:cstheme="minorBidi"/>
          <w:i/>
          <w:iCs/>
          <w:sz w:val="18"/>
          <w:lang w:eastAsia="en-US" w:bidi="en-GB"/>
        </w:rPr>
        <w:t xml:space="preserve"> </w:t>
      </w:r>
      <w:proofErr w:type="spellStart"/>
      <w:r w:rsidR="00595546" w:rsidRPr="00595546">
        <w:rPr>
          <w:rFonts w:ascii="Arial" w:eastAsiaTheme="minorHAnsi" w:hAnsi="Arial" w:cstheme="minorBidi"/>
          <w:i/>
          <w:iCs/>
          <w:sz w:val="18"/>
          <w:lang w:eastAsia="en-US" w:bidi="en-GB"/>
        </w:rPr>
        <w:t>Rule</w:t>
      </w:r>
      <w:proofErr w:type="spellEnd"/>
      <w:r w:rsidR="00595546" w:rsidRPr="00595546">
        <w:rPr>
          <w:rFonts w:ascii="Arial" w:eastAsiaTheme="minorHAnsi" w:hAnsi="Arial" w:cstheme="minorBidi"/>
          <w:i/>
          <w:iCs/>
          <w:sz w:val="18"/>
          <w:lang w:eastAsia="en-US" w:bidi="en-GB"/>
        </w:rPr>
        <w:t xml:space="preserve"> Book (“</w:t>
      </w:r>
      <w:r w:rsidR="00595546" w:rsidRPr="00595546">
        <w:rPr>
          <w:rFonts w:ascii="Arial" w:eastAsiaTheme="minorHAnsi" w:hAnsi="Arial" w:cstheme="minorBidi"/>
          <w:b/>
          <w:bCs/>
          <w:i/>
          <w:iCs/>
          <w:sz w:val="18"/>
          <w:lang w:eastAsia="en-US" w:bidi="en-GB"/>
        </w:rPr>
        <w:t>Tvangsindløsning</w:t>
      </w:r>
      <w:r w:rsidR="00595546" w:rsidRPr="00595546">
        <w:rPr>
          <w:rFonts w:ascii="Arial" w:eastAsiaTheme="minorHAnsi" w:hAnsi="Arial" w:cstheme="minorBidi"/>
          <w:i/>
          <w:iCs/>
          <w:sz w:val="18"/>
          <w:lang w:eastAsia="en-US" w:bidi="en-GB"/>
        </w:rPr>
        <w:t>”).</w:t>
      </w:r>
    </w:p>
    <w:p w14:paraId="65AF0E81" w14:textId="0EC3EEEF"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I henhold til gældende Lovgivning om Tvangsindløsning vil Tilbudsgiver Offentliggøre en meddelelse via Erhvervsstyrelsens IT-system til alle resterende Aktionærer, som vil indeholde oplysninger om Tvangsindløsningen, herunder indløsningskursen, grundlaget for beregning heraf og en erklæring fra Bestyrelsen om vilkårene og betingelserne for Tilbudsgivers Tvangsindløsning. I henhold til meddelelsen har alle resterende Aktionærer ret til i en periode på fire (4) uger at overdrage deres Aktier til Tilbudsgiver.</w:t>
      </w:r>
    </w:p>
    <w:p w14:paraId="07CC557D" w14:textId="14A04D3D"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 xml:space="preserve">I det omfang de resterende Aktionærer ikke har overført deres Aktier til Tilbudsgiver inden for denne periode på fire (4) uger, vil Tilbudsgiver tvangsindløse de ikke-overførte Aktier gennem </w:t>
      </w:r>
      <w:proofErr w:type="spellStart"/>
      <w:r w:rsidRPr="00595546">
        <w:rPr>
          <w:rFonts w:ascii="Arial" w:eastAsiaTheme="minorHAnsi" w:hAnsi="Arial" w:cstheme="minorBidi"/>
          <w:i/>
          <w:iCs/>
          <w:sz w:val="18"/>
          <w:lang w:eastAsia="en-US" w:bidi="en-GB"/>
        </w:rPr>
        <w:t>Euronext</w:t>
      </w:r>
      <w:proofErr w:type="spellEnd"/>
      <w:r w:rsidRPr="00595546">
        <w:rPr>
          <w:rFonts w:ascii="Arial" w:eastAsiaTheme="minorHAnsi" w:hAnsi="Arial" w:cstheme="minorBidi"/>
          <w:i/>
          <w:iCs/>
          <w:sz w:val="18"/>
          <w:lang w:eastAsia="en-US" w:bidi="en-GB"/>
        </w:rPr>
        <w:t xml:space="preserve"> </w:t>
      </w:r>
      <w:proofErr w:type="spellStart"/>
      <w:r w:rsidRPr="00595546">
        <w:rPr>
          <w:rFonts w:ascii="Arial" w:eastAsiaTheme="minorHAnsi" w:hAnsi="Arial" w:cstheme="minorBidi"/>
          <w:i/>
          <w:iCs/>
          <w:sz w:val="18"/>
          <w:lang w:eastAsia="en-US" w:bidi="en-GB"/>
        </w:rPr>
        <w:t>Securities</w:t>
      </w:r>
      <w:proofErr w:type="spellEnd"/>
      <w:r w:rsidRPr="00595546">
        <w:rPr>
          <w:rFonts w:ascii="Arial" w:eastAsiaTheme="minorHAnsi" w:hAnsi="Arial" w:cstheme="minorBidi"/>
          <w:i/>
          <w:iCs/>
          <w:sz w:val="18"/>
          <w:lang w:eastAsia="en-US" w:bidi="en-GB"/>
        </w:rPr>
        <w:t xml:space="preserve"> Copenhagen mod et kontant vederlag svarende til det, der gælder for Tvangsindløsningen, og som forventes at svare til Tilbudskursen. Herefter vil der blive Offentliggjort en meddelelse til de nu tidligere Aktionærer via Erhvervsstyrelsens IT-systemer med oplysninger om gennemførelsen af Tvangsindløsningen.</w:t>
      </w:r>
    </w:p>
    <w:p w14:paraId="44F86218" w14:textId="7AB3FBF3"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Indløsningskursen i en Tvangsindløsning (“</w:t>
      </w:r>
      <w:r w:rsidRPr="00595546">
        <w:rPr>
          <w:rFonts w:ascii="Arial" w:eastAsiaTheme="minorHAnsi" w:hAnsi="Arial" w:cstheme="minorBidi"/>
          <w:b/>
          <w:bCs/>
          <w:i/>
          <w:iCs/>
          <w:sz w:val="18"/>
          <w:lang w:eastAsia="en-US" w:bidi="en-GB"/>
        </w:rPr>
        <w:t>Tvangsindløsningsvederlaget</w:t>
      </w:r>
      <w:r w:rsidRPr="00595546">
        <w:rPr>
          <w:rFonts w:ascii="Arial" w:eastAsiaTheme="minorHAnsi" w:hAnsi="Arial" w:cstheme="minorBidi"/>
          <w:i/>
          <w:iCs/>
          <w:sz w:val="18"/>
          <w:lang w:eastAsia="en-US" w:bidi="en-GB"/>
        </w:rPr>
        <w:t>”), der indledes inden for tre (3) måneder efter udløbet af Tilbudsperioden, kan ikke anfægtes ved en retssag ved en domstol af Aktionærer, hvis Aktier er blevet indløst af Tilbudsgiver i forbindelse med Tvangsindløsningen (“</w:t>
      </w:r>
      <w:r w:rsidRPr="00595546">
        <w:rPr>
          <w:rFonts w:ascii="Arial" w:eastAsiaTheme="minorHAnsi" w:hAnsi="Arial" w:cstheme="minorBidi"/>
          <w:b/>
          <w:bCs/>
          <w:i/>
          <w:iCs/>
          <w:sz w:val="18"/>
          <w:lang w:eastAsia="en-US" w:bidi="en-GB"/>
        </w:rPr>
        <w:t>Tvangsindløste Aktionærer</w:t>
      </w:r>
      <w:r w:rsidRPr="00595546">
        <w:rPr>
          <w:rFonts w:ascii="Arial" w:eastAsiaTheme="minorHAnsi" w:hAnsi="Arial" w:cstheme="minorBidi"/>
          <w:i/>
          <w:iCs/>
          <w:sz w:val="18"/>
          <w:lang w:eastAsia="en-US" w:bidi="en-GB"/>
        </w:rPr>
        <w:t>”), forudsat at Tilbudsgiver gennem Tilbuddet har erhvervet mere end halvfems (90) procent af Aktierne i Tilbuddet. I sådanne tilfælde vil Tvangsindløsningsvederlaget derfor svare til Tilbudskursen.</w:t>
      </w:r>
    </w:p>
    <w:p w14:paraId="07D809B7" w14:textId="010C69A3"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 xml:space="preserve">Hvis Tvangsindløsningen indledes senere end tre (3) måneder efter udløbet af Tilbudsperioden, eller hvis Tilbudsgiver indleder Tvangsindløsningen uden at have erhvervet mere end halvfems (90) procent af Aktierne </w:t>
      </w:r>
      <w:r w:rsidRPr="00595546">
        <w:rPr>
          <w:rFonts w:ascii="Arial" w:eastAsiaTheme="minorHAnsi" w:hAnsi="Arial" w:cstheme="minorBidi"/>
          <w:i/>
          <w:iCs/>
          <w:sz w:val="18"/>
          <w:lang w:eastAsia="en-US" w:bidi="en-GB"/>
        </w:rPr>
        <w:lastRenderedPageBreak/>
        <w:t>i Tilbuddet, kan de Tvangsindløste Aktionærer anfægte Tvangsindløsningsvederlaget ved en retssag i Danmark. En sådan retssag vil ikke påvirke gennemførelsen og afviklingen af Tvangsindløsningen, da en anfægtelse af Tvangsindløsningsvederlaget ikke påvirker overdragelsen af adkomst til Aktier, der er omfattet af en Tvangsindløsning, dvs. hvis en Tvangsindløst Aktionær anfægter Tvangsindløsningsvederlaget ved de danske domstole (hvis vedkommende er berettiget hertil), vil en sådan anfægtelse ikke forsinke eller på anden måde forhindre den pligtmæssige erhvervelse af de resterende Aktier i henhold til Tvangsindløsningen.</w:t>
      </w:r>
    </w:p>
    <w:p w14:paraId="617C72FA" w14:textId="6380E430" w:rsidR="00524188"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Hvis Tilbudsgiver som følge af Tilbuddet ikke erhverver mere end halvfems (90) pro-cent af Aktierne i Tilbuddet, har Tilbudsgiver ikke ret til at Tvangsindløse de resterende Aktionærer, men kan, med forbehold for gældende Lovgivning, gøre dette på et senere tidspunkt, hvis Tilbudsgiver øger sin aktiepost i Selskabet til mere end halvfems (90) procent af den samlede udstedte aktiekapital og stemmerettighederne i Selskabet (eksklusive Egne Aktier), herunder som følge af eventuelle foranstaltninger og/eller transaktioner, der er nævnt i afsnit 8.1 (Baggrund for Tilbuddet og strategiske planer). I så fald vil Tvangsindløsningsvederlaget ikke nødvendigvis svare til Tilbudskursen."</w:t>
      </w:r>
    </w:p>
    <w:p w14:paraId="0557BBE0" w14:textId="77777777" w:rsidR="00E154A9" w:rsidRPr="00595546" w:rsidRDefault="00E154A9" w:rsidP="002126AB"/>
    <w:p w14:paraId="347E1321" w14:textId="686AADEE" w:rsidR="00C409D1" w:rsidRPr="00595546" w:rsidRDefault="00595546" w:rsidP="00A05058">
      <w:pPr>
        <w:pStyle w:val="DSBodyTextIndent1"/>
        <w:jc w:val="both"/>
        <w:rPr>
          <w:u w:val="single"/>
          <w:lang w:bidi="en-GB"/>
        </w:rPr>
      </w:pPr>
      <w:r w:rsidRPr="00595546">
        <w:rPr>
          <w:u w:val="single"/>
          <w:lang w:bidi="en-GB"/>
        </w:rPr>
        <w:t>Bestyrelsen udtaler følgende om Tilbudsgivers således anførte hensigter</w:t>
      </w:r>
      <w:r w:rsidR="00C409D1" w:rsidRPr="00595546">
        <w:rPr>
          <w:u w:val="single"/>
          <w:lang w:bidi="en-GB"/>
        </w:rPr>
        <w:t>:</w:t>
      </w:r>
    </w:p>
    <w:p w14:paraId="268D044A" w14:textId="0ECE7797" w:rsidR="00423546" w:rsidRPr="00595546" w:rsidRDefault="00DB632D" w:rsidP="00A05058">
      <w:pPr>
        <w:pStyle w:val="DSBodyTextIndent1"/>
        <w:jc w:val="both"/>
        <w:rPr>
          <w:lang w:bidi="en-GB"/>
        </w:rPr>
      </w:pPr>
      <w:r w:rsidRPr="00595546">
        <w:rPr>
          <w:lang w:bidi="en-GB"/>
        </w:rPr>
        <w:t xml:space="preserve">Bestyrelsen anerkender og finder det forventeligt og naturligt, at </w:t>
      </w:r>
      <w:r w:rsidR="00DB44D5" w:rsidRPr="00595546">
        <w:rPr>
          <w:lang w:bidi="en-GB"/>
        </w:rPr>
        <w:t>Tilbudsgiver</w:t>
      </w:r>
      <w:r w:rsidRPr="00595546">
        <w:rPr>
          <w:lang w:bidi="en-GB"/>
        </w:rPr>
        <w:t xml:space="preserve"> gennemfører en </w:t>
      </w:r>
      <w:r w:rsidR="00595546">
        <w:rPr>
          <w:lang w:bidi="en-GB"/>
        </w:rPr>
        <w:t>tvangsindløsning</w:t>
      </w:r>
      <w:r w:rsidRPr="00595546">
        <w:rPr>
          <w:lang w:bidi="en-GB"/>
        </w:rPr>
        <w:t xml:space="preserve"> af </w:t>
      </w:r>
      <w:r w:rsidR="00595546">
        <w:rPr>
          <w:lang w:bidi="en-GB"/>
        </w:rPr>
        <w:t>resterende Aktionærer</w:t>
      </w:r>
      <w:r w:rsidRPr="00595546">
        <w:rPr>
          <w:lang w:bidi="en-GB"/>
        </w:rPr>
        <w:t xml:space="preserve"> efter </w:t>
      </w:r>
      <w:r w:rsidR="00595546" w:rsidRPr="00595546">
        <w:rPr>
          <w:lang w:bidi="en-GB"/>
        </w:rPr>
        <w:t>Gennemførelsen</w:t>
      </w:r>
      <w:r w:rsidRPr="00595546">
        <w:rPr>
          <w:lang w:bidi="en-GB"/>
        </w:rPr>
        <w:t xml:space="preserve"> af </w:t>
      </w:r>
      <w:r w:rsidR="00DB44D5" w:rsidRPr="00595546">
        <w:rPr>
          <w:lang w:bidi="en-GB"/>
        </w:rPr>
        <w:t>Tilbuddet</w:t>
      </w:r>
      <w:r w:rsidRPr="00595546">
        <w:rPr>
          <w:lang w:bidi="en-GB"/>
        </w:rPr>
        <w:t xml:space="preserve">, hvis betingelserne i </w:t>
      </w:r>
      <w:r w:rsidR="00595546" w:rsidRPr="00595546">
        <w:rPr>
          <w:lang w:bidi="en-GB"/>
        </w:rPr>
        <w:t xml:space="preserve">Selskabsloven </w:t>
      </w:r>
      <w:r w:rsidRPr="00595546">
        <w:rPr>
          <w:lang w:bidi="en-GB"/>
        </w:rPr>
        <w:t>er opfyldt.</w:t>
      </w:r>
    </w:p>
    <w:p w14:paraId="0D81386A" w14:textId="10928F23" w:rsidR="00C409D1" w:rsidRPr="00595546" w:rsidRDefault="00DB44D5" w:rsidP="00A05058">
      <w:pPr>
        <w:pStyle w:val="Heading4"/>
        <w:jc w:val="both"/>
      </w:pPr>
      <w:bookmarkStart w:id="109" w:name="_Ref506992035"/>
      <w:bookmarkStart w:id="110" w:name="_Toc194440331"/>
      <w:bookmarkStart w:id="111" w:name="_Toc218590526"/>
      <w:r w:rsidRPr="00595546">
        <w:t>Tilbudsgivers</w:t>
      </w:r>
      <w:r w:rsidR="0062748D" w:rsidRPr="00595546">
        <w:t xml:space="preserve"> </w:t>
      </w:r>
      <w:r w:rsidR="00595546" w:rsidRPr="00595546">
        <w:t>hensigter</w:t>
      </w:r>
      <w:r w:rsidR="00C409D1" w:rsidRPr="00595546">
        <w:t xml:space="preserve"> vedrørende afnotering</w:t>
      </w:r>
      <w:bookmarkEnd w:id="109"/>
      <w:bookmarkEnd w:id="110"/>
      <w:bookmarkEnd w:id="111"/>
    </w:p>
    <w:p w14:paraId="2DA51C53" w14:textId="430A393C" w:rsidR="00F6113D" w:rsidRPr="00595546" w:rsidRDefault="00C409D1" w:rsidP="00AC6AA4">
      <w:pPr>
        <w:pStyle w:val="DSBodyTextIndent1"/>
        <w:jc w:val="both"/>
      </w:pPr>
      <w:r w:rsidRPr="00595546">
        <w:t xml:space="preserve">I </w:t>
      </w:r>
      <w:r w:rsidR="00DB44D5" w:rsidRPr="00595546">
        <w:t xml:space="preserve">Tilbudsdokumentet </w:t>
      </w:r>
      <w:r w:rsidRPr="00595546">
        <w:t xml:space="preserve">har </w:t>
      </w:r>
      <w:r w:rsidR="00DB44D5" w:rsidRPr="00595546">
        <w:t>Tilbudsgiver</w:t>
      </w:r>
      <w:r w:rsidR="000A0B9F" w:rsidRPr="00595546">
        <w:t xml:space="preserve"> </w:t>
      </w:r>
      <w:r w:rsidR="00595546">
        <w:t>anført</w:t>
      </w:r>
      <w:r w:rsidRPr="00595546">
        <w:t xml:space="preserve"> følgende vedrørende en afnotering af </w:t>
      </w:r>
      <w:r w:rsidR="00DB44D5" w:rsidRPr="00595546">
        <w:t xml:space="preserve">Aktierne </w:t>
      </w:r>
      <w:r w:rsidRPr="00595546">
        <w:t xml:space="preserve">fra Nasdaq Copenhagen efter </w:t>
      </w:r>
      <w:r w:rsidR="00595546" w:rsidRPr="00595546">
        <w:t>Gennemførelsen</w:t>
      </w:r>
      <w:r w:rsidRPr="00595546">
        <w:t xml:space="preserve"> af </w:t>
      </w:r>
      <w:r w:rsidR="00DB44D5" w:rsidRPr="00595546">
        <w:t>Tilbuddet</w:t>
      </w:r>
      <w:r w:rsidRPr="00595546">
        <w:t>:</w:t>
      </w:r>
    </w:p>
    <w:p w14:paraId="7C0AB20E" w14:textId="77777777" w:rsidR="002C5A85" w:rsidRPr="00595546" w:rsidRDefault="002C5A85" w:rsidP="00AC6AA4">
      <w:pPr>
        <w:pStyle w:val="DSBodyTextIndent1"/>
        <w:jc w:val="both"/>
        <w:rPr>
          <w:lang w:bidi="en-GB"/>
        </w:rPr>
      </w:pPr>
    </w:p>
    <w:p w14:paraId="264B1EC3" w14:textId="606F9410" w:rsidR="00595546" w:rsidRPr="00595546" w:rsidRDefault="00843559"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w:t>
      </w:r>
      <w:r w:rsidR="00595546" w:rsidRPr="00595546">
        <w:rPr>
          <w:rFonts w:ascii="Arial" w:eastAsiaTheme="minorHAnsi" w:hAnsi="Arial" w:cstheme="minorBidi"/>
          <w:i/>
          <w:iCs/>
          <w:sz w:val="18"/>
          <w:lang w:eastAsia="en-US" w:bidi="en-GB"/>
        </w:rPr>
        <w:t xml:space="preserve">Hvis Tilbudsgiver efter Gennemførelsen af Tilbuddet besidder det nødvendige antal Aktier i henhold til dansk Lovgivning (hvor Tilbudsgiver enten har mulighed for at sikre sig fuldt ejerskab af Selskabet ved hjælp af en Tvangsindløsning eller besidder mere end halvfems (90) procent af Aktierne og de tilknyttede stemmerettigheder, eksklusive Egne Aktier, der er til stede eller repræsenteret på en generalforsamling, hvor der træffes beslutning om forslaget om at fjerne Selskabet fra handel og officiel notering på Nasdaq Copenhagen), har Tilbudsgiver til hensigt at søge at få Aktierne fjernet fra handel og officiel notering på Nasdaq Copenhagen på et passende tidspunkt efter Gennemførelsen. Hvis </w:t>
      </w:r>
      <w:proofErr w:type="spellStart"/>
      <w:r w:rsidR="00595546" w:rsidRPr="00595546">
        <w:rPr>
          <w:rFonts w:ascii="Arial" w:eastAsiaTheme="minorHAnsi" w:hAnsi="Arial" w:cstheme="minorBidi"/>
          <w:i/>
          <w:iCs/>
          <w:sz w:val="18"/>
          <w:lang w:eastAsia="en-US" w:bidi="en-GB"/>
        </w:rPr>
        <w:t>afnoteringen</w:t>
      </w:r>
      <w:proofErr w:type="spellEnd"/>
      <w:r w:rsidR="00595546" w:rsidRPr="00595546">
        <w:rPr>
          <w:rFonts w:ascii="Arial" w:eastAsiaTheme="minorHAnsi" w:hAnsi="Arial" w:cstheme="minorBidi"/>
          <w:i/>
          <w:iCs/>
          <w:sz w:val="18"/>
          <w:lang w:eastAsia="en-US" w:bidi="en-GB"/>
        </w:rPr>
        <w:t xml:space="preserve"> gennemføres, vil Tilbudsgiver i god tid indlede ændringer af Selskabets vedtægter med henblik på at afspejle, at Selskabet ikke længere er noteret på Nasdaq Copenhagen, i hvilket tilfælde Aktionærerne ikke længere vil drage fordel af de øgede rapporteringsforpligtelser, der kræves, så længe Selskabet er optaget til handel på et reguleret marked.</w:t>
      </w:r>
    </w:p>
    <w:p w14:paraId="660D20D8" w14:textId="15B35242" w:rsidR="00524188"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 xml:space="preserve">Det forventes, at Aktierne forbliver registreret hos </w:t>
      </w:r>
      <w:proofErr w:type="spellStart"/>
      <w:r w:rsidRPr="00595546">
        <w:rPr>
          <w:rFonts w:ascii="Arial" w:eastAsiaTheme="minorHAnsi" w:hAnsi="Arial" w:cstheme="minorBidi"/>
          <w:i/>
          <w:iCs/>
          <w:sz w:val="18"/>
          <w:lang w:eastAsia="en-US" w:bidi="en-GB"/>
        </w:rPr>
        <w:t>Euronext</w:t>
      </w:r>
      <w:proofErr w:type="spellEnd"/>
      <w:r w:rsidRPr="00595546">
        <w:rPr>
          <w:rFonts w:ascii="Arial" w:eastAsiaTheme="minorHAnsi" w:hAnsi="Arial" w:cstheme="minorBidi"/>
          <w:i/>
          <w:iCs/>
          <w:sz w:val="18"/>
          <w:lang w:eastAsia="en-US" w:bidi="en-GB"/>
        </w:rPr>
        <w:t xml:space="preserve"> </w:t>
      </w:r>
      <w:proofErr w:type="spellStart"/>
      <w:r w:rsidRPr="00595546">
        <w:rPr>
          <w:rFonts w:ascii="Arial" w:eastAsiaTheme="minorHAnsi" w:hAnsi="Arial" w:cstheme="minorBidi"/>
          <w:i/>
          <w:iCs/>
          <w:sz w:val="18"/>
          <w:lang w:eastAsia="en-US" w:bidi="en-GB"/>
        </w:rPr>
        <w:t>Securities</w:t>
      </w:r>
      <w:proofErr w:type="spellEnd"/>
      <w:r w:rsidRPr="00595546">
        <w:rPr>
          <w:rFonts w:ascii="Arial" w:eastAsiaTheme="minorHAnsi" w:hAnsi="Arial" w:cstheme="minorBidi"/>
          <w:i/>
          <w:iCs/>
          <w:sz w:val="18"/>
          <w:lang w:eastAsia="en-US" w:bidi="en-GB"/>
        </w:rPr>
        <w:t xml:space="preserve"> Copenhagen, indtil en Tvangsindløsning er gennemført.</w:t>
      </w:r>
      <w:r w:rsidR="00843559" w:rsidRPr="00595546">
        <w:rPr>
          <w:rFonts w:ascii="Arial" w:eastAsiaTheme="minorHAnsi" w:hAnsi="Arial" w:cstheme="minorBidi"/>
          <w:i/>
          <w:iCs/>
          <w:sz w:val="18"/>
          <w:lang w:eastAsia="en-US" w:bidi="en-GB"/>
        </w:rPr>
        <w:t>"</w:t>
      </w:r>
    </w:p>
    <w:p w14:paraId="5644D2A5" w14:textId="77777777" w:rsidR="00CE4CCE" w:rsidRPr="00595546" w:rsidRDefault="00CE4CCE" w:rsidP="00CE4CCE"/>
    <w:p w14:paraId="2947DF05" w14:textId="371F5CA9" w:rsidR="00C409D1" w:rsidRPr="00595546" w:rsidRDefault="00595546" w:rsidP="00A05058">
      <w:pPr>
        <w:pStyle w:val="DSBodyTextIndent1"/>
        <w:jc w:val="both"/>
        <w:rPr>
          <w:u w:val="single"/>
          <w:lang w:bidi="en-GB"/>
        </w:rPr>
      </w:pPr>
      <w:r w:rsidRPr="00595546">
        <w:rPr>
          <w:u w:val="single"/>
          <w:lang w:bidi="en-GB"/>
        </w:rPr>
        <w:t>Bestyrelsen udtaler følgende om Tilbudsgivers således anførte hensigter</w:t>
      </w:r>
      <w:r w:rsidR="00C409D1" w:rsidRPr="00595546">
        <w:rPr>
          <w:u w:val="single"/>
          <w:lang w:bidi="en-GB"/>
        </w:rPr>
        <w:t>:</w:t>
      </w:r>
    </w:p>
    <w:p w14:paraId="45437BFD" w14:textId="5B9DC8D0" w:rsidR="00C409D1" w:rsidRPr="00595546" w:rsidRDefault="00B86488" w:rsidP="00A05058">
      <w:pPr>
        <w:pStyle w:val="DSBodyTextIndent1"/>
        <w:jc w:val="both"/>
        <w:rPr>
          <w:lang w:bidi="en-GB"/>
        </w:rPr>
      </w:pPr>
      <w:r w:rsidRPr="00595546">
        <w:rPr>
          <w:lang w:bidi="en-GB"/>
        </w:rPr>
        <w:t xml:space="preserve">Bestyrelsen </w:t>
      </w:r>
      <w:r w:rsidR="001325B1" w:rsidRPr="00595546">
        <w:rPr>
          <w:lang w:bidi="en-GB"/>
        </w:rPr>
        <w:t xml:space="preserve">anerkender </w:t>
      </w:r>
      <w:r w:rsidR="00C409D1" w:rsidRPr="00595546">
        <w:rPr>
          <w:lang w:bidi="en-GB"/>
        </w:rPr>
        <w:t xml:space="preserve">og </w:t>
      </w:r>
      <w:r w:rsidR="001325B1" w:rsidRPr="00595546">
        <w:rPr>
          <w:lang w:bidi="en-GB"/>
        </w:rPr>
        <w:t xml:space="preserve">finder </w:t>
      </w:r>
      <w:r w:rsidR="00C409D1" w:rsidRPr="00595546">
        <w:rPr>
          <w:lang w:bidi="en-GB"/>
        </w:rPr>
        <w:t xml:space="preserve">det forventeligt og naturligt, at </w:t>
      </w:r>
      <w:r w:rsidR="00DB44D5" w:rsidRPr="00595546">
        <w:rPr>
          <w:lang w:bidi="en-GB"/>
        </w:rPr>
        <w:t>Tilbudsgiver</w:t>
      </w:r>
      <w:r w:rsidR="000A0B9F" w:rsidRPr="00595546">
        <w:rPr>
          <w:lang w:bidi="en-GB"/>
        </w:rPr>
        <w:t xml:space="preserve"> </w:t>
      </w:r>
      <w:r w:rsidR="00C409D1" w:rsidRPr="00595546">
        <w:rPr>
          <w:lang w:bidi="en-GB"/>
        </w:rPr>
        <w:t xml:space="preserve">vil søge at få </w:t>
      </w:r>
      <w:r w:rsidR="00DB44D5" w:rsidRPr="00595546">
        <w:rPr>
          <w:lang w:bidi="en-GB"/>
        </w:rPr>
        <w:t xml:space="preserve">Aktierne </w:t>
      </w:r>
      <w:r w:rsidR="00595546">
        <w:rPr>
          <w:lang w:bidi="en-GB"/>
        </w:rPr>
        <w:t>afnoteret</w:t>
      </w:r>
      <w:r w:rsidR="00C409D1" w:rsidRPr="00595546">
        <w:rPr>
          <w:lang w:bidi="en-GB"/>
        </w:rPr>
        <w:t xml:space="preserve"> fra handel og officiel notering på Nasdaq Copenhagen, hvis kravene i Nasdaq Copenhagens regler er opfyldt. </w:t>
      </w:r>
    </w:p>
    <w:p w14:paraId="48F86317" w14:textId="1552B228" w:rsidR="00C409D1" w:rsidRPr="00595546" w:rsidRDefault="00595546" w:rsidP="00A05058">
      <w:pPr>
        <w:pStyle w:val="Heading4"/>
        <w:jc w:val="both"/>
      </w:pPr>
      <w:bookmarkStart w:id="112" w:name="_Toc194440332"/>
      <w:bookmarkStart w:id="113" w:name="_Toc218590527"/>
      <w:r w:rsidRPr="00595546">
        <w:t xml:space="preserve">Tilbudsgivers </w:t>
      </w:r>
      <w:r>
        <w:t>f</w:t>
      </w:r>
      <w:r w:rsidR="00C409D1" w:rsidRPr="00595546">
        <w:t>inansiering</w:t>
      </w:r>
      <w:bookmarkEnd w:id="112"/>
      <w:r w:rsidR="00C87080" w:rsidRPr="00595546">
        <w:rPr>
          <w:rFonts w:cs="Times New Roman"/>
        </w:rPr>
        <w:t xml:space="preserve"> af </w:t>
      </w:r>
      <w:r w:rsidR="00DB44D5" w:rsidRPr="00595546">
        <w:rPr>
          <w:rFonts w:cs="Times New Roman"/>
        </w:rPr>
        <w:t>Tilbuddet</w:t>
      </w:r>
      <w:bookmarkEnd w:id="113"/>
    </w:p>
    <w:p w14:paraId="6361F279" w14:textId="244FD74D" w:rsidR="00C409D1" w:rsidRPr="00595546" w:rsidRDefault="00C409D1" w:rsidP="00A05058">
      <w:pPr>
        <w:pStyle w:val="DSBodyTextIndent1"/>
        <w:jc w:val="both"/>
      </w:pPr>
      <w:r w:rsidRPr="00595546">
        <w:t xml:space="preserve">I </w:t>
      </w:r>
      <w:r w:rsidR="00DB44D5" w:rsidRPr="00595546">
        <w:t xml:space="preserve">Tilbudsdokumentet </w:t>
      </w:r>
      <w:r w:rsidRPr="00595546">
        <w:t xml:space="preserve">har </w:t>
      </w:r>
      <w:r w:rsidR="00DB44D5" w:rsidRPr="00595546">
        <w:t>Tilbudsgiver</w:t>
      </w:r>
      <w:r w:rsidR="000A0B9F" w:rsidRPr="00595546">
        <w:t xml:space="preserve"> </w:t>
      </w:r>
      <w:r w:rsidR="00595546">
        <w:t>anført</w:t>
      </w:r>
      <w:r w:rsidRPr="00595546">
        <w:t xml:space="preserve"> følgende vedrørende finansiering af </w:t>
      </w:r>
      <w:r w:rsidR="00DB44D5" w:rsidRPr="00595546">
        <w:t>Tilbuddet</w:t>
      </w:r>
      <w:r w:rsidR="00471848" w:rsidRPr="00595546">
        <w:t>:</w:t>
      </w:r>
    </w:p>
    <w:p w14:paraId="27300A95" w14:textId="77777777" w:rsidR="00A56030" w:rsidRPr="00595546" w:rsidRDefault="00A56030" w:rsidP="00A05058">
      <w:pPr>
        <w:pStyle w:val="DSBodyTextIndent1"/>
        <w:jc w:val="both"/>
      </w:pPr>
    </w:p>
    <w:p w14:paraId="29908301" w14:textId="635BE5DD" w:rsidR="00595546" w:rsidRPr="00595546" w:rsidRDefault="00AF7608"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lastRenderedPageBreak/>
        <w:t>"</w:t>
      </w:r>
      <w:r w:rsidR="00595546" w:rsidRPr="00595546">
        <w:rPr>
          <w:rFonts w:ascii="Arial" w:eastAsiaTheme="minorHAnsi" w:hAnsi="Arial" w:cstheme="minorBidi"/>
          <w:i/>
          <w:iCs/>
          <w:sz w:val="18"/>
          <w:lang w:eastAsia="en-US" w:bidi="en-GB"/>
        </w:rPr>
        <w:t xml:space="preserve">Vederlaget for de Aktier, der erhverves ved Gennemførelsen af Tilbuddet, består udelukkende af en kontant betaling. Tilbuddet er ikke underlagt nogen finansieringskrav og er fuldt finansieret. </w:t>
      </w:r>
    </w:p>
    <w:p w14:paraId="27FE94BB" w14:textId="21CE9E78" w:rsidR="00595546"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 xml:space="preserve">Tilbudsgivers moderselskab, </w:t>
      </w:r>
      <w:proofErr w:type="spellStart"/>
      <w:r w:rsidRPr="00595546">
        <w:rPr>
          <w:rFonts w:ascii="Arial" w:eastAsiaTheme="minorHAnsi" w:hAnsi="Arial" w:cstheme="minorBidi"/>
          <w:i/>
          <w:iCs/>
          <w:sz w:val="18"/>
          <w:lang w:eastAsia="en-US" w:bidi="en-GB"/>
        </w:rPr>
        <w:t>Freudenberg</w:t>
      </w:r>
      <w:proofErr w:type="spellEnd"/>
      <w:r w:rsidRPr="00595546">
        <w:rPr>
          <w:rFonts w:ascii="Arial" w:eastAsiaTheme="minorHAnsi" w:hAnsi="Arial" w:cstheme="minorBidi"/>
          <w:i/>
          <w:iCs/>
          <w:sz w:val="18"/>
          <w:lang w:eastAsia="en-US" w:bidi="en-GB"/>
        </w:rPr>
        <w:t xml:space="preserve"> SE, har forpligtet sig til at stille tilstrækkelige midler til rådighed til at sikre al nødvendig finansiering af vederlaget for alle Aktier, der erhverves i henhold til tilbuddet og i en efterfølgende Tvangsindløsning af Aktier i overensstemmelse med Selskabsloven, der gennemføres i forlængelse af Tilbuddet til en pris svarende til Tilbudskursen, idet </w:t>
      </w:r>
      <w:proofErr w:type="spellStart"/>
      <w:r w:rsidRPr="00595546">
        <w:rPr>
          <w:rFonts w:ascii="Arial" w:eastAsiaTheme="minorHAnsi" w:hAnsi="Arial" w:cstheme="minorBidi"/>
          <w:i/>
          <w:iCs/>
          <w:sz w:val="18"/>
          <w:lang w:eastAsia="en-US" w:bidi="en-GB"/>
        </w:rPr>
        <w:t>Freudenberg</w:t>
      </w:r>
      <w:proofErr w:type="spellEnd"/>
      <w:r w:rsidRPr="00595546">
        <w:rPr>
          <w:rFonts w:ascii="Arial" w:eastAsiaTheme="minorHAnsi" w:hAnsi="Arial" w:cstheme="minorBidi"/>
          <w:i/>
          <w:iCs/>
          <w:sz w:val="18"/>
          <w:lang w:eastAsia="en-US" w:bidi="en-GB"/>
        </w:rPr>
        <w:t xml:space="preserve"> SE vil finansiere en sådan forpligtelse udelukkende med sine disponible likvide midler og finansieringsressourcer. </w:t>
      </w:r>
    </w:p>
    <w:p w14:paraId="603771F9" w14:textId="3A1BAD87" w:rsidR="00524188" w:rsidRPr="00595546" w:rsidRDefault="00595546" w:rsidP="00595546">
      <w:pPr>
        <w:pStyle w:val="BrdtekstMedIndryk"/>
        <w:ind w:left="1304"/>
        <w:jc w:val="both"/>
        <w:rPr>
          <w:rFonts w:ascii="Arial" w:eastAsiaTheme="minorHAnsi" w:hAnsi="Arial" w:cstheme="minorBidi"/>
          <w:i/>
          <w:iCs/>
          <w:sz w:val="18"/>
          <w:lang w:eastAsia="en-US" w:bidi="en-GB"/>
        </w:rPr>
      </w:pPr>
      <w:r w:rsidRPr="00595546">
        <w:rPr>
          <w:rFonts w:ascii="Arial" w:eastAsiaTheme="minorHAnsi" w:hAnsi="Arial" w:cstheme="minorBidi"/>
          <w:i/>
          <w:iCs/>
          <w:sz w:val="18"/>
          <w:lang w:eastAsia="en-US" w:bidi="en-GB"/>
        </w:rPr>
        <w:t>Med forbehold af vilkårene og betingelserne i Offentliggørelsesaftalen forbeholder Tilbudsgiver sig ret til at erstatte de heri beskrevne finansieringsaftaler før eller efter Gennemførelsen med andre finansieringsinstrumenter eller -kilder.</w:t>
      </w:r>
      <w:r w:rsidR="00AF7608" w:rsidRPr="00595546">
        <w:rPr>
          <w:rFonts w:ascii="Arial" w:eastAsiaTheme="minorHAnsi" w:hAnsi="Arial" w:cstheme="minorBidi"/>
          <w:i/>
          <w:iCs/>
          <w:sz w:val="18"/>
          <w:lang w:eastAsia="en-US" w:bidi="en-GB"/>
        </w:rPr>
        <w:t>"</w:t>
      </w:r>
    </w:p>
    <w:p w14:paraId="421A5FD9" w14:textId="77777777" w:rsidR="00AF7608" w:rsidRPr="00595546" w:rsidRDefault="00AF7608" w:rsidP="00AF7608"/>
    <w:p w14:paraId="78056953" w14:textId="668D0BF2" w:rsidR="00C409D1" w:rsidRPr="00595546" w:rsidRDefault="00595546" w:rsidP="00A05058">
      <w:pPr>
        <w:pStyle w:val="DSBodyTextIndent1"/>
        <w:jc w:val="both"/>
        <w:rPr>
          <w:u w:val="single"/>
          <w:lang w:bidi="en-GB"/>
        </w:rPr>
      </w:pPr>
      <w:r w:rsidRPr="00595546">
        <w:rPr>
          <w:u w:val="single"/>
          <w:lang w:bidi="en-GB"/>
        </w:rPr>
        <w:t>Bestyrelsen udtaler følgende om Tilbudsgivers således anførte hensigter</w:t>
      </w:r>
      <w:r w:rsidR="00C409D1" w:rsidRPr="00595546">
        <w:rPr>
          <w:u w:val="single"/>
          <w:lang w:bidi="en-GB"/>
        </w:rPr>
        <w:t>:</w:t>
      </w:r>
    </w:p>
    <w:p w14:paraId="02A69150" w14:textId="0D44D817" w:rsidR="00C409D1" w:rsidRPr="00595546" w:rsidRDefault="0098733E" w:rsidP="00A05058">
      <w:pPr>
        <w:pStyle w:val="DSBodyTextIndent1"/>
        <w:jc w:val="both"/>
        <w:rPr>
          <w:lang w:bidi="en-GB"/>
        </w:rPr>
      </w:pPr>
      <w:r w:rsidRPr="00595546">
        <w:rPr>
          <w:lang w:bidi="en-GB"/>
        </w:rPr>
        <w:t xml:space="preserve">Bestyrelsen </w:t>
      </w:r>
      <w:r w:rsidR="00C65857" w:rsidRPr="00595546">
        <w:rPr>
          <w:lang w:bidi="en-GB"/>
        </w:rPr>
        <w:t xml:space="preserve">bemærker, at </w:t>
      </w:r>
      <w:r w:rsidR="00DB44D5" w:rsidRPr="00595546">
        <w:rPr>
          <w:lang w:bidi="en-GB"/>
        </w:rPr>
        <w:t xml:space="preserve">Tilbuddet </w:t>
      </w:r>
      <w:r w:rsidR="00C65857" w:rsidRPr="00595546">
        <w:rPr>
          <w:lang w:bidi="en-GB"/>
        </w:rPr>
        <w:t>ikke er underlagt noge</w:t>
      </w:r>
      <w:r w:rsidR="00595546">
        <w:rPr>
          <w:lang w:bidi="en-GB"/>
        </w:rPr>
        <w:t>t</w:t>
      </w:r>
      <w:r w:rsidR="00C65857" w:rsidRPr="00595546">
        <w:rPr>
          <w:lang w:bidi="en-GB"/>
        </w:rPr>
        <w:t xml:space="preserve"> </w:t>
      </w:r>
      <w:r w:rsidR="00E47FF7" w:rsidRPr="00595546">
        <w:rPr>
          <w:lang w:bidi="en-GB"/>
        </w:rPr>
        <w:t>finansierings</w:t>
      </w:r>
      <w:r w:rsidR="00595546">
        <w:rPr>
          <w:lang w:bidi="en-GB"/>
        </w:rPr>
        <w:t>forbehold</w:t>
      </w:r>
      <w:r w:rsidR="00E47FF7" w:rsidRPr="00595546">
        <w:rPr>
          <w:lang w:bidi="en-GB"/>
        </w:rPr>
        <w:t>.</w:t>
      </w:r>
    </w:p>
    <w:p w14:paraId="19E3A43E" w14:textId="77777777" w:rsidR="00E47FF7" w:rsidRPr="00595546" w:rsidRDefault="00E47FF7" w:rsidP="00A05058">
      <w:pPr>
        <w:pStyle w:val="DSBodyTextIndent1"/>
        <w:jc w:val="both"/>
        <w:rPr>
          <w:lang w:bidi="en-GB"/>
        </w:rPr>
      </w:pPr>
    </w:p>
    <w:p w14:paraId="4E64800E" w14:textId="74AC8B25" w:rsidR="00E47FF7" w:rsidRPr="00595546" w:rsidRDefault="00E47FF7" w:rsidP="00A05058">
      <w:pPr>
        <w:pStyle w:val="DSBodyTextIndent1"/>
        <w:jc w:val="both"/>
        <w:rPr>
          <w:lang w:bidi="en-GB"/>
        </w:rPr>
      </w:pPr>
      <w:r w:rsidRPr="00595546">
        <w:rPr>
          <w:lang w:bidi="en-GB"/>
        </w:rPr>
        <w:t xml:space="preserve">Bestyrelsen </w:t>
      </w:r>
      <w:r w:rsidR="005E4049" w:rsidRPr="00595546">
        <w:rPr>
          <w:lang w:bidi="en-GB"/>
        </w:rPr>
        <w:t xml:space="preserve">bemærker også, at </w:t>
      </w:r>
      <w:r w:rsidR="00DB44D5" w:rsidRPr="00595546">
        <w:rPr>
          <w:lang w:bidi="en-GB"/>
        </w:rPr>
        <w:t>Tilbudsgiver</w:t>
      </w:r>
      <w:r w:rsidR="005E4049" w:rsidRPr="00595546">
        <w:rPr>
          <w:lang w:bidi="en-GB"/>
        </w:rPr>
        <w:t xml:space="preserve"> har fremlagt </w:t>
      </w:r>
      <w:r w:rsidR="000A35F4" w:rsidRPr="00595546">
        <w:rPr>
          <w:lang w:bidi="en-GB"/>
        </w:rPr>
        <w:t xml:space="preserve">en tilsagnserklæring </w:t>
      </w:r>
      <w:r w:rsidR="00BC6560" w:rsidRPr="00595546">
        <w:rPr>
          <w:lang w:bidi="en-GB"/>
        </w:rPr>
        <w:t xml:space="preserve">fra </w:t>
      </w:r>
      <w:proofErr w:type="spellStart"/>
      <w:r w:rsidR="00BC6560" w:rsidRPr="00595546">
        <w:rPr>
          <w:lang w:bidi="en-GB"/>
        </w:rPr>
        <w:t>Freudenberg</w:t>
      </w:r>
      <w:proofErr w:type="spellEnd"/>
      <w:r w:rsidR="00BC6560" w:rsidRPr="00595546">
        <w:rPr>
          <w:lang w:bidi="en-GB"/>
        </w:rPr>
        <w:t xml:space="preserve"> SE </w:t>
      </w:r>
      <w:r w:rsidR="005E4049" w:rsidRPr="00595546">
        <w:rPr>
          <w:lang w:bidi="en-GB"/>
        </w:rPr>
        <w:t xml:space="preserve">i forbindelse med </w:t>
      </w:r>
      <w:r w:rsidR="00DB44D5" w:rsidRPr="00595546">
        <w:rPr>
          <w:lang w:bidi="en-GB"/>
        </w:rPr>
        <w:t>Tilbuddet</w:t>
      </w:r>
      <w:r w:rsidR="009A33DD">
        <w:rPr>
          <w:lang w:bidi="en-GB"/>
        </w:rPr>
        <w:t xml:space="preserve"> sammen med dokumentation for </w:t>
      </w:r>
      <w:proofErr w:type="spellStart"/>
      <w:r w:rsidR="009A33DD">
        <w:rPr>
          <w:lang w:bidi="en-GB"/>
        </w:rPr>
        <w:t>Freudenberg</w:t>
      </w:r>
      <w:proofErr w:type="spellEnd"/>
      <w:r w:rsidR="009A33DD">
        <w:rPr>
          <w:lang w:bidi="en-GB"/>
        </w:rPr>
        <w:t xml:space="preserve"> </w:t>
      </w:r>
      <w:proofErr w:type="spellStart"/>
      <w:r w:rsidR="002379EC">
        <w:rPr>
          <w:lang w:bidi="en-GB"/>
        </w:rPr>
        <w:t>SEs</w:t>
      </w:r>
      <w:proofErr w:type="spellEnd"/>
      <w:r w:rsidR="002379EC">
        <w:rPr>
          <w:lang w:bidi="en-GB"/>
        </w:rPr>
        <w:t xml:space="preserve"> </w:t>
      </w:r>
      <w:r w:rsidR="009A33DD">
        <w:rPr>
          <w:lang w:bidi="en-GB"/>
        </w:rPr>
        <w:t>finansielle stillin</w:t>
      </w:r>
      <w:r w:rsidR="000C45D9">
        <w:rPr>
          <w:lang w:bidi="en-GB"/>
        </w:rPr>
        <w:t>g, som er blevet gennemgået af Selskabets finansielle og juridiske rådgivere</w:t>
      </w:r>
      <w:r w:rsidR="005E4049" w:rsidRPr="00595546">
        <w:rPr>
          <w:lang w:bidi="en-GB"/>
        </w:rPr>
        <w:t xml:space="preserve">. </w:t>
      </w:r>
      <w:r w:rsidR="009D6BCE" w:rsidRPr="00595546">
        <w:rPr>
          <w:lang w:bidi="en-GB"/>
        </w:rPr>
        <w:t xml:space="preserve">På baggrund af denne gennemgang anser </w:t>
      </w:r>
      <w:r w:rsidR="00595546" w:rsidRPr="00595546">
        <w:rPr>
          <w:lang w:bidi="en-GB"/>
        </w:rPr>
        <w:t>Bestyrelsen</w:t>
      </w:r>
      <w:r w:rsidR="009D6BCE" w:rsidRPr="00595546">
        <w:rPr>
          <w:lang w:bidi="en-GB"/>
        </w:rPr>
        <w:t xml:space="preserve"> finansieringstilsagnet </w:t>
      </w:r>
      <w:r w:rsidR="008F222C" w:rsidRPr="00595546">
        <w:rPr>
          <w:lang w:bidi="en-GB"/>
        </w:rPr>
        <w:t xml:space="preserve">fra </w:t>
      </w:r>
      <w:proofErr w:type="spellStart"/>
      <w:r w:rsidR="008F222C" w:rsidRPr="00595546">
        <w:rPr>
          <w:lang w:bidi="en-GB"/>
        </w:rPr>
        <w:t>Freudenberg</w:t>
      </w:r>
      <w:proofErr w:type="spellEnd"/>
      <w:r w:rsidR="008F222C" w:rsidRPr="00595546">
        <w:rPr>
          <w:lang w:bidi="en-GB"/>
        </w:rPr>
        <w:t xml:space="preserve"> SE </w:t>
      </w:r>
      <w:r w:rsidR="009D6BCE" w:rsidRPr="00595546">
        <w:rPr>
          <w:lang w:bidi="en-GB"/>
        </w:rPr>
        <w:t xml:space="preserve">for at være givet på rimelige </w:t>
      </w:r>
      <w:r w:rsidR="008F222C" w:rsidRPr="00595546">
        <w:rPr>
          <w:lang w:bidi="en-GB"/>
        </w:rPr>
        <w:t xml:space="preserve">og tilfredsstillende </w:t>
      </w:r>
      <w:r w:rsidR="009D6BCE" w:rsidRPr="00595546">
        <w:rPr>
          <w:lang w:bidi="en-GB"/>
        </w:rPr>
        <w:t>vilkår</w:t>
      </w:r>
      <w:r w:rsidR="008F222C" w:rsidRPr="00595546">
        <w:rPr>
          <w:lang w:bidi="en-GB"/>
        </w:rPr>
        <w:t xml:space="preserve">. </w:t>
      </w:r>
    </w:p>
    <w:p w14:paraId="4B215CCA" w14:textId="773F078E" w:rsidR="00C409D1" w:rsidRPr="00595546" w:rsidRDefault="00C409D1" w:rsidP="00A05058">
      <w:pPr>
        <w:pStyle w:val="Heading2"/>
        <w:jc w:val="both"/>
      </w:pPr>
      <w:bookmarkStart w:id="114" w:name="_Toc194440333"/>
      <w:bookmarkStart w:id="115" w:name="_Toc218590528"/>
      <w:bookmarkStart w:id="116" w:name="_Ref507418769"/>
      <w:bookmarkStart w:id="117" w:name="_Ref462404482"/>
      <w:r w:rsidRPr="00595546">
        <w:t xml:space="preserve">Betingelser og vilkår for </w:t>
      </w:r>
      <w:r w:rsidR="00DB44D5" w:rsidRPr="00595546">
        <w:t xml:space="preserve">Tilbuddet </w:t>
      </w:r>
      <w:r w:rsidRPr="00595546">
        <w:t xml:space="preserve">bortset fra </w:t>
      </w:r>
      <w:bookmarkEnd w:id="114"/>
      <w:r w:rsidR="00DB44D5" w:rsidRPr="00595546">
        <w:t>Tilbudskursen</w:t>
      </w:r>
      <w:bookmarkEnd w:id="115"/>
    </w:p>
    <w:p w14:paraId="527A8D61" w14:textId="3212A52B" w:rsidR="00F84F39" w:rsidRPr="00595546" w:rsidRDefault="00F84F39" w:rsidP="00F84F39">
      <w:pPr>
        <w:pStyle w:val="DSBodyTextIndent1"/>
        <w:jc w:val="both"/>
      </w:pPr>
      <w:bookmarkStart w:id="118" w:name="_Ref194070807"/>
      <w:bookmarkStart w:id="119" w:name="_Toc194440335"/>
      <w:bookmarkStart w:id="120" w:name="_Ref202799085"/>
      <w:r w:rsidRPr="00595546">
        <w:t xml:space="preserve">I processen op til </w:t>
      </w:r>
      <w:r w:rsidR="00DB44D5" w:rsidRPr="00595546">
        <w:t>Tilbuddet</w:t>
      </w:r>
      <w:r w:rsidRPr="00595546">
        <w:t xml:space="preserve">, herunder under forhandlingerne med </w:t>
      </w:r>
      <w:r w:rsidR="00DB44D5" w:rsidRPr="00595546">
        <w:t>Tilbudsgiver</w:t>
      </w:r>
      <w:r w:rsidRPr="00595546">
        <w:t xml:space="preserve">, har </w:t>
      </w:r>
      <w:r w:rsidR="00595546" w:rsidRPr="00595546">
        <w:t>Bestyrelsen</w:t>
      </w:r>
      <w:r w:rsidRPr="00595546">
        <w:t xml:space="preserve"> ud over at fokusere på at sikre, at der afgives et tilbud til </w:t>
      </w:r>
      <w:r w:rsidR="00DB44D5" w:rsidRPr="00595546">
        <w:t xml:space="preserve">Aktionærerne </w:t>
      </w:r>
      <w:r w:rsidRPr="00595546">
        <w:t xml:space="preserve">på attraktive finansielle vilkår, også fokuseret på, at </w:t>
      </w:r>
      <w:r w:rsidR="00DB44D5" w:rsidRPr="00595546">
        <w:t>Tilbuddet</w:t>
      </w:r>
      <w:r w:rsidRPr="00595546">
        <w:t xml:space="preserve">, hvis det afgives, skal afgives på vilkår, der giver tilstrækkelig sikkerhed for </w:t>
      </w:r>
      <w:r w:rsidR="00595546" w:rsidRPr="00595546">
        <w:t xml:space="preserve">Gennemførelse </w:t>
      </w:r>
      <w:r w:rsidRPr="00595546">
        <w:t xml:space="preserve">samt en rimelig og sædvanlig mulighed for </w:t>
      </w:r>
      <w:r w:rsidR="00595546" w:rsidRPr="00595546">
        <w:t>Bestyrelsen</w:t>
      </w:r>
      <w:r w:rsidRPr="00595546">
        <w:t xml:space="preserve"> til at behandle eventuelle uopfordrede konkurrerende tilbud eller andre alternative transaktioner og i øvrigt på vilkår, der i øvrigt afspejler markedsvilkårene for frivillige anbefalede offentlige overtagelsestilbud på selskaber, der er noteret på Nasdaq Copenhagen. </w:t>
      </w:r>
    </w:p>
    <w:p w14:paraId="428EB0AF" w14:textId="77777777" w:rsidR="00F84F39" w:rsidRPr="00595546" w:rsidRDefault="00F84F39" w:rsidP="00F84F39">
      <w:pPr>
        <w:pStyle w:val="DSBodyTextIndent1"/>
        <w:jc w:val="both"/>
      </w:pPr>
    </w:p>
    <w:p w14:paraId="771CF95F" w14:textId="53BC05D8" w:rsidR="00F84F39" w:rsidRPr="00595546" w:rsidRDefault="00F84F39" w:rsidP="00F84F39">
      <w:pPr>
        <w:pStyle w:val="DSBodyTextIndent1"/>
        <w:jc w:val="both"/>
      </w:pPr>
      <w:r w:rsidRPr="00595546">
        <w:rPr>
          <w:lang w:bidi="en-GB"/>
        </w:rPr>
        <w:t xml:space="preserve">Der henvises til </w:t>
      </w:r>
      <w:r w:rsidR="00DB44D5" w:rsidRPr="00595546">
        <w:rPr>
          <w:lang w:bidi="en-GB"/>
        </w:rPr>
        <w:t xml:space="preserve">Tilbudsdokumentet </w:t>
      </w:r>
      <w:r w:rsidRPr="00595546">
        <w:rPr>
          <w:lang w:bidi="en-GB"/>
        </w:rPr>
        <w:t xml:space="preserve">for en detaljeret og bindende beskrivelse af vilkårene for </w:t>
      </w:r>
      <w:r w:rsidR="00DB44D5" w:rsidRPr="00595546">
        <w:rPr>
          <w:lang w:bidi="en-GB"/>
        </w:rPr>
        <w:t>Tilbuddet</w:t>
      </w:r>
      <w:r w:rsidRPr="00595546">
        <w:rPr>
          <w:lang w:bidi="en-GB"/>
        </w:rPr>
        <w:t xml:space="preserve">. </w:t>
      </w:r>
    </w:p>
    <w:p w14:paraId="362E7DA8" w14:textId="0856A467" w:rsidR="00C409D1" w:rsidRPr="00595546" w:rsidRDefault="00C409D1" w:rsidP="00A05058">
      <w:pPr>
        <w:pStyle w:val="Heading3"/>
        <w:jc w:val="both"/>
      </w:pPr>
      <w:bookmarkStart w:id="121" w:name="_Ref215698487"/>
      <w:bookmarkStart w:id="122" w:name="_Toc218590529"/>
      <w:r w:rsidRPr="00595546">
        <w:t xml:space="preserve">Sikkerhed for </w:t>
      </w:r>
      <w:r w:rsidR="00595546" w:rsidRPr="00595546">
        <w:t xml:space="preserve">Gennemførelse </w:t>
      </w:r>
      <w:r w:rsidRPr="00595546">
        <w:t>af Tilbuddet</w:t>
      </w:r>
      <w:bookmarkEnd w:id="118"/>
      <w:bookmarkEnd w:id="119"/>
      <w:bookmarkEnd w:id="120"/>
      <w:bookmarkEnd w:id="121"/>
      <w:bookmarkEnd w:id="122"/>
    </w:p>
    <w:p w14:paraId="30128847" w14:textId="58D6F320" w:rsidR="00612942" w:rsidRPr="00595546" w:rsidRDefault="009229BF" w:rsidP="009229BF">
      <w:pPr>
        <w:pStyle w:val="DSBodyTextIndent1"/>
        <w:jc w:val="both"/>
        <w:rPr>
          <w:lang w:bidi="en-GB"/>
        </w:rPr>
      </w:pPr>
      <w:bookmarkStart w:id="123" w:name="_Ref507156718"/>
      <w:bookmarkStart w:id="124" w:name="_Toc194440336"/>
      <w:bookmarkEnd w:id="116"/>
      <w:r w:rsidRPr="00595546">
        <w:rPr>
          <w:lang w:bidi="en-GB"/>
        </w:rPr>
        <w:t xml:space="preserve">Gennemførelsen af Tilbuddet er betinget af, at følgende </w:t>
      </w:r>
      <w:r w:rsidR="00595546" w:rsidRPr="00595546">
        <w:rPr>
          <w:lang w:bidi="en-GB"/>
        </w:rPr>
        <w:t xml:space="preserve">Betingelser </w:t>
      </w:r>
      <w:r w:rsidR="00A842FB" w:rsidRPr="00595546">
        <w:rPr>
          <w:lang w:bidi="en-GB"/>
        </w:rPr>
        <w:t xml:space="preserve">– </w:t>
      </w:r>
      <w:r w:rsidRPr="00595546">
        <w:rPr>
          <w:lang w:bidi="en-GB"/>
        </w:rPr>
        <w:t>som er gengivet i den form, der er angivet i afsnit</w:t>
      </w:r>
      <w:r w:rsidR="00156D34" w:rsidRPr="00595546">
        <w:rPr>
          <w:lang w:bidi="en-GB"/>
        </w:rPr>
        <w:t xml:space="preserve"> 4.9 </w:t>
      </w:r>
      <w:r w:rsidRPr="00595546">
        <w:rPr>
          <w:lang w:bidi="en-GB"/>
        </w:rPr>
        <w:t xml:space="preserve">i Tilbudsdokumentet </w:t>
      </w:r>
      <w:r w:rsidR="00A842FB" w:rsidRPr="00595546">
        <w:rPr>
          <w:lang w:bidi="en-GB"/>
        </w:rPr>
        <w:t xml:space="preserve">– </w:t>
      </w:r>
      <w:r w:rsidRPr="00595546">
        <w:rPr>
          <w:lang w:bidi="en-GB"/>
        </w:rPr>
        <w:t xml:space="preserve">er opfyldt eller </w:t>
      </w:r>
      <w:r w:rsidR="00595546" w:rsidRPr="00595546">
        <w:rPr>
          <w:lang w:bidi="en-GB"/>
        </w:rPr>
        <w:t xml:space="preserve">frafaldet </w:t>
      </w:r>
      <w:r w:rsidRPr="00595546">
        <w:rPr>
          <w:lang w:bidi="en-GB"/>
        </w:rPr>
        <w:t xml:space="preserve">skriftligt af </w:t>
      </w:r>
      <w:r w:rsidR="00DB44D5" w:rsidRPr="00595546">
        <w:rPr>
          <w:lang w:bidi="en-GB"/>
        </w:rPr>
        <w:t>Tilbudsgiver</w:t>
      </w:r>
      <w:r w:rsidRPr="00595546">
        <w:rPr>
          <w:lang w:bidi="en-GB"/>
        </w:rPr>
        <w:t xml:space="preserve"> inden </w:t>
      </w:r>
      <w:r w:rsidR="006D0D9F" w:rsidRPr="00595546">
        <w:rPr>
          <w:lang w:bidi="en-GB"/>
        </w:rPr>
        <w:t xml:space="preserve">offentliggørelsen af </w:t>
      </w:r>
      <w:r w:rsidR="00595546" w:rsidRPr="00595546">
        <w:rPr>
          <w:lang w:bidi="en-GB"/>
        </w:rPr>
        <w:t>det Endelige Resultat</w:t>
      </w:r>
      <w:r w:rsidRPr="00595546">
        <w:rPr>
          <w:lang w:bidi="en-GB"/>
        </w:rPr>
        <w:t>:</w:t>
      </w:r>
    </w:p>
    <w:p w14:paraId="733D935C" w14:textId="77777777" w:rsidR="002835AC" w:rsidRPr="00595546" w:rsidRDefault="002835AC" w:rsidP="009229BF">
      <w:pPr>
        <w:pStyle w:val="DSBodyTextIndent1"/>
        <w:jc w:val="both"/>
        <w:rPr>
          <w:lang w:bidi="en-GB"/>
        </w:rPr>
      </w:pPr>
    </w:p>
    <w:p w14:paraId="01D30A43" w14:textId="2791D195" w:rsidR="00DA3FCC" w:rsidRPr="00595546" w:rsidRDefault="00DA3FCC" w:rsidP="00DA3FCC">
      <w:pPr>
        <w:pStyle w:val="DSBodyTextIndent1"/>
        <w:ind w:left="1304"/>
        <w:jc w:val="both"/>
        <w:rPr>
          <w:i/>
          <w:iCs/>
          <w:lang w:bidi="en-GB"/>
        </w:rPr>
      </w:pPr>
      <w:r w:rsidRPr="00595546">
        <w:rPr>
          <w:i/>
          <w:iCs/>
          <w:lang w:bidi="en-GB"/>
        </w:rPr>
        <w:t>"(A) Tilbudsgiver ejer eller har modtaget gyldige accepter fra Aktionærer (idet sådanne gyldige accepter ikke efterfølgende er gyldigt tilbagekaldt) med hensyn til Aktier, der repræsenterer et tilstrækkeligt antal Aktier til at opfylde Minimumsbetingelsen for Accept.</w:t>
      </w:r>
      <w:r w:rsidR="00595546" w:rsidRPr="00595546">
        <w:rPr>
          <w:i/>
          <w:iCs/>
          <w:lang w:bidi="en-GB"/>
        </w:rPr>
        <w:t xml:space="preserve"> </w:t>
      </w:r>
      <w:r w:rsidRPr="00595546">
        <w:rPr>
          <w:i/>
          <w:iCs/>
          <w:lang w:bidi="en-GB"/>
        </w:rPr>
        <w:t>Minimumsbetingelsen for Accept betyder halvfems (90) procent af alle Aktierne plus én (1) Aktie, (i) idet der tages højde for eventuelle Aktier, der skal udstedes, eller Egne Aktier, der skal leveres før, på eller så hurtigt som praktisk muligt efter datoen for Gennemførelsen som følge af en Tilladt Incitamentsaktietransaktion, og (ii) uden hensyntagen til eventuelle Egne Aktier i opgørelsen.</w:t>
      </w:r>
    </w:p>
    <w:p w14:paraId="7360ED47" w14:textId="77777777" w:rsidR="00DA3FCC" w:rsidRPr="00595546" w:rsidRDefault="00DA3FCC" w:rsidP="00DA3FCC">
      <w:pPr>
        <w:pStyle w:val="DSBodyTextIndent1"/>
        <w:ind w:left="1304"/>
        <w:jc w:val="both"/>
        <w:rPr>
          <w:i/>
          <w:iCs/>
          <w:lang w:bidi="en-GB"/>
        </w:rPr>
      </w:pPr>
    </w:p>
    <w:p w14:paraId="183D655D" w14:textId="2D3C61BE" w:rsidR="00DA3FCC" w:rsidRPr="00595546" w:rsidRDefault="00DA3FCC" w:rsidP="00DA3FCC">
      <w:pPr>
        <w:pStyle w:val="DSBodyTextIndent1"/>
        <w:ind w:left="1304"/>
        <w:jc w:val="both"/>
        <w:rPr>
          <w:i/>
          <w:iCs/>
          <w:lang w:bidi="en-GB"/>
        </w:rPr>
      </w:pPr>
      <w:r w:rsidRPr="00595546">
        <w:rPr>
          <w:i/>
          <w:iCs/>
          <w:lang w:bidi="en-GB"/>
        </w:rPr>
        <w:t xml:space="preserve">(B) Alle godkendelser, tilladelser, dispensationer og meddelelser fra Konkurrencemyndighederne påkrævet i henhold til Konkurrencelovgivningen for at Gennemføre Tilbuddet i de jurisdiktioner, der er anført i bilag 4.9(B), </w:t>
      </w:r>
      <w:r w:rsidRPr="00595546">
        <w:rPr>
          <w:i/>
          <w:iCs/>
          <w:lang w:bidi="en-GB"/>
        </w:rPr>
        <w:lastRenderedPageBreak/>
        <w:t>skal være givet, alt efter omstændighederne, og/eller enhver gældende karenstid med hensyn til sådanne meddelelser skal være udløbet eller ophørt (“</w:t>
      </w:r>
      <w:r w:rsidRPr="00595546">
        <w:rPr>
          <w:b/>
          <w:bCs/>
          <w:i/>
          <w:iCs/>
          <w:lang w:bidi="en-GB"/>
        </w:rPr>
        <w:t>Konkurrencebetingelsen</w:t>
      </w:r>
      <w:r w:rsidRPr="00595546">
        <w:rPr>
          <w:i/>
          <w:iCs/>
          <w:lang w:bidi="en-GB"/>
        </w:rPr>
        <w:t>”).</w:t>
      </w:r>
    </w:p>
    <w:p w14:paraId="6D44A70E" w14:textId="77777777" w:rsidR="00DA3FCC" w:rsidRPr="00595546" w:rsidRDefault="00DA3FCC" w:rsidP="00DA3FCC">
      <w:pPr>
        <w:pStyle w:val="DSBodyTextIndent1"/>
        <w:ind w:left="1304"/>
        <w:jc w:val="both"/>
        <w:rPr>
          <w:i/>
          <w:iCs/>
          <w:lang w:bidi="en-GB"/>
        </w:rPr>
      </w:pPr>
    </w:p>
    <w:p w14:paraId="06665D09" w14:textId="31B1B081" w:rsidR="00DA3FCC" w:rsidRPr="00595546" w:rsidRDefault="00DA3FCC" w:rsidP="00DA3FCC">
      <w:pPr>
        <w:pStyle w:val="DSBodyTextIndent1"/>
        <w:ind w:left="1304"/>
        <w:jc w:val="both"/>
        <w:rPr>
          <w:i/>
          <w:iCs/>
          <w:lang w:bidi="en-GB"/>
        </w:rPr>
      </w:pPr>
      <w:r w:rsidRPr="00595546">
        <w:rPr>
          <w:i/>
          <w:iCs/>
          <w:lang w:bidi="en-GB"/>
        </w:rPr>
        <w:t>(C) Alle godkendelser, dispensationer og tilladelser fra Europa Kommissionen i henhold til FSR skal være givet, alt efter omstændighederne, og/eller eventuelle gældende karenstider i forbindelse med sådanne meddelelser skal være udløbet eller ophørt (“</w:t>
      </w:r>
      <w:r w:rsidRPr="00595546">
        <w:rPr>
          <w:b/>
          <w:bCs/>
          <w:i/>
          <w:iCs/>
          <w:lang w:bidi="en-GB"/>
        </w:rPr>
        <w:t>FSR-betingelsen</w:t>
      </w:r>
      <w:r w:rsidRPr="00595546">
        <w:rPr>
          <w:i/>
          <w:iCs/>
          <w:lang w:bidi="en-GB"/>
        </w:rPr>
        <w:t>”, sammen med Konkurrencebetingelsen, de “Regulatoriske Betingelser”).</w:t>
      </w:r>
    </w:p>
    <w:p w14:paraId="77181BAF" w14:textId="77777777" w:rsidR="00DA3FCC" w:rsidRPr="00595546" w:rsidRDefault="00DA3FCC" w:rsidP="00DA3FCC">
      <w:pPr>
        <w:pStyle w:val="DSBodyTextIndent1"/>
        <w:ind w:left="1304"/>
        <w:jc w:val="both"/>
        <w:rPr>
          <w:i/>
          <w:iCs/>
          <w:lang w:bidi="en-GB"/>
        </w:rPr>
      </w:pPr>
    </w:p>
    <w:p w14:paraId="200BC7E3" w14:textId="327BB494" w:rsidR="00DA3FCC" w:rsidRPr="00595546" w:rsidRDefault="00DA3FCC" w:rsidP="00DA3FCC">
      <w:pPr>
        <w:pStyle w:val="DSBodyTextIndent1"/>
        <w:ind w:left="1304"/>
        <w:jc w:val="both"/>
        <w:rPr>
          <w:i/>
          <w:iCs/>
          <w:lang w:bidi="en-GB"/>
        </w:rPr>
      </w:pPr>
      <w:r w:rsidRPr="00595546">
        <w:rPr>
          <w:i/>
          <w:iCs/>
          <w:lang w:bidi="en-GB"/>
        </w:rPr>
        <w:t xml:space="preserve">(D) Mellem den 11. december 2025 og Datoen for Endeligt Resultat må der ikke være indtrådt nogen Væsentlig Negativ Ændring. </w:t>
      </w:r>
    </w:p>
    <w:p w14:paraId="1E9996E2" w14:textId="77777777" w:rsidR="00DA3FCC" w:rsidRPr="00595546" w:rsidRDefault="00DA3FCC" w:rsidP="00DA3FCC">
      <w:pPr>
        <w:pStyle w:val="DSBodyTextIndent1"/>
        <w:ind w:left="1304"/>
        <w:jc w:val="both"/>
        <w:rPr>
          <w:i/>
          <w:iCs/>
          <w:lang w:bidi="en-GB"/>
        </w:rPr>
      </w:pPr>
    </w:p>
    <w:p w14:paraId="7F0009FB" w14:textId="3E2395CD" w:rsidR="00DA3FCC" w:rsidRPr="00595546" w:rsidRDefault="00DA3FCC" w:rsidP="00DA3FCC">
      <w:pPr>
        <w:pStyle w:val="DSBodyTextIndent1"/>
        <w:ind w:left="1304"/>
        <w:jc w:val="both"/>
        <w:rPr>
          <w:i/>
          <w:iCs/>
          <w:lang w:bidi="en-GB"/>
        </w:rPr>
      </w:pPr>
      <w:r w:rsidRPr="00595546">
        <w:rPr>
          <w:i/>
          <w:iCs/>
          <w:lang w:bidi="en-GB"/>
        </w:rPr>
        <w:t>(E) Selskabet har Offentliggjort Bestyrelsens Anbefaling og har efterfølgende ikke foretaget (herunder meddelt en hensigt om at foretage følgende) nogen handling eller undladelse, der ville udgøre en Negativ Ændring af Anbefalingen, hvor “</w:t>
      </w:r>
      <w:r w:rsidRPr="00595546">
        <w:rPr>
          <w:b/>
          <w:bCs/>
          <w:i/>
          <w:iCs/>
          <w:lang w:bidi="en-GB"/>
        </w:rPr>
        <w:t>Negativ Ændring af Anbefaling</w:t>
      </w:r>
      <w:r w:rsidRPr="00595546">
        <w:rPr>
          <w:i/>
          <w:iCs/>
          <w:lang w:bidi="en-GB"/>
        </w:rPr>
        <w:t>” betyder, at (i) Selskabet ikke Offentliggør Bestyrelsens Anbefaling, (ii) at Bestyrelsen anbefaler, at Aktionærerne accepterer et Konkurrerende Tilbud, eller (iii) at Bestyrelsen godkender eller anbefaler, at Aktionærerne godkender en Alternativ Transaktion.</w:t>
      </w:r>
    </w:p>
    <w:p w14:paraId="5C901954" w14:textId="77777777" w:rsidR="00DA3FCC" w:rsidRPr="00595546" w:rsidRDefault="00DA3FCC" w:rsidP="00DA3FCC">
      <w:pPr>
        <w:pStyle w:val="DSBodyTextIndent1"/>
        <w:ind w:left="1304"/>
        <w:jc w:val="both"/>
        <w:rPr>
          <w:i/>
          <w:iCs/>
          <w:lang w:bidi="en-GB"/>
        </w:rPr>
      </w:pPr>
    </w:p>
    <w:p w14:paraId="3F8BDD11" w14:textId="67C290B5" w:rsidR="00DA3FCC" w:rsidRPr="00595546" w:rsidRDefault="00DA3FCC" w:rsidP="00DA3FCC">
      <w:pPr>
        <w:pStyle w:val="DSBodyTextIndent1"/>
        <w:ind w:left="1304"/>
        <w:jc w:val="both"/>
        <w:rPr>
          <w:i/>
          <w:iCs/>
          <w:lang w:bidi="en-GB"/>
        </w:rPr>
      </w:pPr>
      <w:r w:rsidRPr="00595546">
        <w:rPr>
          <w:i/>
          <w:iCs/>
          <w:lang w:bidi="en-GB"/>
        </w:rPr>
        <w:t>(F) Siden 11. december 2025 har der ikke været nogen ændring i eller bindende forpligtelse til at ændre Selskabets aktiekapital eller vedtægter, undtagen som følge af en Tilladt Incitamentsaktietransaktion.</w:t>
      </w:r>
    </w:p>
    <w:p w14:paraId="232BE959" w14:textId="77777777" w:rsidR="00DA3FCC" w:rsidRPr="00595546" w:rsidRDefault="00DA3FCC" w:rsidP="00DA3FCC">
      <w:pPr>
        <w:pStyle w:val="DSBodyTextIndent1"/>
        <w:ind w:left="1304"/>
        <w:jc w:val="both"/>
        <w:rPr>
          <w:i/>
          <w:iCs/>
          <w:lang w:bidi="en-GB"/>
        </w:rPr>
      </w:pPr>
    </w:p>
    <w:p w14:paraId="73ACAAD1" w14:textId="2066E753" w:rsidR="00DA3FCC" w:rsidRPr="00595546" w:rsidRDefault="00DA3FCC" w:rsidP="00DA3FCC">
      <w:pPr>
        <w:pStyle w:val="DSBodyTextIndent1"/>
        <w:ind w:left="1304"/>
        <w:jc w:val="both"/>
        <w:rPr>
          <w:i/>
          <w:iCs/>
          <w:lang w:bidi="en-GB"/>
        </w:rPr>
      </w:pPr>
      <w:r w:rsidRPr="00595546">
        <w:rPr>
          <w:i/>
          <w:iCs/>
          <w:lang w:bidi="en-GB"/>
        </w:rPr>
        <w:t>(G) Siden 11. december 2025 har Selskabet ikke udstedt eller godkendt udstedelse af værdipapirer, der kan udnyttes eller ombyttes til, direkte eller indirekte konverteres til, træde i stedet for eller som erstatning for Aktier, bortset fra udstedelser i henhold til en Tilladt Incitamentsaktietransaktion.</w:t>
      </w:r>
    </w:p>
    <w:p w14:paraId="5B403704" w14:textId="77777777" w:rsidR="00DA3FCC" w:rsidRPr="00595546" w:rsidRDefault="00DA3FCC" w:rsidP="00DA3FCC">
      <w:pPr>
        <w:pStyle w:val="DSBodyTextIndent1"/>
        <w:ind w:left="1304"/>
        <w:jc w:val="both"/>
        <w:rPr>
          <w:i/>
          <w:iCs/>
          <w:lang w:bidi="en-GB"/>
        </w:rPr>
      </w:pPr>
    </w:p>
    <w:p w14:paraId="4222055E" w14:textId="27A067ED" w:rsidR="00DA3FCC" w:rsidRPr="00595546" w:rsidRDefault="00DA3FCC" w:rsidP="00DA3FCC">
      <w:pPr>
        <w:pStyle w:val="DSBodyTextIndent1"/>
        <w:ind w:left="1304"/>
        <w:jc w:val="both"/>
        <w:rPr>
          <w:i/>
          <w:iCs/>
          <w:lang w:bidi="en-GB"/>
        </w:rPr>
      </w:pPr>
      <w:r w:rsidRPr="00595546">
        <w:rPr>
          <w:i/>
          <w:iCs/>
          <w:lang w:bidi="en-GB"/>
        </w:rPr>
        <w:t>(H) Siden 11. december 2025 har Selskabet ikke solgt (eller aftalt at sælge) eller på anden måde afhændet nogen af sine Egne Aktier, bortset fra i henhold til en Tilladt Incitamentsaktietransaktion.</w:t>
      </w:r>
    </w:p>
    <w:p w14:paraId="43753205" w14:textId="77777777" w:rsidR="00DA3FCC" w:rsidRPr="00595546" w:rsidRDefault="00DA3FCC" w:rsidP="00DA3FCC">
      <w:pPr>
        <w:pStyle w:val="DSBodyTextIndent1"/>
        <w:ind w:left="1304"/>
        <w:jc w:val="both"/>
        <w:rPr>
          <w:i/>
          <w:iCs/>
          <w:lang w:bidi="en-GB"/>
        </w:rPr>
      </w:pPr>
    </w:p>
    <w:p w14:paraId="2E34C14A" w14:textId="695806EB" w:rsidR="00DA3FCC" w:rsidRPr="00595546" w:rsidRDefault="00DA3FCC" w:rsidP="00DA3FCC">
      <w:pPr>
        <w:pStyle w:val="DSBodyTextIndent1"/>
        <w:ind w:left="1304"/>
        <w:jc w:val="both"/>
        <w:rPr>
          <w:i/>
          <w:iCs/>
          <w:lang w:bidi="en-GB"/>
        </w:rPr>
      </w:pPr>
      <w:r w:rsidRPr="00595546">
        <w:rPr>
          <w:i/>
          <w:iCs/>
          <w:lang w:bidi="en-GB"/>
        </w:rPr>
        <w:t>(I) Siden 11. december 2025 har hverken Selskabets generalforsamling eller Bestyrelsen gennemført eller besluttet aktietilbagekøb, udstedelse af fondsaktier eller nedsættelse af aktiekapitalen, bortset fra i henhold til en Tilladt Incitamentsaktietransaktion.</w:t>
      </w:r>
    </w:p>
    <w:p w14:paraId="5398673E" w14:textId="77777777" w:rsidR="00DA3FCC" w:rsidRPr="00595546" w:rsidRDefault="00DA3FCC" w:rsidP="00DA3FCC">
      <w:pPr>
        <w:pStyle w:val="DSBodyTextIndent1"/>
        <w:ind w:left="1304"/>
        <w:jc w:val="both"/>
        <w:rPr>
          <w:i/>
          <w:iCs/>
          <w:lang w:bidi="en-GB"/>
        </w:rPr>
      </w:pPr>
    </w:p>
    <w:p w14:paraId="38E7FB11" w14:textId="42ED5E2A" w:rsidR="00DA3FCC" w:rsidRPr="00595546" w:rsidRDefault="00DA3FCC" w:rsidP="00DA3FCC">
      <w:pPr>
        <w:pStyle w:val="DSBodyTextIndent1"/>
        <w:ind w:left="1304"/>
        <w:jc w:val="both"/>
        <w:rPr>
          <w:i/>
          <w:iCs/>
          <w:lang w:bidi="en-GB"/>
        </w:rPr>
      </w:pPr>
      <w:r w:rsidRPr="00595546">
        <w:rPr>
          <w:i/>
          <w:iCs/>
          <w:lang w:bidi="en-GB"/>
        </w:rPr>
        <w:t xml:space="preserve">(J) Bortset fra lovgivning, regulering eller beslutninger, der falder inden for rammerne af de Regulatoriske Betingelser med hensyn til de jurisdiktioner, der er nævnt i bilag 4.9(B) med hensyn til konkurrenceretlige godkendelser, er der ikke udstedt nogen lovgivning eller andre reguleringer eller truffet nogen beslutninger, der fortsat er i kraft, af en kompetent domstol, regulatorisk myndighed eller anden Offentlig Myndighed, som ville forhindre eller på anden måde forbyde Gennemførelsen, og der er heller ikke truffet nogen foranstaltninger eller udstedt nogen gældende Lov eller bekendtgørelse, der er forkyndt, vedtaget, fuldbyrdet, gennemført eller udstedt eller anses for gældende for Tilbuddet eller de transaktioner, der er omhandlet i Offentliggørelsesaftalen, af nogen Offentlig Myndighed, som forbyder, ulovliggør, forhindrer eller på anden måde forbyder Gennemførelsen af Tilbuddet. </w:t>
      </w:r>
    </w:p>
    <w:p w14:paraId="4C2368C6" w14:textId="77777777" w:rsidR="00DA3FCC" w:rsidRPr="00595546" w:rsidRDefault="00DA3FCC" w:rsidP="00DA3FCC">
      <w:pPr>
        <w:pStyle w:val="DSBodyTextIndent1"/>
        <w:ind w:left="1304"/>
        <w:jc w:val="both"/>
        <w:rPr>
          <w:i/>
          <w:iCs/>
          <w:lang w:bidi="en-GB"/>
        </w:rPr>
      </w:pPr>
    </w:p>
    <w:p w14:paraId="13BBEB41" w14:textId="424E2D0F" w:rsidR="00DB7E45" w:rsidRPr="00595546" w:rsidRDefault="00DA3FCC" w:rsidP="00DA3FCC">
      <w:pPr>
        <w:pStyle w:val="DSBodyTextIndent1"/>
        <w:ind w:left="1304"/>
        <w:jc w:val="both"/>
        <w:rPr>
          <w:i/>
          <w:iCs/>
          <w:lang w:bidi="en-GB"/>
        </w:rPr>
      </w:pPr>
      <w:r w:rsidRPr="00595546">
        <w:rPr>
          <w:i/>
          <w:iCs/>
          <w:lang w:bidi="en-GB"/>
        </w:rPr>
        <w:t>(K) Offentliggørelsesaftalen er fortsat gyldig og i kraft og er ikke blevet gyldigt opsagt i overensstemmelse med dens vilkår og betingelser jf. afsnit 8.4.2 (i)-(iv)."</w:t>
      </w:r>
    </w:p>
    <w:p w14:paraId="0C5A34DF" w14:textId="77777777" w:rsidR="00DA3FCC" w:rsidRPr="00595546" w:rsidRDefault="00DA3FCC" w:rsidP="00DA3FCC">
      <w:pPr>
        <w:pStyle w:val="DSBodyTextIndent1"/>
        <w:ind w:left="0"/>
        <w:jc w:val="both"/>
        <w:rPr>
          <w:lang w:bidi="en-GB"/>
        </w:rPr>
      </w:pPr>
    </w:p>
    <w:p w14:paraId="373808B0" w14:textId="17721005" w:rsidR="00DB7E45" w:rsidRPr="00595546" w:rsidRDefault="00DB7E45" w:rsidP="00DB7E45">
      <w:pPr>
        <w:pStyle w:val="DSBodyTextIndent1"/>
        <w:jc w:val="both"/>
        <w:rPr>
          <w:lang w:bidi="en-GB"/>
        </w:rPr>
      </w:pPr>
      <w:r w:rsidRPr="00595546">
        <w:rPr>
          <w:lang w:bidi="en-GB"/>
        </w:rPr>
        <w:lastRenderedPageBreak/>
        <w:t xml:space="preserve">I processen op til </w:t>
      </w:r>
      <w:r w:rsidR="00DB44D5" w:rsidRPr="00595546">
        <w:rPr>
          <w:lang w:bidi="en-GB"/>
        </w:rPr>
        <w:t>Tilbuddet</w:t>
      </w:r>
      <w:r w:rsidRPr="00595546">
        <w:rPr>
          <w:lang w:bidi="en-GB"/>
        </w:rPr>
        <w:t xml:space="preserve">, herunder under forhandlingerne med </w:t>
      </w:r>
      <w:r w:rsidR="00DB44D5" w:rsidRPr="00595546">
        <w:rPr>
          <w:lang w:bidi="en-GB"/>
        </w:rPr>
        <w:t>Tilbudsgiver</w:t>
      </w:r>
      <w:r w:rsidRPr="00595546">
        <w:rPr>
          <w:lang w:bidi="en-GB"/>
        </w:rPr>
        <w:t xml:space="preserve">, har </w:t>
      </w:r>
      <w:r w:rsidR="00595546" w:rsidRPr="00595546">
        <w:rPr>
          <w:lang w:bidi="en-GB"/>
        </w:rPr>
        <w:t xml:space="preserve">Bestyrelsen </w:t>
      </w:r>
      <w:r w:rsidRPr="00595546">
        <w:rPr>
          <w:lang w:bidi="en-GB"/>
        </w:rPr>
        <w:t xml:space="preserve">fokuseret på at sikre, så vidt det med rimelighed er muligt, at </w:t>
      </w:r>
      <w:r w:rsidR="00DB44D5" w:rsidRPr="00595546">
        <w:rPr>
          <w:lang w:bidi="en-GB"/>
        </w:rPr>
        <w:t>Tilbuddet</w:t>
      </w:r>
      <w:r w:rsidRPr="00595546">
        <w:rPr>
          <w:lang w:bidi="en-GB"/>
        </w:rPr>
        <w:t xml:space="preserve">, under forudsætning af </w:t>
      </w:r>
      <w:r w:rsidR="00DB44D5" w:rsidRPr="00595546">
        <w:rPr>
          <w:lang w:bidi="en-GB"/>
        </w:rPr>
        <w:t xml:space="preserve">Aktionærernes </w:t>
      </w:r>
      <w:r w:rsidRPr="00595546">
        <w:rPr>
          <w:lang w:bidi="en-GB"/>
        </w:rPr>
        <w:t xml:space="preserve">accept af </w:t>
      </w:r>
      <w:r w:rsidR="00DB44D5" w:rsidRPr="00595546">
        <w:rPr>
          <w:lang w:bidi="en-GB"/>
        </w:rPr>
        <w:t>Tilbuddet</w:t>
      </w:r>
      <w:r w:rsidRPr="00595546">
        <w:rPr>
          <w:lang w:bidi="en-GB"/>
        </w:rPr>
        <w:t xml:space="preserve">, vil blive </w:t>
      </w:r>
      <w:r w:rsidR="0062646E">
        <w:rPr>
          <w:lang w:bidi="en-GB"/>
        </w:rPr>
        <w:t>G</w:t>
      </w:r>
      <w:r w:rsidRPr="00595546">
        <w:rPr>
          <w:lang w:bidi="en-GB"/>
        </w:rPr>
        <w:t xml:space="preserve">ennemført. </w:t>
      </w:r>
    </w:p>
    <w:p w14:paraId="7BB22B4A" w14:textId="77777777" w:rsidR="00DB7E45" w:rsidRPr="00595546" w:rsidRDefault="00DB7E45" w:rsidP="00DB7E45">
      <w:pPr>
        <w:pStyle w:val="DSBodyTextIndent1"/>
        <w:jc w:val="both"/>
        <w:rPr>
          <w:highlight w:val="yellow"/>
          <w:lang w:bidi="en-GB"/>
        </w:rPr>
      </w:pPr>
    </w:p>
    <w:p w14:paraId="7D33B089" w14:textId="251B7030" w:rsidR="00DB7E45" w:rsidRPr="00595546" w:rsidRDefault="00DB7E45" w:rsidP="00DB7E45">
      <w:pPr>
        <w:pStyle w:val="DSBodyTextIndent1"/>
        <w:jc w:val="both"/>
        <w:rPr>
          <w:lang w:bidi="en-GB"/>
        </w:rPr>
      </w:pPr>
      <w:r w:rsidRPr="00595546">
        <w:rPr>
          <w:lang w:bidi="en-GB"/>
        </w:rPr>
        <w:t>Med hensyn til betingelsen i afsnit</w:t>
      </w:r>
      <w:r w:rsidR="005C76E2" w:rsidRPr="00595546">
        <w:rPr>
          <w:lang w:bidi="en-GB"/>
        </w:rPr>
        <w:t xml:space="preserve"> 4.9</w:t>
      </w:r>
      <w:r w:rsidRPr="00595546">
        <w:rPr>
          <w:lang w:bidi="en-GB"/>
        </w:rPr>
        <w:t>(</w:t>
      </w:r>
      <w:r w:rsidR="00256293" w:rsidRPr="00595546">
        <w:rPr>
          <w:lang w:bidi="en-GB"/>
        </w:rPr>
        <w:t>B</w:t>
      </w:r>
      <w:r w:rsidRPr="00595546">
        <w:rPr>
          <w:lang w:bidi="en-GB"/>
        </w:rPr>
        <w:t xml:space="preserve">) i </w:t>
      </w:r>
      <w:r w:rsidR="00DB44D5" w:rsidRPr="00595546">
        <w:rPr>
          <w:lang w:bidi="en-GB"/>
        </w:rPr>
        <w:t xml:space="preserve">Tilbudsdokumentet </w:t>
      </w:r>
      <w:r w:rsidRPr="00595546">
        <w:rPr>
          <w:lang w:bidi="en-GB"/>
        </w:rPr>
        <w:t>(</w:t>
      </w:r>
      <w:r w:rsidR="00DA3FCC" w:rsidRPr="00595546">
        <w:rPr>
          <w:lang w:bidi="en-GB"/>
        </w:rPr>
        <w:t>Konkurrencebetingelsen</w:t>
      </w:r>
      <w:r w:rsidRPr="00595546">
        <w:rPr>
          <w:lang w:bidi="en-GB"/>
        </w:rPr>
        <w:t>) og afsnit</w:t>
      </w:r>
      <w:r w:rsidR="005C76E2" w:rsidRPr="00595546">
        <w:rPr>
          <w:lang w:bidi="en-GB"/>
        </w:rPr>
        <w:t xml:space="preserve"> 4</w:t>
      </w:r>
      <w:r w:rsidRPr="00595546">
        <w:rPr>
          <w:lang w:bidi="en-GB"/>
        </w:rPr>
        <w:t>.</w:t>
      </w:r>
      <w:r w:rsidR="005C76E2" w:rsidRPr="00595546">
        <w:rPr>
          <w:lang w:bidi="en-GB"/>
        </w:rPr>
        <w:t>9</w:t>
      </w:r>
      <w:r w:rsidRPr="00595546">
        <w:rPr>
          <w:lang w:bidi="en-GB"/>
        </w:rPr>
        <w:t>(</w:t>
      </w:r>
      <w:r w:rsidR="00256293" w:rsidRPr="00595546">
        <w:rPr>
          <w:lang w:bidi="en-GB"/>
        </w:rPr>
        <w:t>C</w:t>
      </w:r>
      <w:r w:rsidRPr="00595546">
        <w:rPr>
          <w:lang w:bidi="en-GB"/>
        </w:rPr>
        <w:t xml:space="preserve">) </w:t>
      </w:r>
      <w:r w:rsidR="00C53B1B" w:rsidRPr="00595546">
        <w:rPr>
          <w:lang w:bidi="en-GB"/>
        </w:rPr>
        <w:t xml:space="preserve">i </w:t>
      </w:r>
      <w:r w:rsidR="00DB44D5" w:rsidRPr="00595546">
        <w:rPr>
          <w:lang w:bidi="en-GB"/>
        </w:rPr>
        <w:t xml:space="preserve">Tilbudsdokumentet </w:t>
      </w:r>
      <w:r w:rsidRPr="00595546">
        <w:rPr>
          <w:lang w:bidi="en-GB"/>
        </w:rPr>
        <w:t>(FSR-</w:t>
      </w:r>
      <w:r w:rsidR="00DA3FCC" w:rsidRPr="00595546">
        <w:rPr>
          <w:lang w:bidi="en-GB"/>
        </w:rPr>
        <w:t>Betingelsen</w:t>
      </w:r>
      <w:r w:rsidRPr="00595546">
        <w:rPr>
          <w:lang w:bidi="en-GB"/>
        </w:rPr>
        <w:t xml:space="preserve">) bemærker </w:t>
      </w:r>
      <w:r w:rsidR="00595546" w:rsidRPr="00595546">
        <w:rPr>
          <w:lang w:bidi="en-GB"/>
        </w:rPr>
        <w:t>Bestyrelsen</w:t>
      </w:r>
      <w:r w:rsidRPr="00595546">
        <w:rPr>
          <w:lang w:bidi="en-GB"/>
        </w:rPr>
        <w:t xml:space="preserve">, at </w:t>
      </w:r>
      <w:r w:rsidR="00DB44D5" w:rsidRPr="00595546">
        <w:rPr>
          <w:lang w:bidi="en-GB"/>
        </w:rPr>
        <w:t>Tilbudsgiver</w:t>
      </w:r>
      <w:r w:rsidRPr="00595546">
        <w:rPr>
          <w:lang w:bidi="en-GB"/>
        </w:rPr>
        <w:t xml:space="preserve"> i </w:t>
      </w:r>
      <w:r w:rsidR="00DB44D5" w:rsidRPr="00595546">
        <w:rPr>
          <w:lang w:bidi="en-GB"/>
        </w:rPr>
        <w:t>Offentliggørelsesaftalen</w:t>
      </w:r>
      <w:r w:rsidRPr="00595546">
        <w:rPr>
          <w:lang w:bidi="en-GB"/>
        </w:rPr>
        <w:t xml:space="preserve"> har afgivet visse tilsagn og forpligtelser over for </w:t>
      </w:r>
      <w:r w:rsidR="00DB44D5" w:rsidRPr="00595546">
        <w:rPr>
          <w:lang w:bidi="en-GB"/>
        </w:rPr>
        <w:t xml:space="preserve">Selskabet </w:t>
      </w:r>
      <w:r w:rsidRPr="00595546">
        <w:rPr>
          <w:lang w:bidi="en-GB"/>
        </w:rPr>
        <w:t xml:space="preserve">med det formål at sikre, at de </w:t>
      </w:r>
      <w:r w:rsidR="00595546" w:rsidRPr="00595546">
        <w:rPr>
          <w:lang w:bidi="en-GB"/>
        </w:rPr>
        <w:t xml:space="preserve">Regulatoriske Betingelser </w:t>
      </w:r>
      <w:r w:rsidRPr="00595546">
        <w:rPr>
          <w:lang w:bidi="en-GB"/>
        </w:rPr>
        <w:t xml:space="preserve">vil blive opfyldt. Der henvises til beskrivelsen af visse vilkår i </w:t>
      </w:r>
      <w:r w:rsidR="00DB44D5" w:rsidRPr="00595546">
        <w:rPr>
          <w:lang w:bidi="en-GB"/>
        </w:rPr>
        <w:t>Offentliggørelsesaftalen</w:t>
      </w:r>
      <w:r w:rsidRPr="00595546">
        <w:rPr>
          <w:lang w:bidi="en-GB"/>
        </w:rPr>
        <w:t xml:space="preserve"> i afsnit</w:t>
      </w:r>
      <w:r w:rsidR="00595546" w:rsidRPr="00595546">
        <w:rPr>
          <w:lang w:bidi="en-GB"/>
        </w:rPr>
        <w:t xml:space="preserve"> </w:t>
      </w:r>
      <w:r w:rsidRPr="00595546">
        <w:rPr>
          <w:lang w:bidi="en-GB"/>
        </w:rPr>
        <w:fldChar w:fldCharType="begin"/>
      </w:r>
      <w:r w:rsidRPr="00595546">
        <w:rPr>
          <w:lang w:bidi="en-GB"/>
        </w:rPr>
        <w:instrText xml:space="preserve"> REF _Ref203811163 \r \h  \* MERGEFORMAT </w:instrText>
      </w:r>
      <w:r w:rsidRPr="00595546">
        <w:rPr>
          <w:lang w:bidi="en-GB"/>
        </w:rPr>
      </w:r>
      <w:r w:rsidRPr="00595546">
        <w:rPr>
          <w:lang w:bidi="en-GB"/>
        </w:rPr>
        <w:fldChar w:fldCharType="separate"/>
      </w:r>
      <w:r w:rsidR="00433DF7">
        <w:rPr>
          <w:lang w:bidi="en-GB"/>
        </w:rPr>
        <w:t>6</w:t>
      </w:r>
      <w:r w:rsidRPr="00595546">
        <w:rPr>
          <w:lang w:bidi="en-GB"/>
        </w:rPr>
        <w:fldChar w:fldCharType="end"/>
      </w:r>
      <w:r w:rsidRPr="00595546">
        <w:rPr>
          <w:lang w:bidi="en-GB"/>
        </w:rPr>
        <w:t xml:space="preserve"> ovenfor.</w:t>
      </w:r>
    </w:p>
    <w:p w14:paraId="4308854F" w14:textId="77777777" w:rsidR="00DB7E45" w:rsidRPr="00595546" w:rsidRDefault="00DB7E45" w:rsidP="00DB7E45">
      <w:pPr>
        <w:pStyle w:val="DSBodyTextIndent1"/>
        <w:jc w:val="both"/>
        <w:rPr>
          <w:highlight w:val="yellow"/>
          <w:lang w:bidi="en-GB"/>
        </w:rPr>
      </w:pPr>
    </w:p>
    <w:p w14:paraId="0AA34973" w14:textId="7C763021" w:rsidR="00DB7E45" w:rsidRPr="00595546" w:rsidRDefault="00DB7E45" w:rsidP="00DB7E45">
      <w:pPr>
        <w:pStyle w:val="DSBodyTextIndent1"/>
        <w:jc w:val="both"/>
        <w:rPr>
          <w:lang w:bidi="en-GB"/>
        </w:rPr>
      </w:pPr>
      <w:r w:rsidRPr="00595546">
        <w:rPr>
          <w:lang w:bidi="en-GB"/>
        </w:rPr>
        <w:t xml:space="preserve">Af de øvrige </w:t>
      </w:r>
      <w:r w:rsidR="00595546" w:rsidRPr="00595546">
        <w:rPr>
          <w:lang w:bidi="en-GB"/>
        </w:rPr>
        <w:t xml:space="preserve">Betingelser </w:t>
      </w:r>
      <w:r w:rsidRPr="00595546">
        <w:rPr>
          <w:lang w:bidi="en-GB"/>
        </w:rPr>
        <w:t xml:space="preserve">ønsker </w:t>
      </w:r>
      <w:r w:rsidR="00595546" w:rsidRPr="00595546">
        <w:rPr>
          <w:lang w:bidi="en-GB"/>
        </w:rPr>
        <w:t>Bestyrelsen</w:t>
      </w:r>
      <w:r w:rsidRPr="00595546">
        <w:rPr>
          <w:lang w:bidi="en-GB"/>
        </w:rPr>
        <w:t xml:space="preserve"> specifikt at fremhæve, at </w:t>
      </w:r>
      <w:r w:rsidR="00595546" w:rsidRPr="00595546">
        <w:rPr>
          <w:lang w:bidi="en-GB"/>
        </w:rPr>
        <w:t xml:space="preserve">Betingelsen </w:t>
      </w:r>
      <w:r w:rsidRPr="00595546">
        <w:rPr>
          <w:lang w:bidi="en-GB"/>
        </w:rPr>
        <w:t>i afsnit</w:t>
      </w:r>
      <w:r w:rsidR="00027275" w:rsidRPr="00595546">
        <w:rPr>
          <w:lang w:bidi="en-GB"/>
        </w:rPr>
        <w:t xml:space="preserve"> 4.9</w:t>
      </w:r>
      <w:r w:rsidRPr="00595546">
        <w:rPr>
          <w:lang w:bidi="en-GB"/>
        </w:rPr>
        <w:t>(</w:t>
      </w:r>
      <w:r w:rsidR="00BC5CB3" w:rsidRPr="00595546">
        <w:rPr>
          <w:lang w:bidi="en-GB"/>
        </w:rPr>
        <w:t>D</w:t>
      </w:r>
      <w:r w:rsidRPr="00595546">
        <w:rPr>
          <w:lang w:bidi="en-GB"/>
        </w:rPr>
        <w:t xml:space="preserve">) i </w:t>
      </w:r>
      <w:r w:rsidR="00DB44D5" w:rsidRPr="00595546">
        <w:rPr>
          <w:lang w:bidi="en-GB"/>
        </w:rPr>
        <w:t xml:space="preserve">Tilbudsdokumentet </w:t>
      </w:r>
      <w:r w:rsidRPr="00595546">
        <w:rPr>
          <w:lang w:bidi="en-GB"/>
        </w:rPr>
        <w:t xml:space="preserve">(ingen </w:t>
      </w:r>
      <w:r w:rsidR="00595546" w:rsidRPr="00595546">
        <w:rPr>
          <w:lang w:bidi="en-GB"/>
        </w:rPr>
        <w:t>Væsentlige Negativ Ændring</w:t>
      </w:r>
      <w:r w:rsidRPr="00595546">
        <w:rPr>
          <w:lang w:bidi="en-GB"/>
        </w:rPr>
        <w:t xml:space="preserve">) generelt kun vedrører koncernspecifikke forhold og ikke forhold, der generelt påvirker de finansielle markeder, den globale eller regionale økonomi osv. bortset fra i en grad, der er væsentligt uforholdsmæssig i forhold til </w:t>
      </w:r>
      <w:r w:rsidR="00DB44D5" w:rsidRPr="00595546">
        <w:rPr>
          <w:lang w:bidi="en-GB"/>
        </w:rPr>
        <w:t xml:space="preserve">Koncernen </w:t>
      </w:r>
      <w:r w:rsidRPr="00595546">
        <w:rPr>
          <w:lang w:bidi="en-GB"/>
        </w:rPr>
        <w:t>som helhed</w:t>
      </w:r>
      <w:r w:rsidR="0032148C" w:rsidRPr="00595546">
        <w:rPr>
          <w:lang w:bidi="en-GB"/>
        </w:rPr>
        <w:t>.</w:t>
      </w:r>
    </w:p>
    <w:p w14:paraId="09E102A0" w14:textId="35EB12C0" w:rsidR="00612942" w:rsidRPr="00595546" w:rsidRDefault="002B7FBF" w:rsidP="00A05058">
      <w:pPr>
        <w:pStyle w:val="Heading2"/>
        <w:jc w:val="both"/>
      </w:pPr>
      <w:bookmarkStart w:id="125" w:name="_Toc218590530"/>
      <w:r>
        <w:t xml:space="preserve">Mulighed for </w:t>
      </w:r>
      <w:r w:rsidR="00612942" w:rsidRPr="00595546">
        <w:t>at reagere på konkurrerende tilbud eller alternative transaktioner</w:t>
      </w:r>
      <w:bookmarkEnd w:id="125"/>
    </w:p>
    <w:p w14:paraId="503C9E68" w14:textId="5BD28BC7" w:rsidR="00612942" w:rsidRPr="00595546" w:rsidRDefault="00595546" w:rsidP="0079648F">
      <w:pPr>
        <w:ind w:left="851"/>
        <w:jc w:val="both"/>
        <w:rPr>
          <w:rFonts w:asciiTheme="minorHAnsi" w:hAnsiTheme="minorHAnsi" w:cstheme="minorHAnsi"/>
          <w:lang w:bidi="en-GB"/>
        </w:rPr>
      </w:pPr>
      <w:r w:rsidRPr="00595546">
        <w:t xml:space="preserve">Bestyrelsen bemærker, at den vurderer, at den i henhold til Offentliggørelsesaftalen har sikret sig en sædvanlig og rimelig mulighed for at reagere på ethvert uopfordret tilbud eller uopfordret forslag om et konkurrerende tilbud eller en alternativ transaktion og i sidste ende anbefale et bedre alternativt transaktionsforslag, i overensstemmelse med Bestyrelsens </w:t>
      </w:r>
      <w:r w:rsidR="00B24B36">
        <w:t xml:space="preserve">ledelsesmæssige </w:t>
      </w:r>
      <w:r w:rsidR="00B24B36" w:rsidRPr="00595546">
        <w:t>forpligtelse</w:t>
      </w:r>
      <w:r w:rsidR="00B24B36">
        <w:t>r</w:t>
      </w:r>
      <w:r w:rsidRPr="00595546">
        <w:t>, såfremt det måtte blive relevant</w:t>
      </w:r>
      <w:r w:rsidR="0079648F" w:rsidRPr="00595546">
        <w:t xml:space="preserve">. Der henvises til beskrivelsen af visse vilkår i </w:t>
      </w:r>
      <w:r w:rsidR="00DB44D5" w:rsidRPr="00595546">
        <w:t>Offentliggørelsesaftalen</w:t>
      </w:r>
      <w:r w:rsidR="0079648F" w:rsidRPr="00595546">
        <w:t xml:space="preserve"> i afsnit</w:t>
      </w:r>
      <w:r w:rsidR="00530F3F" w:rsidRPr="00595546">
        <w:t xml:space="preserve"> </w:t>
      </w:r>
      <w:bookmarkStart w:id="126" w:name="OpenAt"/>
      <w:bookmarkEnd w:id="126"/>
      <w:r w:rsidR="0079648F" w:rsidRPr="00595546">
        <w:fldChar w:fldCharType="begin"/>
      </w:r>
      <w:r w:rsidR="0079648F" w:rsidRPr="00595546">
        <w:instrText xml:space="preserve"> REF _Ref203811163 \r \h </w:instrText>
      </w:r>
      <w:r w:rsidR="007B6062" w:rsidRPr="00595546">
        <w:instrText xml:space="preserve"> \* MERGEFORMAT </w:instrText>
      </w:r>
      <w:r w:rsidR="0079648F" w:rsidRPr="00595546">
        <w:fldChar w:fldCharType="separate"/>
      </w:r>
      <w:r w:rsidR="00433DF7">
        <w:t>6</w:t>
      </w:r>
      <w:r w:rsidR="0079648F" w:rsidRPr="00595546">
        <w:fldChar w:fldCharType="end"/>
      </w:r>
      <w:r w:rsidR="00F6113D" w:rsidRPr="00595546">
        <w:t xml:space="preserve"> ovenfor</w:t>
      </w:r>
      <w:r w:rsidR="0079648F" w:rsidRPr="00595546">
        <w:t>.</w:t>
      </w:r>
    </w:p>
    <w:p w14:paraId="54C30080" w14:textId="4AD156D3" w:rsidR="00C409D1" w:rsidRPr="00595546" w:rsidRDefault="00C409D1" w:rsidP="00A05058">
      <w:pPr>
        <w:pStyle w:val="Heading2"/>
        <w:jc w:val="both"/>
      </w:pPr>
      <w:bookmarkStart w:id="127" w:name="_Toc218590531"/>
      <w:r w:rsidRPr="00595546">
        <w:rPr>
          <w:lang w:bidi="en-GB"/>
        </w:rPr>
        <w:t xml:space="preserve">Fordele og ulemper for </w:t>
      </w:r>
      <w:bookmarkEnd w:id="76"/>
      <w:bookmarkEnd w:id="117"/>
      <w:bookmarkEnd w:id="123"/>
      <w:r w:rsidR="00DB44D5" w:rsidRPr="00595546">
        <w:rPr>
          <w:lang w:bidi="en-GB"/>
        </w:rPr>
        <w:t xml:space="preserve">Aktionærerne </w:t>
      </w:r>
      <w:r w:rsidRPr="00595546">
        <w:rPr>
          <w:lang w:bidi="en-GB"/>
        </w:rPr>
        <w:t xml:space="preserve">ved at acceptere </w:t>
      </w:r>
      <w:bookmarkEnd w:id="124"/>
      <w:r w:rsidR="00DB44D5" w:rsidRPr="00595546">
        <w:rPr>
          <w:lang w:bidi="en-GB"/>
        </w:rPr>
        <w:t>Tilbuddet</w:t>
      </w:r>
      <w:bookmarkEnd w:id="127"/>
    </w:p>
    <w:p w14:paraId="284772C1" w14:textId="118BAD7F" w:rsidR="00E05E92" w:rsidRPr="00595546" w:rsidRDefault="00E05E92" w:rsidP="00A05058">
      <w:pPr>
        <w:pStyle w:val="DSBodyTextIndent1"/>
        <w:jc w:val="both"/>
        <w:rPr>
          <w:lang w:bidi="en-GB"/>
        </w:rPr>
      </w:pPr>
      <w:r w:rsidRPr="00595546">
        <w:rPr>
          <w:lang w:bidi="en-GB"/>
        </w:rPr>
        <w:t xml:space="preserve">Bestyrelsen opfordrer </w:t>
      </w:r>
      <w:r w:rsidR="00DB44D5" w:rsidRPr="00595546">
        <w:rPr>
          <w:lang w:bidi="en-GB"/>
        </w:rPr>
        <w:t xml:space="preserve">Aktionærerne </w:t>
      </w:r>
      <w:r w:rsidRPr="00595546">
        <w:rPr>
          <w:lang w:bidi="en-GB"/>
        </w:rPr>
        <w:t xml:space="preserve">til (i) </w:t>
      </w:r>
      <w:r w:rsidR="00C367F8" w:rsidRPr="00595546">
        <w:rPr>
          <w:lang w:bidi="en-GB"/>
        </w:rPr>
        <w:t xml:space="preserve">at analysere </w:t>
      </w:r>
      <w:r w:rsidR="00DB44D5" w:rsidRPr="00595546">
        <w:rPr>
          <w:lang w:bidi="en-GB"/>
        </w:rPr>
        <w:t xml:space="preserve">Tilbudsdokumentet </w:t>
      </w:r>
      <w:r w:rsidRPr="00595546">
        <w:rPr>
          <w:lang w:bidi="en-GB"/>
        </w:rPr>
        <w:t xml:space="preserve">og </w:t>
      </w:r>
      <w:r w:rsidR="002B7FBF">
        <w:rPr>
          <w:lang w:bidi="en-GB"/>
        </w:rPr>
        <w:t>vurdere</w:t>
      </w:r>
      <w:r w:rsidRPr="00595546">
        <w:rPr>
          <w:lang w:bidi="en-GB"/>
        </w:rPr>
        <w:t xml:space="preserve"> alle fordele og ulemper for den enkelte </w:t>
      </w:r>
      <w:r w:rsidR="00DB44D5" w:rsidRPr="00595546">
        <w:rPr>
          <w:lang w:bidi="en-GB"/>
        </w:rPr>
        <w:t>Aktionær</w:t>
      </w:r>
      <w:r w:rsidRPr="00595546">
        <w:rPr>
          <w:lang w:bidi="en-GB"/>
        </w:rPr>
        <w:t xml:space="preserve">, inden </w:t>
      </w:r>
      <w:r w:rsidR="00820D54">
        <w:rPr>
          <w:lang w:bidi="en-GB"/>
        </w:rPr>
        <w:t xml:space="preserve">vedkommende træffer en </w:t>
      </w:r>
      <w:r w:rsidRPr="00595546">
        <w:rPr>
          <w:lang w:bidi="en-GB"/>
        </w:rPr>
        <w:t>beslut</w:t>
      </w:r>
      <w:r w:rsidR="00820D54">
        <w:rPr>
          <w:lang w:bidi="en-GB"/>
        </w:rPr>
        <w:t xml:space="preserve">ning </w:t>
      </w:r>
      <w:r w:rsidRPr="00595546">
        <w:rPr>
          <w:lang w:bidi="en-GB"/>
        </w:rPr>
        <w:t xml:space="preserve">om </w:t>
      </w:r>
      <w:r w:rsidR="00820D54">
        <w:rPr>
          <w:lang w:bidi="en-GB"/>
        </w:rPr>
        <w:t xml:space="preserve">at </w:t>
      </w:r>
      <w:r w:rsidRPr="00595546">
        <w:rPr>
          <w:lang w:bidi="en-GB"/>
        </w:rPr>
        <w:t>vi</w:t>
      </w:r>
      <w:r w:rsidR="00820D54">
        <w:rPr>
          <w:lang w:bidi="en-GB"/>
        </w:rPr>
        <w:t>l</w:t>
      </w:r>
      <w:r w:rsidRPr="00595546">
        <w:rPr>
          <w:lang w:bidi="en-GB"/>
        </w:rPr>
        <w:t>l</w:t>
      </w:r>
      <w:r w:rsidR="00820D54">
        <w:rPr>
          <w:lang w:bidi="en-GB"/>
        </w:rPr>
        <w:t>e</w:t>
      </w:r>
      <w:r w:rsidRPr="00595546">
        <w:rPr>
          <w:lang w:bidi="en-GB"/>
        </w:rPr>
        <w:t xml:space="preserve"> acceptere </w:t>
      </w:r>
      <w:r w:rsidR="00DB44D5" w:rsidRPr="00595546">
        <w:rPr>
          <w:lang w:bidi="en-GB"/>
        </w:rPr>
        <w:t xml:space="preserve">Tilbuddet </w:t>
      </w:r>
      <w:r w:rsidRPr="00595546">
        <w:rPr>
          <w:lang w:bidi="en-GB"/>
        </w:rPr>
        <w:t>eller ej, og (ii) at tage</w:t>
      </w:r>
      <w:r w:rsidR="00C7142D">
        <w:rPr>
          <w:lang w:bidi="en-GB"/>
        </w:rPr>
        <w:t xml:space="preserve"> højde for</w:t>
      </w:r>
      <w:r w:rsidRPr="00595546">
        <w:rPr>
          <w:lang w:bidi="en-GB"/>
        </w:rPr>
        <w:t xml:space="preserve"> alle de øvrige forhold, omstændigheder og </w:t>
      </w:r>
      <w:r w:rsidR="00C7142D">
        <w:rPr>
          <w:lang w:bidi="en-GB"/>
        </w:rPr>
        <w:t>overvejelser</w:t>
      </w:r>
      <w:r w:rsidRPr="00595546">
        <w:rPr>
          <w:lang w:bidi="en-GB"/>
        </w:rPr>
        <w:t xml:space="preserve">, der er beskrevet i denne </w:t>
      </w:r>
      <w:r w:rsidR="00DB44D5" w:rsidRPr="00595546">
        <w:rPr>
          <w:lang w:bidi="en-GB"/>
        </w:rPr>
        <w:t>Redegørelse</w:t>
      </w:r>
      <w:r w:rsidRPr="00595546">
        <w:rPr>
          <w:lang w:bidi="en-GB"/>
        </w:rPr>
        <w:t xml:space="preserve">, i betragtning, når de beslutter, om de vil acceptere </w:t>
      </w:r>
      <w:r w:rsidR="00DB44D5" w:rsidRPr="00595546">
        <w:rPr>
          <w:lang w:bidi="en-GB"/>
        </w:rPr>
        <w:t xml:space="preserve">Tilbuddet </w:t>
      </w:r>
      <w:r w:rsidRPr="00595546">
        <w:rPr>
          <w:lang w:bidi="en-GB"/>
        </w:rPr>
        <w:t xml:space="preserve">eller ej. </w:t>
      </w:r>
    </w:p>
    <w:p w14:paraId="580A2610" w14:textId="77777777" w:rsidR="00E05E92" w:rsidRPr="00595546" w:rsidRDefault="00E05E92" w:rsidP="00A05058">
      <w:pPr>
        <w:pStyle w:val="DSBodyTextIndent1"/>
        <w:jc w:val="both"/>
        <w:rPr>
          <w:lang w:bidi="en-GB"/>
        </w:rPr>
      </w:pPr>
    </w:p>
    <w:p w14:paraId="6ED8E2AF" w14:textId="3F9ADA49" w:rsidR="00E05E92" w:rsidRPr="00595546" w:rsidRDefault="00E05E92" w:rsidP="00A05058">
      <w:pPr>
        <w:pStyle w:val="DSBodyTextIndent1"/>
        <w:jc w:val="both"/>
        <w:rPr>
          <w:lang w:bidi="en-GB"/>
        </w:rPr>
      </w:pPr>
      <w:r w:rsidRPr="00595546">
        <w:rPr>
          <w:lang w:bidi="en-GB"/>
        </w:rPr>
        <w:t xml:space="preserve">Bestyrelsen er af den opfattelse, at en accept af </w:t>
      </w:r>
      <w:r w:rsidR="00DB44D5" w:rsidRPr="00595546">
        <w:rPr>
          <w:lang w:bidi="en-GB"/>
        </w:rPr>
        <w:t xml:space="preserve">Tilbuddet </w:t>
      </w:r>
      <w:r w:rsidR="00D62100">
        <w:rPr>
          <w:lang w:bidi="en-GB"/>
        </w:rPr>
        <w:t>ind</w:t>
      </w:r>
      <w:r w:rsidR="003F44C7">
        <w:rPr>
          <w:lang w:bidi="en-GB"/>
        </w:rPr>
        <w:t>ebærer</w:t>
      </w:r>
      <w:r w:rsidRPr="00595546">
        <w:rPr>
          <w:lang w:bidi="en-GB"/>
        </w:rPr>
        <w:t xml:space="preserve"> følgende fordele og ulemper for </w:t>
      </w:r>
      <w:r w:rsidR="00DB44D5" w:rsidRPr="00595546">
        <w:rPr>
          <w:lang w:bidi="en-GB"/>
        </w:rPr>
        <w:t>Aktionærerne</w:t>
      </w:r>
      <w:r w:rsidRPr="00595546">
        <w:rPr>
          <w:lang w:bidi="en-GB"/>
        </w:rPr>
        <w:t>:</w:t>
      </w:r>
    </w:p>
    <w:p w14:paraId="3AA057B7" w14:textId="4BACA866" w:rsidR="00C409D1" w:rsidRPr="00595546" w:rsidRDefault="00C409D1" w:rsidP="00A05058">
      <w:pPr>
        <w:pStyle w:val="Heading3"/>
        <w:jc w:val="both"/>
        <w:rPr>
          <w:lang w:bidi="en-GB"/>
        </w:rPr>
      </w:pPr>
      <w:bookmarkStart w:id="128" w:name="_Toc194440337"/>
      <w:bookmarkStart w:id="129" w:name="_Toc218590532"/>
      <w:r w:rsidRPr="00595546">
        <w:rPr>
          <w:lang w:bidi="en-GB"/>
        </w:rPr>
        <w:t xml:space="preserve">Fordele for </w:t>
      </w:r>
      <w:bookmarkEnd w:id="128"/>
      <w:r w:rsidR="00DB44D5" w:rsidRPr="00595546">
        <w:rPr>
          <w:lang w:bidi="en-GB"/>
        </w:rPr>
        <w:t>Aktionærerne</w:t>
      </w:r>
      <w:bookmarkEnd w:id="129"/>
    </w:p>
    <w:p w14:paraId="26870040" w14:textId="796EC50C" w:rsidR="00D51FD1" w:rsidRPr="00595546" w:rsidRDefault="00DB44D5" w:rsidP="00CC0325">
      <w:pPr>
        <w:pStyle w:val="ListBullet"/>
        <w:numPr>
          <w:ilvl w:val="0"/>
          <w:numId w:val="47"/>
        </w:numPr>
        <w:jc w:val="both"/>
        <w:rPr>
          <w:lang w:bidi="en-GB"/>
        </w:rPr>
      </w:pPr>
      <w:bookmarkStart w:id="130" w:name="_Toc194440338"/>
      <w:r w:rsidRPr="00595546">
        <w:rPr>
          <w:lang w:bidi="en-GB"/>
        </w:rPr>
        <w:t xml:space="preserve">Tilbudskursen </w:t>
      </w:r>
      <w:r w:rsidR="00B144B7" w:rsidRPr="00595546">
        <w:rPr>
          <w:lang w:bidi="en-GB"/>
        </w:rPr>
        <w:t xml:space="preserve">er attraktiv i forhold til den sidste handelsdag før offentliggørelsen af </w:t>
      </w:r>
      <w:r w:rsidRPr="00595546">
        <w:rPr>
          <w:lang w:bidi="en-GB"/>
        </w:rPr>
        <w:t xml:space="preserve">Tilbuddet </w:t>
      </w:r>
      <w:r w:rsidR="00B144B7" w:rsidRPr="00595546">
        <w:rPr>
          <w:lang w:bidi="en-GB"/>
        </w:rPr>
        <w:t>samt den volumenvægtede gennemsnitlige handels</w:t>
      </w:r>
      <w:r w:rsidR="00407272">
        <w:rPr>
          <w:lang w:bidi="en-GB"/>
        </w:rPr>
        <w:t>kurs</w:t>
      </w:r>
      <w:r w:rsidR="00B144B7" w:rsidRPr="00595546">
        <w:rPr>
          <w:lang w:bidi="en-GB"/>
        </w:rPr>
        <w:t xml:space="preserve"> for </w:t>
      </w:r>
      <w:r w:rsidRPr="00595546">
        <w:rPr>
          <w:lang w:bidi="en-GB"/>
        </w:rPr>
        <w:t xml:space="preserve">Aktierne </w:t>
      </w:r>
      <w:r w:rsidR="00B144B7" w:rsidRPr="00595546">
        <w:rPr>
          <w:lang w:bidi="en-GB"/>
        </w:rPr>
        <w:t>over en periode på en, tre, seks og tolv måneder</w:t>
      </w:r>
      <w:r w:rsidR="00D51FD1" w:rsidRPr="00595546">
        <w:rPr>
          <w:lang w:bidi="en-GB"/>
        </w:rPr>
        <w:t>,</w:t>
      </w:r>
      <w:r w:rsidR="00B144B7" w:rsidRPr="00595546">
        <w:rPr>
          <w:lang w:bidi="en-GB"/>
        </w:rPr>
        <w:t xml:space="preserve"> og den giver </w:t>
      </w:r>
      <w:r w:rsidRPr="00595546">
        <w:rPr>
          <w:lang w:bidi="en-GB"/>
        </w:rPr>
        <w:t xml:space="preserve">Aktionærerne </w:t>
      </w:r>
      <w:r w:rsidR="00B144B7" w:rsidRPr="00595546">
        <w:rPr>
          <w:lang w:bidi="en-GB"/>
        </w:rPr>
        <w:t xml:space="preserve">en høj grad af </w:t>
      </w:r>
      <w:r w:rsidR="00407272">
        <w:rPr>
          <w:lang w:bidi="en-GB"/>
        </w:rPr>
        <w:t>kurs</w:t>
      </w:r>
      <w:r w:rsidR="00B144B7" w:rsidRPr="00595546">
        <w:rPr>
          <w:lang w:bidi="en-GB"/>
        </w:rPr>
        <w:t>sikkerhed</w:t>
      </w:r>
      <w:r w:rsidR="00D51FD1" w:rsidRPr="00595546">
        <w:rPr>
          <w:lang w:bidi="en-GB"/>
        </w:rPr>
        <w:t xml:space="preserve">, jf. afsnit </w:t>
      </w:r>
      <w:r w:rsidR="00D51FD1" w:rsidRPr="00595546">
        <w:fldChar w:fldCharType="begin"/>
      </w:r>
      <w:r w:rsidR="00D51FD1" w:rsidRPr="00595546">
        <w:instrText xml:space="preserve"> REF _Ref203811345 \r \h </w:instrText>
      </w:r>
      <w:r w:rsidR="00CC0325" w:rsidRPr="00595546">
        <w:instrText xml:space="preserve"> \* MERGEFORMAT </w:instrText>
      </w:r>
      <w:r w:rsidR="00D51FD1" w:rsidRPr="00595546">
        <w:fldChar w:fldCharType="separate"/>
      </w:r>
      <w:r w:rsidR="00433DF7">
        <w:t>8.2.1</w:t>
      </w:r>
      <w:r w:rsidR="00D51FD1" w:rsidRPr="00595546">
        <w:fldChar w:fldCharType="end"/>
      </w:r>
      <w:r w:rsidR="00D51FD1" w:rsidRPr="00595546">
        <w:rPr>
          <w:lang w:bidi="en-GB"/>
        </w:rPr>
        <w:t xml:space="preserve"> ovenfor</w:t>
      </w:r>
      <w:r w:rsidR="00232F77" w:rsidRPr="00595546">
        <w:rPr>
          <w:lang w:bidi="en-GB"/>
        </w:rPr>
        <w:t xml:space="preserve">. </w:t>
      </w:r>
    </w:p>
    <w:p w14:paraId="4DA7372D" w14:textId="448C47CB" w:rsidR="00F96D13" w:rsidRPr="00595546" w:rsidRDefault="00D51FD1" w:rsidP="00CC0325">
      <w:pPr>
        <w:pStyle w:val="ListBullet"/>
        <w:numPr>
          <w:ilvl w:val="0"/>
          <w:numId w:val="47"/>
        </w:numPr>
        <w:spacing w:after="0"/>
        <w:jc w:val="both"/>
      </w:pPr>
      <w:r w:rsidRPr="00595546">
        <w:t xml:space="preserve">Tilbuddet giver </w:t>
      </w:r>
      <w:r w:rsidR="00DB44D5" w:rsidRPr="00595546">
        <w:t xml:space="preserve">Aktionærerne </w:t>
      </w:r>
      <w:r w:rsidRPr="00595546">
        <w:t>mulighed for:</w:t>
      </w:r>
    </w:p>
    <w:p w14:paraId="6A27EAE8" w14:textId="62AEC89A" w:rsidR="00F96D13" w:rsidRPr="00595546" w:rsidRDefault="00D51FD1" w:rsidP="00CC0325">
      <w:pPr>
        <w:pStyle w:val="ListBullet3"/>
      </w:pPr>
      <w:r w:rsidRPr="00595546">
        <w:rPr>
          <w:lang w:bidi="en-GB"/>
        </w:rPr>
        <w:t xml:space="preserve">at sælge deres </w:t>
      </w:r>
      <w:r w:rsidR="00DB44D5" w:rsidRPr="00595546">
        <w:rPr>
          <w:lang w:bidi="en-GB"/>
        </w:rPr>
        <w:t xml:space="preserve">Aktier </w:t>
      </w:r>
      <w:r w:rsidRPr="00595546">
        <w:rPr>
          <w:lang w:bidi="en-GB"/>
        </w:rPr>
        <w:t xml:space="preserve">til en </w:t>
      </w:r>
      <w:r w:rsidR="00407272">
        <w:rPr>
          <w:lang w:bidi="en-GB"/>
        </w:rPr>
        <w:t>kurs</w:t>
      </w:r>
      <w:r w:rsidRPr="00595546">
        <w:rPr>
          <w:lang w:bidi="en-GB"/>
        </w:rPr>
        <w:t xml:space="preserve">, der afspejler en præmie i forhold til den børsnoterede aktiekurs </w:t>
      </w:r>
    </w:p>
    <w:p w14:paraId="01967F72" w14:textId="63A7B45B" w:rsidR="00164A27" w:rsidRPr="00595546" w:rsidRDefault="00164A27" w:rsidP="00CC0325">
      <w:pPr>
        <w:pStyle w:val="ListBullet3"/>
      </w:pPr>
      <w:r w:rsidRPr="00595546">
        <w:rPr>
          <w:lang w:bidi="en-GB"/>
        </w:rPr>
        <w:t xml:space="preserve">at sælge deres </w:t>
      </w:r>
      <w:r w:rsidR="00DB44D5" w:rsidRPr="00595546">
        <w:rPr>
          <w:lang w:bidi="en-GB"/>
        </w:rPr>
        <w:t xml:space="preserve">Aktier </w:t>
      </w:r>
      <w:r w:rsidRPr="00595546">
        <w:rPr>
          <w:lang w:bidi="en-GB"/>
        </w:rPr>
        <w:t xml:space="preserve">til en </w:t>
      </w:r>
      <w:r w:rsidR="00407272">
        <w:rPr>
          <w:lang w:bidi="en-GB"/>
        </w:rPr>
        <w:t>kurs</w:t>
      </w:r>
      <w:r w:rsidRPr="00595546">
        <w:rPr>
          <w:lang w:bidi="en-GB"/>
        </w:rPr>
        <w:t xml:space="preserve">, som efter </w:t>
      </w:r>
      <w:r w:rsidR="00595546" w:rsidRPr="00595546">
        <w:rPr>
          <w:lang w:bidi="en-GB"/>
        </w:rPr>
        <w:t>Bestyrelsen</w:t>
      </w:r>
      <w:r w:rsidRPr="00595546">
        <w:rPr>
          <w:lang w:bidi="en-GB"/>
        </w:rPr>
        <w:t>s opfattelse er attraktiv</w:t>
      </w:r>
    </w:p>
    <w:p w14:paraId="16C3C3EA" w14:textId="0EB469FD" w:rsidR="00F96D13" w:rsidRPr="00595546" w:rsidRDefault="00D51FD1" w:rsidP="00CC0325">
      <w:pPr>
        <w:pStyle w:val="ListBullet3"/>
      </w:pPr>
      <w:r w:rsidRPr="00595546">
        <w:t xml:space="preserve">at sælge alle deres </w:t>
      </w:r>
      <w:r w:rsidR="00DB44D5" w:rsidRPr="00595546">
        <w:t xml:space="preserve">Aktier </w:t>
      </w:r>
      <w:r w:rsidRPr="00595546">
        <w:t xml:space="preserve">til en kendt og fast </w:t>
      </w:r>
      <w:r w:rsidR="00407272">
        <w:t>kurs</w:t>
      </w:r>
    </w:p>
    <w:p w14:paraId="701D2F05" w14:textId="42B927C9" w:rsidR="00D51FD1" w:rsidRPr="00595546" w:rsidRDefault="00D51FD1" w:rsidP="00CC0325">
      <w:pPr>
        <w:pStyle w:val="ListBullet3"/>
        <w:spacing w:after="80"/>
      </w:pPr>
      <w:r w:rsidRPr="00595546">
        <w:rPr>
          <w:lang w:bidi="en-GB"/>
        </w:rPr>
        <w:t xml:space="preserve">at sælge deres aktier til en </w:t>
      </w:r>
      <w:r w:rsidR="00407272">
        <w:rPr>
          <w:lang w:bidi="en-GB"/>
        </w:rPr>
        <w:t>kurs</w:t>
      </w:r>
      <w:r w:rsidRPr="00595546">
        <w:rPr>
          <w:lang w:bidi="en-GB"/>
        </w:rPr>
        <w:t>, som muligvis ikke kan opnås</w:t>
      </w:r>
      <w:r w:rsidRPr="00595546">
        <w:t>,</w:t>
      </w:r>
      <w:r w:rsidRPr="00595546">
        <w:rPr>
          <w:lang w:bidi="en-GB"/>
        </w:rPr>
        <w:t xml:space="preserve"> hvis kursen på </w:t>
      </w:r>
      <w:r w:rsidR="00DB44D5" w:rsidRPr="00595546">
        <w:rPr>
          <w:lang w:bidi="en-GB"/>
        </w:rPr>
        <w:t xml:space="preserve">Aktierne </w:t>
      </w:r>
      <w:r w:rsidRPr="00595546">
        <w:rPr>
          <w:lang w:bidi="en-GB"/>
        </w:rPr>
        <w:t xml:space="preserve">falder efter udløbet af </w:t>
      </w:r>
      <w:r w:rsidR="00595546" w:rsidRPr="00595546">
        <w:rPr>
          <w:lang w:bidi="en-GB"/>
        </w:rPr>
        <w:t>Tilbudsperioden</w:t>
      </w:r>
      <w:r w:rsidRPr="00595546">
        <w:rPr>
          <w:lang w:bidi="en-GB"/>
        </w:rPr>
        <w:t xml:space="preserve"> </w:t>
      </w:r>
      <w:r w:rsidRPr="00595546">
        <w:t xml:space="preserve">som følge af begivenheder, der er relateret eller ikke relateret til </w:t>
      </w:r>
      <w:r w:rsidR="00DB44D5" w:rsidRPr="00595546">
        <w:t>Selskabet</w:t>
      </w:r>
      <w:r w:rsidRPr="00595546">
        <w:rPr>
          <w:lang w:bidi="en-GB"/>
        </w:rPr>
        <w:t>.</w:t>
      </w:r>
    </w:p>
    <w:p w14:paraId="199161F3" w14:textId="18A3BEB6" w:rsidR="00D51FD1" w:rsidRPr="00595546" w:rsidRDefault="00DB44D5" w:rsidP="00CC0325">
      <w:pPr>
        <w:pStyle w:val="ListBullet"/>
        <w:numPr>
          <w:ilvl w:val="0"/>
          <w:numId w:val="47"/>
        </w:numPr>
        <w:jc w:val="both"/>
      </w:pPr>
      <w:r w:rsidRPr="00595546">
        <w:t xml:space="preserve">Tilbudskursen </w:t>
      </w:r>
      <w:r w:rsidR="00D51FD1" w:rsidRPr="00595546">
        <w:t>betales kontant.</w:t>
      </w:r>
    </w:p>
    <w:p w14:paraId="79676FA8" w14:textId="4F1A50B4" w:rsidR="00D51FD1" w:rsidRPr="00595546" w:rsidRDefault="00D51FD1" w:rsidP="00CC0325">
      <w:pPr>
        <w:pStyle w:val="ListBullet"/>
        <w:numPr>
          <w:ilvl w:val="0"/>
          <w:numId w:val="47"/>
        </w:numPr>
        <w:jc w:val="both"/>
      </w:pPr>
      <w:r w:rsidRPr="00595546">
        <w:t xml:space="preserve">Gennemførelsen af </w:t>
      </w:r>
      <w:r w:rsidR="00DB44D5" w:rsidRPr="00595546">
        <w:t xml:space="preserve">Tilbuddet </w:t>
      </w:r>
      <w:r w:rsidRPr="00595546">
        <w:t>er kun betinget af</w:t>
      </w:r>
      <w:r w:rsidR="005640CA">
        <w:t xml:space="preserve"> opfyldelse af </w:t>
      </w:r>
      <w:r w:rsidR="00595546" w:rsidRPr="00595546">
        <w:t>Betingelserne</w:t>
      </w:r>
      <w:r w:rsidRPr="00595546">
        <w:t xml:space="preserve">, herunder opfyldelse af de </w:t>
      </w:r>
      <w:r w:rsidR="00595546" w:rsidRPr="00595546">
        <w:t xml:space="preserve">Regulatoriske Betingelser </w:t>
      </w:r>
      <w:r w:rsidRPr="00595546">
        <w:t xml:space="preserve">og fraværet af </w:t>
      </w:r>
      <w:r w:rsidR="00733849">
        <w:t>en V</w:t>
      </w:r>
      <w:r w:rsidRPr="00595546">
        <w:t xml:space="preserve">æsentlige </w:t>
      </w:r>
      <w:r w:rsidR="00733849">
        <w:t>N</w:t>
      </w:r>
      <w:r w:rsidRPr="00595546">
        <w:t xml:space="preserve">egative </w:t>
      </w:r>
      <w:r w:rsidR="00733849">
        <w:t>Æ</w:t>
      </w:r>
      <w:r w:rsidRPr="00595546">
        <w:t xml:space="preserve">ndring (som defineret i </w:t>
      </w:r>
      <w:r w:rsidR="00DB44D5" w:rsidRPr="00595546">
        <w:t>Tilbudsdokumentet</w:t>
      </w:r>
      <w:r w:rsidRPr="00595546">
        <w:t>), som er af sædvanlig karakter.</w:t>
      </w:r>
    </w:p>
    <w:p w14:paraId="1FB7B2FB" w14:textId="57AF4F62" w:rsidR="00D51FD1" w:rsidRPr="00595546" w:rsidRDefault="00D51FD1" w:rsidP="00CC0325">
      <w:pPr>
        <w:pStyle w:val="ListBullet"/>
        <w:numPr>
          <w:ilvl w:val="0"/>
          <w:numId w:val="47"/>
        </w:numPr>
        <w:jc w:val="both"/>
      </w:pPr>
      <w:r w:rsidRPr="00595546">
        <w:lastRenderedPageBreak/>
        <w:t xml:space="preserve">Gennemførelsen af </w:t>
      </w:r>
      <w:r w:rsidR="00DB44D5" w:rsidRPr="00595546">
        <w:t xml:space="preserve">Tilbuddet </w:t>
      </w:r>
      <w:r w:rsidRPr="00595546">
        <w:t xml:space="preserve">er ikke betinget af andre betingelser, herunder due diligence-undersøgelser, </w:t>
      </w:r>
      <w:r w:rsidR="00DB44D5" w:rsidRPr="00595546">
        <w:t>Tilbudsgiver</w:t>
      </w:r>
      <w:r w:rsidRPr="00595546">
        <w:t xml:space="preserve">s opnåelse af finansiering eller interne godkendelser fra </w:t>
      </w:r>
      <w:r w:rsidR="00DB44D5" w:rsidRPr="00595546">
        <w:t>Tilbudsgiver</w:t>
      </w:r>
      <w:r w:rsidRPr="00595546">
        <w:t>.</w:t>
      </w:r>
    </w:p>
    <w:p w14:paraId="4D66EFD6" w14:textId="5EC00BC0" w:rsidR="00C367F8" w:rsidRPr="00595546" w:rsidRDefault="00D51FD1" w:rsidP="00CC0325">
      <w:pPr>
        <w:pStyle w:val="ListBullet"/>
        <w:numPr>
          <w:ilvl w:val="0"/>
          <w:numId w:val="47"/>
        </w:numPr>
        <w:jc w:val="both"/>
      </w:pPr>
      <w:r w:rsidRPr="00595546">
        <w:t xml:space="preserve">Accept af </w:t>
      </w:r>
      <w:r w:rsidR="00DB44D5" w:rsidRPr="00595546">
        <w:t xml:space="preserve">Tilbuddet </w:t>
      </w:r>
      <w:r w:rsidRPr="00595546">
        <w:t xml:space="preserve">vil ikke forhindre </w:t>
      </w:r>
      <w:r w:rsidR="00DB44D5" w:rsidRPr="00595546">
        <w:t xml:space="preserve">Aktionærerne </w:t>
      </w:r>
      <w:r w:rsidRPr="00595546">
        <w:t xml:space="preserve">i at acceptere (med forbehold for de begrænsninger, der er angivet i </w:t>
      </w:r>
      <w:r w:rsidR="00DB44D5" w:rsidRPr="00595546">
        <w:t>Tilbudsdokumentet</w:t>
      </w:r>
      <w:r w:rsidRPr="00595546">
        <w:t>) et konkurrerende tilbud, hvis et sådant fremsættes.</w:t>
      </w:r>
    </w:p>
    <w:p w14:paraId="10B10920" w14:textId="7E28F1DE" w:rsidR="005024E5" w:rsidRPr="00595546" w:rsidRDefault="00B46FD2" w:rsidP="00CC0325">
      <w:pPr>
        <w:pStyle w:val="ListBullet"/>
        <w:numPr>
          <w:ilvl w:val="0"/>
          <w:numId w:val="47"/>
        </w:numPr>
        <w:jc w:val="both"/>
      </w:pPr>
      <w:r w:rsidRPr="00595546">
        <w:t>Aktionærer, der repræsenterer</w:t>
      </w:r>
      <w:r w:rsidR="00B344A3" w:rsidRPr="00595546">
        <w:t xml:space="preserve"> 50,9 % </w:t>
      </w:r>
      <w:r w:rsidRPr="00595546">
        <w:t xml:space="preserve">af </w:t>
      </w:r>
      <w:r w:rsidR="00DB44D5" w:rsidRPr="00595546">
        <w:t>Aktierne</w:t>
      </w:r>
      <w:r w:rsidRPr="00595546">
        <w:t xml:space="preserve">, har underskrevet </w:t>
      </w:r>
      <w:r w:rsidR="00E11937">
        <w:t>U</w:t>
      </w:r>
      <w:r w:rsidR="00FB1A3A" w:rsidRPr="00595546">
        <w:t xml:space="preserve">igenkaldelige </w:t>
      </w:r>
      <w:r w:rsidR="00E11937">
        <w:t>Forhånds</w:t>
      </w:r>
      <w:r w:rsidR="00BE5023" w:rsidRPr="00595546">
        <w:t xml:space="preserve">tilsagn </w:t>
      </w:r>
      <w:r w:rsidR="0026785A" w:rsidRPr="00595546">
        <w:t xml:space="preserve">og har dermed fundet </w:t>
      </w:r>
      <w:r w:rsidR="00DB44D5" w:rsidRPr="00595546">
        <w:t xml:space="preserve">Tilbuddet </w:t>
      </w:r>
      <w:r w:rsidR="0026785A" w:rsidRPr="00595546">
        <w:t xml:space="preserve">og </w:t>
      </w:r>
      <w:r w:rsidR="00DB44D5" w:rsidRPr="00595546">
        <w:t xml:space="preserve">Tilbudskursen </w:t>
      </w:r>
      <w:r w:rsidR="0026785A" w:rsidRPr="00595546">
        <w:t xml:space="preserve">attraktivt. </w:t>
      </w:r>
      <w:r w:rsidR="00AD6C65" w:rsidRPr="00595546">
        <w:t xml:space="preserve">Bestyrelsen </w:t>
      </w:r>
      <w:r w:rsidR="00F5144A" w:rsidRPr="00595546">
        <w:t xml:space="preserve">mener </w:t>
      </w:r>
      <w:r w:rsidR="0026785A" w:rsidRPr="00595546">
        <w:t xml:space="preserve">derfor, </w:t>
      </w:r>
      <w:r w:rsidR="00F5144A" w:rsidRPr="00595546">
        <w:t xml:space="preserve">at </w:t>
      </w:r>
      <w:r w:rsidR="0026785A" w:rsidRPr="00595546">
        <w:t xml:space="preserve">der er stor </w:t>
      </w:r>
      <w:r w:rsidR="00FA38CE" w:rsidRPr="00595546">
        <w:t xml:space="preserve">sandsynlighed for, at </w:t>
      </w:r>
      <w:r w:rsidR="00DB44D5" w:rsidRPr="00595546">
        <w:t xml:space="preserve">Tilbuddet </w:t>
      </w:r>
      <w:r w:rsidR="00FA38CE" w:rsidRPr="00595546">
        <w:t xml:space="preserve">vil blive </w:t>
      </w:r>
      <w:r w:rsidR="0062646E">
        <w:t>G</w:t>
      </w:r>
      <w:r w:rsidR="00FA38CE" w:rsidRPr="00595546">
        <w:t xml:space="preserve">ennemført. </w:t>
      </w:r>
    </w:p>
    <w:p w14:paraId="13F8A9ED" w14:textId="652CAA1F" w:rsidR="00C409D1" w:rsidRPr="00595546" w:rsidRDefault="00C409D1" w:rsidP="00A05058">
      <w:pPr>
        <w:pStyle w:val="Heading3"/>
        <w:jc w:val="both"/>
        <w:rPr>
          <w:lang w:bidi="en-GB"/>
        </w:rPr>
      </w:pPr>
      <w:bookmarkStart w:id="131" w:name="_Toc218590533"/>
      <w:r w:rsidRPr="00595546">
        <w:rPr>
          <w:lang w:bidi="en-GB"/>
        </w:rPr>
        <w:t xml:space="preserve">Ulemper for </w:t>
      </w:r>
      <w:bookmarkEnd w:id="130"/>
      <w:r w:rsidR="00DB44D5" w:rsidRPr="00595546">
        <w:rPr>
          <w:lang w:bidi="en-GB"/>
        </w:rPr>
        <w:t>Aktionærerne</w:t>
      </w:r>
      <w:bookmarkEnd w:id="131"/>
    </w:p>
    <w:p w14:paraId="7CA0055C" w14:textId="3E6F5277" w:rsidR="003875E2" w:rsidRPr="00595546" w:rsidRDefault="003875E2" w:rsidP="00CC0325">
      <w:pPr>
        <w:pStyle w:val="ListBullet"/>
        <w:numPr>
          <w:ilvl w:val="0"/>
          <w:numId w:val="47"/>
        </w:numPr>
        <w:jc w:val="both"/>
      </w:pPr>
      <w:r w:rsidRPr="00595546">
        <w:t xml:space="preserve">Aktionærer, der accepterer </w:t>
      </w:r>
      <w:r w:rsidR="00DB44D5" w:rsidRPr="00595546">
        <w:t>Tilbuddet</w:t>
      </w:r>
      <w:r w:rsidRPr="00595546">
        <w:t xml:space="preserve">, vil med virkning fra </w:t>
      </w:r>
      <w:r w:rsidR="00595546" w:rsidRPr="00595546">
        <w:t>Gennemførelsen</w:t>
      </w:r>
      <w:r w:rsidRPr="00595546">
        <w:t xml:space="preserve"> ikke deltage i fremtidig værdiskabelse i </w:t>
      </w:r>
      <w:r w:rsidR="00DB44D5" w:rsidRPr="00595546">
        <w:t>Selskabet</w:t>
      </w:r>
      <w:r w:rsidRPr="00595546">
        <w:t>.</w:t>
      </w:r>
    </w:p>
    <w:p w14:paraId="2F69C4B8" w14:textId="3B8B6B9C" w:rsidR="003875E2" w:rsidRPr="00595546" w:rsidRDefault="003875E2" w:rsidP="00CC0325">
      <w:pPr>
        <w:pStyle w:val="ListBullet"/>
        <w:numPr>
          <w:ilvl w:val="0"/>
          <w:numId w:val="47"/>
        </w:numPr>
        <w:jc w:val="both"/>
      </w:pPr>
      <w:r w:rsidRPr="00595546">
        <w:t xml:space="preserve">Aktionærerne skal normalt betale skat af den realiserede gevinst, hvis de beslutter at sælge deres </w:t>
      </w:r>
      <w:r w:rsidR="00DB44D5" w:rsidRPr="00595546">
        <w:t>Aktier</w:t>
      </w:r>
      <w:r w:rsidRPr="00595546">
        <w:t xml:space="preserve">. Accept af </w:t>
      </w:r>
      <w:r w:rsidR="00DB44D5" w:rsidRPr="00595546">
        <w:t xml:space="preserve">Tilbuddet </w:t>
      </w:r>
      <w:r w:rsidRPr="00595546">
        <w:t xml:space="preserve">kan fremskynde beskatningen. Da de skattemæssige konsekvenser af at acceptere </w:t>
      </w:r>
      <w:r w:rsidR="00DB44D5" w:rsidRPr="00595546">
        <w:t xml:space="preserve">Tilbuddet </w:t>
      </w:r>
      <w:r w:rsidRPr="00595546">
        <w:t xml:space="preserve">afhænger af den enkelte </w:t>
      </w:r>
      <w:r w:rsidR="00DB44D5" w:rsidRPr="00595546">
        <w:t xml:space="preserve">Aktionærs </w:t>
      </w:r>
      <w:r w:rsidRPr="00595546">
        <w:t xml:space="preserve">skattemæssige forhold, anbefaler </w:t>
      </w:r>
      <w:r w:rsidR="00595546" w:rsidRPr="00595546">
        <w:t>Bestyrelsen</w:t>
      </w:r>
      <w:r w:rsidRPr="00595546">
        <w:t xml:space="preserve">, at </w:t>
      </w:r>
      <w:r w:rsidR="00DB44D5" w:rsidRPr="00595546">
        <w:t xml:space="preserve">Aktionærerne </w:t>
      </w:r>
      <w:r w:rsidRPr="00595546">
        <w:t>vurderer deres egne skattemæssige forhold og om nødvendigt konsulterer deres egne professionelle rådgivere.</w:t>
      </w:r>
    </w:p>
    <w:p w14:paraId="629F1591" w14:textId="5A13D701" w:rsidR="00C409D1" w:rsidRPr="00595546" w:rsidRDefault="00C409D1" w:rsidP="00A05058">
      <w:pPr>
        <w:pStyle w:val="Heading2"/>
        <w:jc w:val="both"/>
      </w:pPr>
      <w:bookmarkStart w:id="132" w:name="_Toc194440339"/>
      <w:bookmarkStart w:id="133" w:name="_Ref206674978"/>
      <w:bookmarkStart w:id="134" w:name="_Toc218590534"/>
      <w:r w:rsidRPr="00595546">
        <w:t xml:space="preserve">Potentielle konsekvenser for </w:t>
      </w:r>
      <w:r w:rsidR="00DB44D5" w:rsidRPr="00595546">
        <w:t>Aktionærer</w:t>
      </w:r>
      <w:r w:rsidRPr="00595546">
        <w:t xml:space="preserve">, der ikke accepterer </w:t>
      </w:r>
      <w:bookmarkEnd w:id="132"/>
      <w:bookmarkEnd w:id="133"/>
      <w:r w:rsidR="00DB44D5" w:rsidRPr="00595546">
        <w:t>Tilbuddet</w:t>
      </w:r>
      <w:bookmarkEnd w:id="134"/>
    </w:p>
    <w:p w14:paraId="2F874EF5" w14:textId="3F789BAE" w:rsidR="00C409D1" w:rsidRPr="00595546" w:rsidRDefault="00C409D1" w:rsidP="00A05058">
      <w:pPr>
        <w:pStyle w:val="DSBodyTextIndent1"/>
        <w:jc w:val="both"/>
      </w:pPr>
      <w:r w:rsidRPr="00595546">
        <w:t xml:space="preserve">Aktionærer, der ikke accepterer </w:t>
      </w:r>
      <w:r w:rsidR="00DB44D5" w:rsidRPr="00595546">
        <w:t>Tilbuddet</w:t>
      </w:r>
      <w:r w:rsidRPr="00595546">
        <w:t xml:space="preserve">, kan blive udsat for væsentligt ændrede vilkår for deres investering i </w:t>
      </w:r>
      <w:r w:rsidR="00DB44D5" w:rsidRPr="00595546">
        <w:t>Selskabet</w:t>
      </w:r>
      <w:r w:rsidRPr="00595546">
        <w:t xml:space="preserve">, hvis </w:t>
      </w:r>
      <w:r w:rsidR="00DB44D5" w:rsidRPr="00595546">
        <w:t>Tilbudsgiver</w:t>
      </w:r>
      <w:r w:rsidRPr="00595546">
        <w:t xml:space="preserve"> efter </w:t>
      </w:r>
      <w:r w:rsidR="00595546" w:rsidRPr="00595546">
        <w:t xml:space="preserve">Gennemførelsen </w:t>
      </w:r>
      <w:r w:rsidRPr="00595546">
        <w:t xml:space="preserve">hverken </w:t>
      </w:r>
      <w:r w:rsidR="00535C73">
        <w:t>er berettig</w:t>
      </w:r>
      <w:r w:rsidR="005640CA">
        <w:t>e</w:t>
      </w:r>
      <w:r w:rsidR="00535C73">
        <w:t>t eller</w:t>
      </w:r>
      <w:r w:rsidR="00535C73" w:rsidRPr="00595546">
        <w:t xml:space="preserve"> </w:t>
      </w:r>
      <w:r w:rsidR="00535C73">
        <w:t>for</w:t>
      </w:r>
      <w:r w:rsidR="00535C73" w:rsidRPr="00595546">
        <w:t>pligt</w:t>
      </w:r>
      <w:r w:rsidR="00535C73">
        <w:t>et</w:t>
      </w:r>
      <w:r w:rsidR="00535C73" w:rsidRPr="00595546">
        <w:t xml:space="preserve"> </w:t>
      </w:r>
      <w:r w:rsidRPr="00595546">
        <w:t xml:space="preserve">til at indløse de resterende </w:t>
      </w:r>
      <w:r w:rsidR="00DB44D5" w:rsidRPr="00595546">
        <w:t xml:space="preserve">Aktier </w:t>
      </w:r>
      <w:r w:rsidRPr="00595546">
        <w:t xml:space="preserve">i henhold til gældende dansk lovgivning. I henhold til </w:t>
      </w:r>
      <w:r w:rsidR="00901049">
        <w:t>S</w:t>
      </w:r>
      <w:r w:rsidRPr="00595546">
        <w:t xml:space="preserve">elskabsloven er det kun en </w:t>
      </w:r>
      <w:r w:rsidR="00DB44D5" w:rsidRPr="00595546">
        <w:t>Aktionær</w:t>
      </w:r>
      <w:r w:rsidRPr="00595546">
        <w:t xml:space="preserve">, der ejer mere end 90 % af </w:t>
      </w:r>
      <w:r w:rsidR="00DB44D5" w:rsidRPr="00595546">
        <w:t xml:space="preserve">Aktierne </w:t>
      </w:r>
      <w:r w:rsidRPr="00595546">
        <w:t xml:space="preserve">og stemmerettighederne i </w:t>
      </w:r>
      <w:r w:rsidR="00DB44D5" w:rsidRPr="00595546">
        <w:t>Selskabet</w:t>
      </w:r>
      <w:r w:rsidRPr="00595546">
        <w:t xml:space="preserve">, der </w:t>
      </w:r>
      <w:r w:rsidR="00535C73">
        <w:t>berettig</w:t>
      </w:r>
      <w:r w:rsidR="005640CA">
        <w:t>e</w:t>
      </w:r>
      <w:r w:rsidR="00535C73">
        <w:t xml:space="preserve">t </w:t>
      </w:r>
      <w:r w:rsidRPr="00595546">
        <w:t xml:space="preserve">og </w:t>
      </w:r>
      <w:r w:rsidR="00535C73">
        <w:t>for</w:t>
      </w:r>
      <w:r w:rsidRPr="00595546">
        <w:t>pligt</w:t>
      </w:r>
      <w:r w:rsidR="00535C73">
        <w:t>et</w:t>
      </w:r>
      <w:r w:rsidRPr="00595546">
        <w:t xml:space="preserve"> til at indløse de resterende </w:t>
      </w:r>
      <w:r w:rsidR="00DB44D5" w:rsidRPr="00595546">
        <w:t>Aktier</w:t>
      </w:r>
      <w:r w:rsidRPr="00595546">
        <w:t>.</w:t>
      </w:r>
      <w:r w:rsidRPr="00595546">
        <w:rPr>
          <w:vertAlign w:val="superscript"/>
        </w:rPr>
        <w:footnoteReference w:id="5"/>
      </w:r>
    </w:p>
    <w:p w14:paraId="4C54E9E5" w14:textId="77777777" w:rsidR="00693196" w:rsidRPr="00595546" w:rsidRDefault="00693196" w:rsidP="00A05058">
      <w:pPr>
        <w:pStyle w:val="DSBodyTextIndent1"/>
        <w:jc w:val="both"/>
      </w:pPr>
    </w:p>
    <w:p w14:paraId="4029F517" w14:textId="6AF9F07C" w:rsidR="00C409D1" w:rsidRPr="00595546" w:rsidRDefault="00C409D1" w:rsidP="00F6113D">
      <w:pPr>
        <w:pStyle w:val="DSBodyTextIndent1"/>
        <w:jc w:val="both"/>
      </w:pPr>
      <w:r w:rsidRPr="00595546">
        <w:t xml:space="preserve">Potentielle konsekvenser for </w:t>
      </w:r>
      <w:r w:rsidR="00DB44D5" w:rsidRPr="00595546">
        <w:t>Aktionærer</w:t>
      </w:r>
      <w:r w:rsidRPr="00595546">
        <w:t xml:space="preserve">, der ikke accepterer </w:t>
      </w:r>
      <w:r w:rsidR="00DB44D5" w:rsidRPr="00595546">
        <w:t>Tilbuddet</w:t>
      </w:r>
      <w:r w:rsidR="00CE375E">
        <w:t>,</w:t>
      </w:r>
      <w:r w:rsidRPr="00595546">
        <w:t xml:space="preserve"> omfatte</w:t>
      </w:r>
      <w:r w:rsidR="00CE375E">
        <w:t>r</w:t>
      </w:r>
      <w:r w:rsidRPr="00595546">
        <w:t>, men er ikke begrænset til, følgende:</w:t>
      </w:r>
    </w:p>
    <w:p w14:paraId="458E7B41" w14:textId="48008DCD" w:rsidR="00524188" w:rsidRPr="00595546" w:rsidRDefault="00C409D1" w:rsidP="00CC0325">
      <w:pPr>
        <w:pStyle w:val="ListBullet"/>
        <w:numPr>
          <w:ilvl w:val="0"/>
          <w:numId w:val="46"/>
        </w:numPr>
        <w:jc w:val="both"/>
      </w:pPr>
      <w:r w:rsidRPr="00595546">
        <w:t xml:space="preserve">Det er usikkert, om markedskursen på </w:t>
      </w:r>
      <w:r w:rsidR="00DB44D5" w:rsidRPr="00595546">
        <w:t xml:space="preserve">Aktierne </w:t>
      </w:r>
      <w:r w:rsidRPr="00595546">
        <w:t xml:space="preserve">efter </w:t>
      </w:r>
      <w:r w:rsidR="00595546" w:rsidRPr="00595546">
        <w:t>Gennemførelsen</w:t>
      </w:r>
      <w:r w:rsidRPr="00595546">
        <w:t xml:space="preserve"> af </w:t>
      </w:r>
      <w:r w:rsidR="00DB44D5" w:rsidRPr="00595546">
        <w:t xml:space="preserve">Tilbuddet </w:t>
      </w:r>
      <w:r w:rsidRPr="00595546">
        <w:t>vil stige, falde eller forblive på det nuværende niveau.</w:t>
      </w:r>
    </w:p>
    <w:p w14:paraId="20FA9680" w14:textId="41D718FD" w:rsidR="00C409D1" w:rsidRPr="00595546" w:rsidRDefault="00C409D1" w:rsidP="00CC0325">
      <w:pPr>
        <w:pStyle w:val="ListBullet"/>
        <w:numPr>
          <w:ilvl w:val="0"/>
          <w:numId w:val="46"/>
        </w:numPr>
        <w:jc w:val="both"/>
      </w:pPr>
      <w:r w:rsidRPr="00595546">
        <w:t xml:space="preserve">Gennemførelsen af </w:t>
      </w:r>
      <w:r w:rsidR="00DB44D5" w:rsidRPr="00595546">
        <w:t xml:space="preserve">Tilbuddet </w:t>
      </w:r>
      <w:r w:rsidRPr="00595546">
        <w:t xml:space="preserve">kan medføre en betydelig reduktion af </w:t>
      </w:r>
      <w:r w:rsidR="00DB44D5" w:rsidRPr="00595546">
        <w:t xml:space="preserve">Aktiernes </w:t>
      </w:r>
      <w:r w:rsidRPr="00595546">
        <w:t>frie omsæt</w:t>
      </w:r>
      <w:r w:rsidR="000865D6">
        <w:t>telighed (</w:t>
      </w:r>
      <w:proofErr w:type="spellStart"/>
      <w:r w:rsidR="000865D6">
        <w:t>free</w:t>
      </w:r>
      <w:proofErr w:type="spellEnd"/>
      <w:r w:rsidR="000865D6">
        <w:t xml:space="preserve"> </w:t>
      </w:r>
      <w:proofErr w:type="spellStart"/>
      <w:r w:rsidR="000865D6">
        <w:t>float</w:t>
      </w:r>
      <w:proofErr w:type="spellEnd"/>
      <w:r w:rsidR="000865D6">
        <w:t>)</w:t>
      </w:r>
      <w:r w:rsidRPr="00595546">
        <w:t xml:space="preserve"> og kan have en væsentlig indvirkning på </w:t>
      </w:r>
      <w:r w:rsidR="00DB44D5" w:rsidRPr="00595546">
        <w:t xml:space="preserve">Aktiernes </w:t>
      </w:r>
      <w:r w:rsidRPr="00595546">
        <w:t xml:space="preserve">likviditet på Nasdaq Copenhagen. </w:t>
      </w:r>
    </w:p>
    <w:p w14:paraId="68DE0CCA" w14:textId="75FE522C" w:rsidR="00C409D1" w:rsidRPr="00595546" w:rsidRDefault="00C409D1" w:rsidP="00CC0325">
      <w:pPr>
        <w:pStyle w:val="ListBullet"/>
        <w:numPr>
          <w:ilvl w:val="0"/>
          <w:numId w:val="46"/>
        </w:numPr>
        <w:jc w:val="both"/>
      </w:pPr>
      <w:r w:rsidRPr="00595546">
        <w:t xml:space="preserve">Hvis </w:t>
      </w:r>
      <w:r w:rsidR="00DB44D5" w:rsidRPr="00595546">
        <w:t xml:space="preserve">Aktierne </w:t>
      </w:r>
      <w:r w:rsidRPr="00595546">
        <w:t xml:space="preserve">i </w:t>
      </w:r>
      <w:r w:rsidR="00DB44D5" w:rsidRPr="00595546">
        <w:t xml:space="preserve">Selskabet </w:t>
      </w:r>
      <w:r w:rsidRPr="00595546">
        <w:t xml:space="preserve">efter </w:t>
      </w:r>
      <w:r w:rsidR="00595546" w:rsidRPr="00595546">
        <w:t>Gennemførelsen</w:t>
      </w:r>
      <w:r w:rsidRPr="00595546">
        <w:t xml:space="preserve"> af </w:t>
      </w:r>
      <w:r w:rsidR="00DB44D5" w:rsidRPr="00595546">
        <w:t xml:space="preserve">Tilbuddet </w:t>
      </w:r>
      <w:proofErr w:type="spellStart"/>
      <w:r w:rsidRPr="00595546">
        <w:t>afnoteres</w:t>
      </w:r>
      <w:proofErr w:type="spellEnd"/>
      <w:r w:rsidRPr="00595546">
        <w:t xml:space="preserve"> på anden måde end </w:t>
      </w:r>
      <w:r w:rsidR="005640CA">
        <w:t>som led i en</w:t>
      </w:r>
      <w:r w:rsidR="005640CA" w:rsidRPr="00595546">
        <w:t xml:space="preserve"> </w:t>
      </w:r>
      <w:r w:rsidRPr="00595546">
        <w:t>tvangs</w:t>
      </w:r>
      <w:r w:rsidR="006F0302">
        <w:t>indløsning</w:t>
      </w:r>
      <w:r w:rsidRPr="00595546">
        <w:t xml:space="preserve">, vil de resterende </w:t>
      </w:r>
      <w:r w:rsidR="00DB44D5" w:rsidRPr="00595546">
        <w:t xml:space="preserve">Aktionærer </w:t>
      </w:r>
      <w:r w:rsidRPr="00595546">
        <w:t xml:space="preserve">ikke længere kunne drage fordel af de øgede rapporteringskrav, der gælder for </w:t>
      </w:r>
      <w:r w:rsidR="004E3630" w:rsidRPr="00595546">
        <w:t>selskaber</w:t>
      </w:r>
      <w:r w:rsidRPr="00595546">
        <w:t xml:space="preserve">, der er optaget til handel på et reguleret marked, og de resterende </w:t>
      </w:r>
      <w:r w:rsidR="00DB44D5" w:rsidRPr="00595546">
        <w:t xml:space="preserve">Aktionærers </w:t>
      </w:r>
      <w:r w:rsidRPr="00595546">
        <w:t xml:space="preserve">mulighed for at handle med </w:t>
      </w:r>
      <w:r w:rsidR="00DB44D5" w:rsidRPr="00595546">
        <w:t xml:space="preserve">Aktier </w:t>
      </w:r>
      <w:r w:rsidRPr="00595546">
        <w:t xml:space="preserve">vil blive væsentligt begrænset. Hvis </w:t>
      </w:r>
      <w:r w:rsidR="00DB44D5" w:rsidRPr="00595546">
        <w:t xml:space="preserve">Aktierne </w:t>
      </w:r>
      <w:r w:rsidRPr="00595546">
        <w:t xml:space="preserve">i </w:t>
      </w:r>
      <w:r w:rsidR="00DB44D5" w:rsidRPr="00595546">
        <w:t xml:space="preserve">Selskabet </w:t>
      </w:r>
      <w:r w:rsidRPr="00595546">
        <w:t xml:space="preserve">efter </w:t>
      </w:r>
      <w:r w:rsidR="00595546" w:rsidRPr="00595546">
        <w:t>Gennemførelsen</w:t>
      </w:r>
      <w:r w:rsidRPr="00595546">
        <w:t xml:space="preserve"> </w:t>
      </w:r>
      <w:proofErr w:type="spellStart"/>
      <w:r w:rsidRPr="00595546">
        <w:t>af</w:t>
      </w:r>
      <w:r w:rsidR="005640CA">
        <w:t>noteres</w:t>
      </w:r>
      <w:proofErr w:type="spellEnd"/>
      <w:r w:rsidRPr="00595546">
        <w:t xml:space="preserve"> på anden måde end ved tvangs</w:t>
      </w:r>
      <w:r w:rsidR="006F0302">
        <w:t>indløsning</w:t>
      </w:r>
      <w:r w:rsidRPr="00595546">
        <w:t xml:space="preserve">, kan en sådan afnotering desuden have negative konsekvenser for </w:t>
      </w:r>
      <w:r w:rsidR="00DB44D5" w:rsidRPr="00595546">
        <w:t xml:space="preserve">Aktionærernes </w:t>
      </w:r>
      <w:r w:rsidRPr="00595546">
        <w:t xml:space="preserve">skattebehandling af </w:t>
      </w:r>
      <w:r w:rsidR="00DB44D5" w:rsidRPr="00595546">
        <w:t>Aktierne</w:t>
      </w:r>
      <w:r w:rsidRPr="00595546">
        <w:t xml:space="preserve">. </w:t>
      </w:r>
      <w:r w:rsidR="00B86488" w:rsidRPr="00595546">
        <w:t xml:space="preserve">Bestyrelsen </w:t>
      </w:r>
      <w:r w:rsidR="00D77DE3" w:rsidRPr="00595546">
        <w:t>anbefaler</w:t>
      </w:r>
      <w:r w:rsidRPr="00595546">
        <w:t xml:space="preserve">, at </w:t>
      </w:r>
      <w:r w:rsidR="00DB44D5" w:rsidRPr="00595546">
        <w:t xml:space="preserve">Aktionærerne </w:t>
      </w:r>
      <w:r w:rsidRPr="00595546">
        <w:t>vurderer deres egne skatteforhold og om nødvendigt konsulterer deres egne professionelle rådgivere.</w:t>
      </w:r>
    </w:p>
    <w:p w14:paraId="19505BBB" w14:textId="7234C53A" w:rsidR="004738F5" w:rsidRPr="00595546" w:rsidRDefault="004738F5" w:rsidP="00C111CF">
      <w:pPr>
        <w:pStyle w:val="ListBullet"/>
        <w:numPr>
          <w:ilvl w:val="0"/>
          <w:numId w:val="46"/>
        </w:numPr>
        <w:jc w:val="both"/>
      </w:pPr>
      <w:r w:rsidRPr="00595546">
        <w:t xml:space="preserve">Hvis </w:t>
      </w:r>
      <w:r w:rsidR="00DB44D5" w:rsidRPr="00595546">
        <w:t xml:space="preserve">Tilbuddet </w:t>
      </w:r>
      <w:r w:rsidRPr="00595546">
        <w:t xml:space="preserve">gennemføres, og </w:t>
      </w:r>
      <w:r w:rsidR="00DB44D5" w:rsidRPr="00595546">
        <w:t>Tilbudsgiver</w:t>
      </w:r>
      <w:r w:rsidRPr="00595546">
        <w:t xml:space="preserve"> efter </w:t>
      </w:r>
      <w:r w:rsidR="00595546" w:rsidRPr="00595546">
        <w:t>Gennemførelsen</w:t>
      </w:r>
      <w:r w:rsidRPr="00595546">
        <w:t xml:space="preserve"> ejer mere end 50 % af </w:t>
      </w:r>
      <w:r w:rsidR="00DB44D5" w:rsidRPr="00595546">
        <w:t>Aktierne</w:t>
      </w:r>
      <w:r w:rsidRPr="00595546">
        <w:t xml:space="preserve">, vil </w:t>
      </w:r>
      <w:r w:rsidR="00DB44D5" w:rsidRPr="00595546">
        <w:t>Tilbudsgiver</w:t>
      </w:r>
      <w:r w:rsidRPr="00595546">
        <w:t xml:space="preserve">, uanset deltagelse i generalforsamlingen, kunne vælge og afsætte alle </w:t>
      </w:r>
      <w:r w:rsidR="005640CA">
        <w:t>a</w:t>
      </w:r>
      <w:r w:rsidR="005640CA" w:rsidRPr="00595546">
        <w:t xml:space="preserve">ktionærvalgte </w:t>
      </w:r>
      <w:r w:rsidRPr="00595546">
        <w:t xml:space="preserve">medlemmer af </w:t>
      </w:r>
      <w:r w:rsidR="00595546" w:rsidRPr="00595546">
        <w:t>Bestyrelsen</w:t>
      </w:r>
      <w:r w:rsidRPr="00595546">
        <w:t xml:space="preserve"> og dermed kunne kontrollere de fleste strategiske og operationelle beslutninger </w:t>
      </w:r>
      <w:r w:rsidRPr="00595546">
        <w:lastRenderedPageBreak/>
        <w:t xml:space="preserve">samt </w:t>
      </w:r>
      <w:r w:rsidR="00DB44D5" w:rsidRPr="00595546">
        <w:t xml:space="preserve">Selskabets </w:t>
      </w:r>
      <w:r w:rsidR="0033689C">
        <w:t>udlodninger</w:t>
      </w:r>
      <w:r w:rsidR="007A3FD4" w:rsidRPr="00595546">
        <w:t xml:space="preserve"> til </w:t>
      </w:r>
      <w:r w:rsidR="00DB44D5" w:rsidRPr="00595546">
        <w:t>Aktionærerne</w:t>
      </w:r>
      <w:r w:rsidRPr="00595546">
        <w:t xml:space="preserve">. </w:t>
      </w:r>
      <w:r w:rsidR="00233CE6" w:rsidRPr="00595546">
        <w:t xml:space="preserve">Som </w:t>
      </w:r>
      <w:r w:rsidRPr="00595546">
        <w:t>beskrevet i afsnit</w:t>
      </w:r>
      <w:r w:rsidR="00595546" w:rsidRPr="00595546">
        <w:t xml:space="preserve"> </w:t>
      </w:r>
      <w:r w:rsidR="00C111CF" w:rsidRPr="00595546">
        <w:fldChar w:fldCharType="begin"/>
      </w:r>
      <w:r w:rsidR="00C111CF" w:rsidRPr="00595546">
        <w:instrText xml:space="preserve"> REF _Ref205904855 \r \h  \* MERGEFORMAT </w:instrText>
      </w:r>
      <w:r w:rsidR="00C111CF" w:rsidRPr="00595546">
        <w:fldChar w:fldCharType="separate"/>
      </w:r>
      <w:r w:rsidR="00433DF7">
        <w:t>8.3.1.4</w:t>
      </w:r>
      <w:r w:rsidR="00C111CF" w:rsidRPr="00595546">
        <w:fldChar w:fldCharType="end"/>
      </w:r>
      <w:r w:rsidRPr="00595546">
        <w:t xml:space="preserve"> kan </w:t>
      </w:r>
      <w:r w:rsidR="00DB44D5" w:rsidRPr="00595546">
        <w:t>Tilbudsgiver</w:t>
      </w:r>
      <w:r w:rsidRPr="00595546">
        <w:t xml:space="preserve">s </w:t>
      </w:r>
      <w:r w:rsidR="00595546" w:rsidRPr="00595546">
        <w:t>hensigt</w:t>
      </w:r>
      <w:r w:rsidR="00C111CF" w:rsidRPr="00595546">
        <w:t xml:space="preserve"> </w:t>
      </w:r>
      <w:r w:rsidRPr="00595546">
        <w:t xml:space="preserve">være </w:t>
      </w:r>
      <w:r w:rsidR="008E03F0" w:rsidRPr="00595546">
        <w:t xml:space="preserve">ikke </w:t>
      </w:r>
      <w:r w:rsidRPr="00595546">
        <w:t xml:space="preserve">at tilbagebetale kontanter til </w:t>
      </w:r>
      <w:r w:rsidR="00DB44D5" w:rsidRPr="00595546">
        <w:t>Aktionærerne</w:t>
      </w:r>
      <w:r w:rsidRPr="00595546">
        <w:t xml:space="preserve">. Dette kan resultere i et lavere niveau eller et langsommere tempo for udbytter, aktietilbagekøb eller andre </w:t>
      </w:r>
      <w:r w:rsidR="0033689C">
        <w:t>udlodninger</w:t>
      </w:r>
      <w:r w:rsidRPr="00595546">
        <w:t xml:space="preserve"> end det, der er forudset i </w:t>
      </w:r>
      <w:r w:rsidR="00DB44D5" w:rsidRPr="00595546">
        <w:t xml:space="preserve">Selskabets </w:t>
      </w:r>
      <w:r w:rsidRPr="00595546">
        <w:t>nuværende kapitalallokerings- og afkastpolitik.</w:t>
      </w:r>
    </w:p>
    <w:p w14:paraId="1FB212A4" w14:textId="3A5C456F" w:rsidR="004738F5" w:rsidRPr="00595546" w:rsidRDefault="004738F5" w:rsidP="00BB2F5C">
      <w:pPr>
        <w:pStyle w:val="ListBullet"/>
        <w:numPr>
          <w:ilvl w:val="0"/>
          <w:numId w:val="46"/>
        </w:numPr>
        <w:jc w:val="both"/>
      </w:pPr>
      <w:r w:rsidRPr="00595546">
        <w:t xml:space="preserve">Hvis </w:t>
      </w:r>
      <w:r w:rsidR="00DB44D5" w:rsidRPr="00595546">
        <w:t xml:space="preserve">Tilbuddet </w:t>
      </w:r>
      <w:r w:rsidRPr="00595546">
        <w:t xml:space="preserve">gennemføres, og </w:t>
      </w:r>
      <w:r w:rsidR="00DB44D5" w:rsidRPr="00595546">
        <w:t>Tilbudsgiver</w:t>
      </w:r>
      <w:r w:rsidRPr="00595546">
        <w:t xml:space="preserve"> efter </w:t>
      </w:r>
      <w:r w:rsidR="00595546" w:rsidRPr="00595546">
        <w:t>Gennemførelsen</w:t>
      </w:r>
      <w:r w:rsidRPr="00595546">
        <w:t xml:space="preserve"> ejer 2/3 af </w:t>
      </w:r>
      <w:r w:rsidR="00DB44D5" w:rsidRPr="00595546">
        <w:t>Aktierne</w:t>
      </w:r>
      <w:r w:rsidRPr="00595546">
        <w:t xml:space="preserve">, vil </w:t>
      </w:r>
      <w:r w:rsidR="00DB44D5" w:rsidRPr="00595546">
        <w:t>Tilbudsgiver</w:t>
      </w:r>
      <w:r w:rsidRPr="00595546">
        <w:t xml:space="preserve">, uanset deltagelse i generalforsamlingen, være sikret et kvalificeret (2/3) stemmeflertal på </w:t>
      </w:r>
      <w:r w:rsidR="00DB44D5" w:rsidRPr="00595546">
        <w:t xml:space="preserve">Selskabets </w:t>
      </w:r>
      <w:r w:rsidRPr="00595546">
        <w:t xml:space="preserve">generalforsamling, hvilket betyder, at </w:t>
      </w:r>
      <w:r w:rsidR="00DB44D5" w:rsidRPr="00595546">
        <w:t>Tilbudsgiver</w:t>
      </w:r>
      <w:r w:rsidRPr="00595546">
        <w:t xml:space="preserve"> vil have et tilstrækkeligt stemmeflertal til at vedtage beslutninger om ændringer i </w:t>
      </w:r>
      <w:r w:rsidR="00DB44D5" w:rsidRPr="00595546">
        <w:t>Selskabet</w:t>
      </w:r>
      <w:r w:rsidRPr="00595546">
        <w:t xml:space="preserve">, som kan vedtages med kvalificeret (2/3) stemmeflertal, herunder væsentlige strukturelle ændringer i </w:t>
      </w:r>
      <w:r w:rsidR="00DB44D5" w:rsidRPr="00595546">
        <w:t>Selskabet</w:t>
      </w:r>
      <w:r w:rsidRPr="00595546">
        <w:t xml:space="preserve">, herunder ændring af vedtægterne, ændringer i aktiekapitalen, omstruktureringer, fusioner og spaltninger af </w:t>
      </w:r>
      <w:r w:rsidR="00DB44D5" w:rsidRPr="00595546">
        <w:t>Selskabet</w:t>
      </w:r>
      <w:r w:rsidRPr="00595546">
        <w:t>. Med hensyn til ændringer i aktiekapitalen omfatter dette godkendelse eller bemyndigelse af forhøjelser af aktiekapitalen til markeds</w:t>
      </w:r>
      <w:r w:rsidR="00407272">
        <w:t>kurs</w:t>
      </w:r>
      <w:r w:rsidRPr="00595546">
        <w:t xml:space="preserve"> uden fortegningsret for eksisterende </w:t>
      </w:r>
      <w:r w:rsidR="00DB44D5" w:rsidRPr="00595546">
        <w:t>Aktionærer</w:t>
      </w:r>
      <w:r w:rsidRPr="00595546">
        <w:t xml:space="preserve">, og </w:t>
      </w:r>
      <w:r w:rsidR="00DB44D5" w:rsidRPr="00595546">
        <w:t>Tilbudsgiver</w:t>
      </w:r>
      <w:r w:rsidRPr="00595546">
        <w:t xml:space="preserve"> kan således f.eks. beslutte, at yderligere investeringer i </w:t>
      </w:r>
      <w:r w:rsidR="00DB44D5" w:rsidRPr="00595546">
        <w:t>Selskabet</w:t>
      </w:r>
      <w:r w:rsidR="00F56BF2" w:rsidRPr="00595546">
        <w:t xml:space="preserve">, hvis sådanne forekommer, </w:t>
      </w:r>
      <w:r w:rsidRPr="00595546">
        <w:t xml:space="preserve">skal gennemføres gennem rettede aktieemissioner til </w:t>
      </w:r>
      <w:r w:rsidR="00DB44D5" w:rsidRPr="00595546">
        <w:t>Tilbudsgiver</w:t>
      </w:r>
      <w:r w:rsidRPr="00595546">
        <w:t xml:space="preserve">, hvorved andre </w:t>
      </w:r>
      <w:r w:rsidR="00DB44D5" w:rsidRPr="00595546">
        <w:t xml:space="preserve">Aktionærers </w:t>
      </w:r>
      <w:r w:rsidRPr="00595546">
        <w:t>ejerandel yderligere udvandes.</w:t>
      </w:r>
    </w:p>
    <w:p w14:paraId="5BED7E98" w14:textId="575CE6F2" w:rsidR="004738F5" w:rsidRPr="00595546" w:rsidRDefault="004738F5" w:rsidP="00B30F46">
      <w:pPr>
        <w:pStyle w:val="ListBullet"/>
        <w:numPr>
          <w:ilvl w:val="0"/>
          <w:numId w:val="46"/>
        </w:numPr>
        <w:jc w:val="both"/>
      </w:pPr>
      <w:r w:rsidRPr="00595546">
        <w:t xml:space="preserve">Hvis </w:t>
      </w:r>
      <w:r w:rsidR="00DB44D5" w:rsidRPr="00595546">
        <w:t>Tilbudsgiver</w:t>
      </w:r>
      <w:r w:rsidRPr="00595546">
        <w:t xml:space="preserve"> erhverver mere end 1/2 af stemmerne i </w:t>
      </w:r>
      <w:r w:rsidR="00DB44D5" w:rsidRPr="00595546">
        <w:t xml:space="preserve">Selskabet </w:t>
      </w:r>
      <w:r w:rsidRPr="00595546">
        <w:t xml:space="preserve">i </w:t>
      </w:r>
      <w:r w:rsidR="00DB44D5" w:rsidRPr="00595546">
        <w:t>Tilbuddet</w:t>
      </w:r>
      <w:r w:rsidRPr="00595546">
        <w:t xml:space="preserve">, vil </w:t>
      </w:r>
      <w:r w:rsidR="00DB44D5" w:rsidRPr="00595546">
        <w:t>Tilbudsgiver</w:t>
      </w:r>
      <w:r w:rsidR="003B2813">
        <w:t xml:space="preserve"> ikke være forpligtet til at fremsætte et pligtmæssigt tilbud til Aktionærerne efter </w:t>
      </w:r>
      <w:r w:rsidR="005D1404">
        <w:t>Gennemførelsen af Tilbuddet. Ydemere, hvis Tilbudsgiver er</w:t>
      </w:r>
      <w:r w:rsidR="00EF6F36">
        <w:t xml:space="preserve">hverver </w:t>
      </w:r>
      <w:r w:rsidR="00FF0C25">
        <w:t xml:space="preserve">mere end 1/3 af stemmerne i Selskabet </w:t>
      </w:r>
      <w:r w:rsidR="008979B0">
        <w:t>og kontrol over selskabet (i Kapitalmarkedslovens forstand) i Tilbuddet</w:t>
      </w:r>
      <w:r w:rsidR="00325536">
        <w:t>, vil Tilbudsgivers</w:t>
      </w:r>
      <w:r w:rsidRPr="00595546">
        <w:t xml:space="preserve"> efterfølgende forøgelse af ejerandelen i </w:t>
      </w:r>
      <w:r w:rsidR="00DB44D5" w:rsidRPr="00595546">
        <w:t xml:space="preserve">Selskabet </w:t>
      </w:r>
      <w:r w:rsidRPr="00595546">
        <w:t xml:space="preserve">ikke medføre en forpligtelse til at </w:t>
      </w:r>
      <w:r w:rsidR="00325536">
        <w:t xml:space="preserve">fremsætte </w:t>
      </w:r>
      <w:r w:rsidRPr="00595546">
        <w:t xml:space="preserve">et </w:t>
      </w:r>
      <w:r w:rsidR="00325536">
        <w:t xml:space="preserve">pligtmæssigt </w:t>
      </w:r>
      <w:r w:rsidRPr="00595546">
        <w:t xml:space="preserve">tilbud, forudsat at </w:t>
      </w:r>
      <w:r w:rsidR="00DB44D5" w:rsidRPr="00595546">
        <w:t>Tilbudsgiver</w:t>
      </w:r>
      <w:r w:rsidRPr="00595546">
        <w:t xml:space="preserve">s besiddelse af </w:t>
      </w:r>
      <w:r w:rsidR="00DB44D5" w:rsidRPr="00595546">
        <w:t xml:space="preserve">Aktier </w:t>
      </w:r>
      <w:r w:rsidRPr="00595546">
        <w:t xml:space="preserve">fortsat medfører, at </w:t>
      </w:r>
      <w:r w:rsidR="00DB44D5" w:rsidRPr="00595546">
        <w:t>Tilbudsgiver</w:t>
      </w:r>
      <w:r w:rsidRPr="00595546">
        <w:t xml:space="preserve"> kontrollerer </w:t>
      </w:r>
      <w:r w:rsidR="00DB44D5" w:rsidRPr="00595546">
        <w:t xml:space="preserve">Selskabet </w:t>
      </w:r>
      <w:r w:rsidRPr="00595546">
        <w:t xml:space="preserve">i henhold til § 44 i </w:t>
      </w:r>
      <w:r w:rsidR="00DB44D5" w:rsidRPr="00595546">
        <w:t>Kapitalmarkedsloven</w:t>
      </w:r>
      <w:r w:rsidRPr="00595546">
        <w:t>.</w:t>
      </w:r>
    </w:p>
    <w:p w14:paraId="4ACA2957" w14:textId="77777777" w:rsidR="00346968" w:rsidRPr="00595546" w:rsidRDefault="00346968" w:rsidP="00A05058">
      <w:pPr>
        <w:pStyle w:val="DSBodyTextIndent1"/>
        <w:jc w:val="both"/>
      </w:pPr>
      <w:bookmarkStart w:id="135" w:name="_Ref281851222"/>
    </w:p>
    <w:p w14:paraId="2A11D731" w14:textId="5149A0FB" w:rsidR="00292C28" w:rsidRPr="00595546" w:rsidRDefault="00292C28" w:rsidP="00292C28">
      <w:pPr>
        <w:pStyle w:val="DSBodyTextIndent1"/>
      </w:pPr>
      <w:r w:rsidRPr="00595546">
        <w:t xml:space="preserve">Bestyrelsen anbefaler </w:t>
      </w:r>
      <w:r w:rsidR="00DB44D5" w:rsidRPr="00595546">
        <w:t xml:space="preserve">Aktionærerne </w:t>
      </w:r>
      <w:r w:rsidRPr="00595546">
        <w:t xml:space="preserve">at tage </w:t>
      </w:r>
      <w:r w:rsidR="00DB44D5" w:rsidRPr="00595546">
        <w:t>Tilbudsgiver</w:t>
      </w:r>
      <w:r w:rsidRPr="00595546">
        <w:t xml:space="preserve">s </w:t>
      </w:r>
      <w:r w:rsidR="00352347">
        <w:t>udsagn</w:t>
      </w:r>
      <w:r w:rsidRPr="00595546">
        <w:t xml:space="preserve"> i </w:t>
      </w:r>
      <w:r w:rsidR="00DB44D5" w:rsidRPr="00595546">
        <w:t>Tilbudsdokumentet</w:t>
      </w:r>
      <w:r w:rsidRPr="00595546">
        <w:t xml:space="preserve">, herunder ovennævnte potentielle konsekvenser, i betragtning, når de træffer beslutning om, hvorvidt de vil acceptere </w:t>
      </w:r>
      <w:r w:rsidR="00DB44D5" w:rsidRPr="00595546">
        <w:t>Tilbuddet</w:t>
      </w:r>
      <w:r w:rsidRPr="00595546">
        <w:t xml:space="preserve">, samt de yderligere bemærkninger, der er anført nedenfor. I forbindelse med disse bemærkninger understreger </w:t>
      </w:r>
      <w:r w:rsidR="00595546" w:rsidRPr="00595546">
        <w:t>Bestyrelsen</w:t>
      </w:r>
      <w:r w:rsidRPr="00595546">
        <w:t xml:space="preserve">, at den ikke har nogen konkret viden om eller forventninger til, at </w:t>
      </w:r>
      <w:r w:rsidR="00DB44D5" w:rsidRPr="00595546">
        <w:t>Tilbudsgiver</w:t>
      </w:r>
      <w:r w:rsidRPr="00595546">
        <w:t xml:space="preserve"> efter </w:t>
      </w:r>
      <w:r w:rsidR="00595546" w:rsidRPr="00595546">
        <w:t>Gennemførelsen</w:t>
      </w:r>
      <w:r w:rsidRPr="00595546">
        <w:t xml:space="preserve"> vil søge at udnytte sin kontrol over </w:t>
      </w:r>
      <w:r w:rsidR="00DB44D5" w:rsidRPr="00595546">
        <w:t xml:space="preserve">Selskabet </w:t>
      </w:r>
      <w:r w:rsidRPr="00595546">
        <w:t xml:space="preserve">på en måde, der er til skade for minoritetsaktionærerne. På denne baggrund har nedenstående beskrivelse til formål at gøre </w:t>
      </w:r>
      <w:r w:rsidR="00DB44D5" w:rsidRPr="00595546">
        <w:t xml:space="preserve">Aktionærerne </w:t>
      </w:r>
      <w:r w:rsidRPr="00595546">
        <w:t xml:space="preserve">opmærksomme på visse grundlæggende principper i gældende dansk </w:t>
      </w:r>
      <w:r w:rsidR="00B50E4F">
        <w:t>ret</w:t>
      </w:r>
      <w:r w:rsidR="00160683" w:rsidRPr="00595546">
        <w:t>.</w:t>
      </w:r>
    </w:p>
    <w:p w14:paraId="09794E4B" w14:textId="77777777" w:rsidR="00292C28" w:rsidRPr="00595546" w:rsidRDefault="00292C28" w:rsidP="00292C28">
      <w:pPr>
        <w:pStyle w:val="DSBodyTextIndent1"/>
      </w:pPr>
    </w:p>
    <w:p w14:paraId="0DBD3E68" w14:textId="561086C7" w:rsidR="00292C28" w:rsidRPr="00595546" w:rsidRDefault="00292C28" w:rsidP="00292C28">
      <w:pPr>
        <w:pStyle w:val="DSBodyTextIndent1"/>
      </w:pPr>
      <w:r w:rsidRPr="00595546">
        <w:t xml:space="preserve">Selvom </w:t>
      </w:r>
      <w:r w:rsidR="00EE7736">
        <w:t>S</w:t>
      </w:r>
      <w:r w:rsidRPr="00595546">
        <w:t>elskabslov</w:t>
      </w:r>
      <w:r w:rsidR="00EE7736">
        <w:t>en</w:t>
      </w:r>
      <w:r w:rsidRPr="00595546">
        <w:t xml:space="preserve"> giver mindretalsaktionærerne i et selskab visse beskyttelsesrettigheder, og selvom (i) </w:t>
      </w:r>
      <w:r w:rsidR="00DB44D5" w:rsidRPr="00595546">
        <w:t xml:space="preserve">Selskabets </w:t>
      </w:r>
      <w:r w:rsidRPr="00595546">
        <w:t xml:space="preserve">bestyrelse i henhold til dansk lov er forpligtet til at varetage </w:t>
      </w:r>
      <w:r w:rsidR="00DB44D5" w:rsidRPr="00595546">
        <w:t xml:space="preserve">Selskabets </w:t>
      </w:r>
      <w:r w:rsidRPr="00595546">
        <w:t xml:space="preserve">og alle </w:t>
      </w:r>
      <w:r w:rsidR="00DB44D5" w:rsidRPr="00595546">
        <w:t xml:space="preserve">Aktionærers </w:t>
      </w:r>
      <w:r w:rsidRPr="00595546">
        <w:t>interesser, (ii) de</w:t>
      </w:r>
      <w:r w:rsidR="00A26538">
        <w:t>t</w:t>
      </w:r>
      <w:r w:rsidRPr="00595546">
        <w:t xml:space="preserve"> enkelte </w:t>
      </w:r>
      <w:r w:rsidR="00A26538">
        <w:t>bestyrelses</w:t>
      </w:r>
      <w:r w:rsidRPr="00595546">
        <w:t>medlem er udelukket fra at deltage i beslutning</w:t>
      </w:r>
      <w:r w:rsidR="00432A49">
        <w:t>er</w:t>
      </w:r>
      <w:r w:rsidRPr="00595546">
        <w:t xml:space="preserve">, hvor det pågældende </w:t>
      </w:r>
      <w:r w:rsidR="00432A49">
        <w:t>bestyrelses</w:t>
      </w:r>
      <w:r w:rsidRPr="00595546">
        <w:t>medlem har</w:t>
      </w:r>
      <w:r w:rsidR="000F6A6B">
        <w:t>,</w:t>
      </w:r>
      <w:r w:rsidRPr="00595546">
        <w:t xml:space="preserve"> eller repræsenterer en tredjepart, der har eller kan have en væsentlig interesse i beslutningen, som er i </w:t>
      </w:r>
      <w:r w:rsidR="000F6A6B">
        <w:t>modstrid</w:t>
      </w:r>
      <w:r w:rsidRPr="00595546">
        <w:t xml:space="preserve"> med </w:t>
      </w:r>
      <w:r w:rsidR="00DB44D5" w:rsidRPr="00595546">
        <w:t xml:space="preserve">Selskabets </w:t>
      </w:r>
      <w:r w:rsidRPr="00595546">
        <w:t>interesser,</w:t>
      </w:r>
      <w:r w:rsidRPr="00595546">
        <w:rPr>
          <w:rStyle w:val="FootnoteReference"/>
        </w:rPr>
        <w:footnoteReference w:id="6"/>
      </w:r>
      <w:r w:rsidRPr="00595546">
        <w:t xml:space="preserve"> og (iii) hverken generalforsamlingen eller bestyrelsen må træffe eller gennemføre beslutninger, der kan give en tredjepart (herunder en </w:t>
      </w:r>
      <w:r w:rsidR="00DB44D5" w:rsidRPr="00595546">
        <w:t>Aktionær</w:t>
      </w:r>
      <w:r w:rsidRPr="00595546">
        <w:t xml:space="preserve">) en </w:t>
      </w:r>
      <w:r w:rsidR="005850D6">
        <w:t>utilbørlig</w:t>
      </w:r>
      <w:r w:rsidRPr="00595546">
        <w:t xml:space="preserve"> fordel til skade for </w:t>
      </w:r>
      <w:r w:rsidR="008204DF">
        <w:t>s</w:t>
      </w:r>
      <w:r w:rsidR="00DB44D5" w:rsidRPr="00595546">
        <w:t xml:space="preserve">elskabet </w:t>
      </w:r>
      <w:r w:rsidRPr="00595546">
        <w:t xml:space="preserve">eller nogen af dets </w:t>
      </w:r>
      <w:r w:rsidR="008204DF">
        <w:t>a</w:t>
      </w:r>
      <w:r w:rsidR="00DB44D5" w:rsidRPr="00595546">
        <w:t>ktionærer</w:t>
      </w:r>
      <w:r w:rsidRPr="00595546">
        <w:t>,</w:t>
      </w:r>
      <w:r w:rsidRPr="00595546">
        <w:rPr>
          <w:rStyle w:val="FootnoteReference"/>
        </w:rPr>
        <w:footnoteReference w:id="7"/>
      </w:r>
      <w:r w:rsidRPr="00595546">
        <w:t xml:space="preserve"> </w:t>
      </w:r>
      <w:r w:rsidR="00DF0C3C">
        <w:t>er der ingen sikkerhed</w:t>
      </w:r>
      <w:r w:rsidRPr="00595546">
        <w:t xml:space="preserve"> for, at sådanne rettigheder vil give minoritetsaktionærerne tilstrækkelig beskyttelse, og under alle omstændigheder kan håndhævelsen af sådanne rettigheder være </w:t>
      </w:r>
      <w:r w:rsidR="00CC03DA">
        <w:t>dyr</w:t>
      </w:r>
      <w:r w:rsidRPr="00595546">
        <w:t xml:space="preserve"> og tidskrævende. I henhold til de generelle principper i dansk ret har en </w:t>
      </w:r>
      <w:r w:rsidR="008204DF">
        <w:t>a</w:t>
      </w:r>
      <w:r w:rsidR="00DB44D5" w:rsidRPr="00595546">
        <w:t xml:space="preserve">ktionær </w:t>
      </w:r>
      <w:r w:rsidRPr="00595546">
        <w:t>ingen</w:t>
      </w:r>
      <w:r w:rsidR="00CC03DA">
        <w:t xml:space="preserve"> loyalitetsforpligtelse eller lig</w:t>
      </w:r>
      <w:r w:rsidR="00C103DC">
        <w:t>nende</w:t>
      </w:r>
      <w:r w:rsidRPr="00595546">
        <w:t xml:space="preserve"> forpligtelser over for </w:t>
      </w:r>
      <w:r w:rsidR="00C103DC">
        <w:t>s</w:t>
      </w:r>
      <w:r w:rsidR="00DB44D5" w:rsidRPr="00595546">
        <w:t xml:space="preserve">elskabet </w:t>
      </w:r>
      <w:r w:rsidRPr="00595546">
        <w:t xml:space="preserve">eller de øvrige </w:t>
      </w:r>
      <w:r w:rsidR="00C103DC">
        <w:t>a</w:t>
      </w:r>
      <w:r w:rsidR="00DB44D5" w:rsidRPr="00595546">
        <w:t>ktionærer</w:t>
      </w:r>
      <w:r w:rsidRPr="00595546">
        <w:t>.</w:t>
      </w:r>
    </w:p>
    <w:p w14:paraId="300FE73C" w14:textId="77777777" w:rsidR="00292C28" w:rsidRPr="00595546" w:rsidRDefault="00292C28" w:rsidP="00292C28">
      <w:pPr>
        <w:pStyle w:val="DSBodyTextIndent1"/>
      </w:pPr>
    </w:p>
    <w:p w14:paraId="1371474D" w14:textId="4A3DAFCD" w:rsidR="00346968" w:rsidRPr="00595546" w:rsidRDefault="00F6113D" w:rsidP="00F6113D">
      <w:pPr>
        <w:pStyle w:val="DSBodyTextIndent1"/>
        <w:jc w:val="both"/>
      </w:pPr>
      <w:r w:rsidRPr="00595546">
        <w:br w:type="page"/>
      </w:r>
    </w:p>
    <w:p w14:paraId="1CF52F4B" w14:textId="77777777" w:rsidR="00C409D1" w:rsidRPr="00595546" w:rsidRDefault="00C409D1" w:rsidP="00A05058">
      <w:pPr>
        <w:pStyle w:val="Heading1"/>
        <w:jc w:val="both"/>
      </w:pPr>
      <w:bookmarkStart w:id="136" w:name="_Ref134026483"/>
      <w:bookmarkStart w:id="137" w:name="_Toc194440340"/>
      <w:bookmarkStart w:id="138" w:name="_Toc218590535"/>
      <w:r w:rsidRPr="00595546">
        <w:rPr>
          <w:lang w:bidi="en-GB"/>
        </w:rPr>
        <w:lastRenderedPageBreak/>
        <w:t>Oplysninger om visse ejerandele</w:t>
      </w:r>
      <w:bookmarkEnd w:id="135"/>
      <w:r w:rsidRPr="00595546">
        <w:rPr>
          <w:lang w:bidi="en-GB"/>
        </w:rPr>
        <w:t xml:space="preserve"> osv.</w:t>
      </w:r>
      <w:bookmarkEnd w:id="136"/>
      <w:bookmarkEnd w:id="137"/>
      <w:bookmarkEnd w:id="138"/>
    </w:p>
    <w:p w14:paraId="052421FF" w14:textId="7035EE2A" w:rsidR="00C409D1" w:rsidRPr="00595546" w:rsidRDefault="00595546" w:rsidP="00A05058">
      <w:pPr>
        <w:pStyle w:val="Heading2"/>
        <w:jc w:val="both"/>
      </w:pPr>
      <w:bookmarkStart w:id="139" w:name="_Toc194440341"/>
      <w:bookmarkStart w:id="140" w:name="_Toc218590536"/>
      <w:bookmarkStart w:id="141" w:name="_Ref117489831"/>
      <w:r w:rsidRPr="00595546">
        <w:rPr>
          <w:lang w:bidi="en-GB"/>
        </w:rPr>
        <w:t>Bestyrelsens</w:t>
      </w:r>
      <w:r w:rsidR="00B86488" w:rsidRPr="00595546">
        <w:rPr>
          <w:lang w:bidi="en-GB"/>
        </w:rPr>
        <w:t xml:space="preserve"> </w:t>
      </w:r>
      <w:r w:rsidR="00C409D1" w:rsidRPr="00595546">
        <w:rPr>
          <w:lang w:bidi="en-GB"/>
        </w:rPr>
        <w:t xml:space="preserve">og </w:t>
      </w:r>
      <w:bookmarkEnd w:id="139"/>
      <w:r w:rsidRPr="00595546">
        <w:rPr>
          <w:lang w:bidi="en-GB"/>
        </w:rPr>
        <w:t>Direktionens ejerandele</w:t>
      </w:r>
      <w:bookmarkEnd w:id="140"/>
    </w:p>
    <w:p w14:paraId="5638EDA1" w14:textId="22361B35" w:rsidR="00C409D1" w:rsidRPr="00595546" w:rsidRDefault="00CB278A" w:rsidP="00A05058">
      <w:pPr>
        <w:pStyle w:val="DSBodyTextIndent1"/>
        <w:jc w:val="both"/>
        <w:rPr>
          <w:lang w:bidi="en-GB"/>
        </w:rPr>
      </w:pPr>
      <w:r>
        <w:rPr>
          <w:lang w:bidi="en-GB"/>
        </w:rPr>
        <w:t xml:space="preserve">Medlemmerne af </w:t>
      </w:r>
      <w:r w:rsidR="00B86488" w:rsidRPr="00595546">
        <w:rPr>
          <w:lang w:bidi="en-GB"/>
        </w:rPr>
        <w:t xml:space="preserve">Bestyrelsen </w:t>
      </w:r>
      <w:r w:rsidR="00C409D1" w:rsidRPr="00595546">
        <w:rPr>
          <w:lang w:bidi="en-GB"/>
        </w:rPr>
        <w:t xml:space="preserve">og </w:t>
      </w:r>
      <w:r w:rsidR="00595546" w:rsidRPr="00595546">
        <w:rPr>
          <w:lang w:bidi="en-GB"/>
        </w:rPr>
        <w:t>Direktionen</w:t>
      </w:r>
      <w:r w:rsidR="00C409D1" w:rsidRPr="00595546">
        <w:rPr>
          <w:lang w:bidi="en-GB"/>
        </w:rPr>
        <w:t xml:space="preserve"> </w:t>
      </w:r>
      <w:r w:rsidR="008A1AFF">
        <w:rPr>
          <w:lang w:bidi="en-GB"/>
        </w:rPr>
        <w:t>ejer</w:t>
      </w:r>
      <w:r w:rsidR="00C409D1" w:rsidRPr="00595546">
        <w:rPr>
          <w:lang w:bidi="en-GB"/>
        </w:rPr>
        <w:t xml:space="preserve"> </w:t>
      </w:r>
      <w:r w:rsidR="00DB44D5" w:rsidRPr="00595546">
        <w:rPr>
          <w:lang w:bidi="en-GB"/>
        </w:rPr>
        <w:t xml:space="preserve">Aktier </w:t>
      </w:r>
      <w:r w:rsidR="00C409D1" w:rsidRPr="00595546">
        <w:rPr>
          <w:lang w:bidi="en-GB"/>
        </w:rPr>
        <w:t xml:space="preserve">i </w:t>
      </w:r>
      <w:r w:rsidR="00DB44D5" w:rsidRPr="00595546">
        <w:rPr>
          <w:lang w:bidi="en-GB"/>
        </w:rPr>
        <w:t xml:space="preserve">Selskabet </w:t>
      </w:r>
      <w:r w:rsidR="00C409D1" w:rsidRPr="00595546">
        <w:rPr>
          <w:lang w:bidi="en-GB"/>
        </w:rPr>
        <w:t xml:space="preserve">som angivet i </w:t>
      </w:r>
      <w:r w:rsidR="00595546" w:rsidRPr="00595546">
        <w:rPr>
          <w:u w:val="single"/>
          <w:lang w:bidi="en-GB"/>
        </w:rPr>
        <w:t xml:space="preserve">Bilag </w:t>
      </w:r>
      <w:r w:rsidR="00C409D1" w:rsidRPr="00595546">
        <w:rPr>
          <w:u w:val="single"/>
          <w:lang w:bidi="en-GB"/>
        </w:rPr>
        <w:t>1</w:t>
      </w:r>
      <w:r w:rsidR="00C409D1" w:rsidRPr="00634455">
        <w:rPr>
          <w:lang w:bidi="en-GB"/>
        </w:rPr>
        <w:t xml:space="preserve"> </w:t>
      </w:r>
      <w:r w:rsidR="00A82767" w:rsidRPr="00595546">
        <w:rPr>
          <w:lang w:bidi="en-GB"/>
        </w:rPr>
        <w:t>(</w:t>
      </w:r>
      <w:r w:rsidR="00595546" w:rsidRPr="00595546">
        <w:rPr>
          <w:i/>
          <w:iCs/>
          <w:lang w:bidi="en-GB"/>
        </w:rPr>
        <w:t xml:space="preserve">Aktiebaserede instrumenter </w:t>
      </w:r>
      <w:r w:rsidR="004F10FE" w:rsidRPr="00595546">
        <w:rPr>
          <w:i/>
          <w:iCs/>
          <w:lang w:bidi="en-GB"/>
        </w:rPr>
        <w:t xml:space="preserve">ejet af </w:t>
      </w:r>
      <w:r w:rsidR="00595546" w:rsidRPr="00595546">
        <w:rPr>
          <w:i/>
          <w:iCs/>
          <w:lang w:bidi="en-GB"/>
        </w:rPr>
        <w:t>Bestyrelsen</w:t>
      </w:r>
      <w:r w:rsidR="00A82767" w:rsidRPr="00595546">
        <w:rPr>
          <w:lang w:bidi="en-GB"/>
        </w:rPr>
        <w:t xml:space="preserve">) og </w:t>
      </w:r>
      <w:r w:rsidR="00595546" w:rsidRPr="00595546">
        <w:rPr>
          <w:u w:val="single"/>
          <w:lang w:bidi="en-GB"/>
        </w:rPr>
        <w:t xml:space="preserve">Bilag </w:t>
      </w:r>
      <w:r w:rsidR="00A82767" w:rsidRPr="00595546">
        <w:rPr>
          <w:u w:val="single"/>
          <w:lang w:bidi="en-GB"/>
        </w:rPr>
        <w:t>2</w:t>
      </w:r>
      <w:r w:rsidR="00A82767" w:rsidRPr="00634455">
        <w:rPr>
          <w:lang w:bidi="en-GB"/>
        </w:rPr>
        <w:t xml:space="preserve"> </w:t>
      </w:r>
      <w:r w:rsidR="00A82767" w:rsidRPr="00595546">
        <w:rPr>
          <w:lang w:bidi="en-GB"/>
        </w:rPr>
        <w:t>(</w:t>
      </w:r>
      <w:r w:rsidR="00595546" w:rsidRPr="00595546">
        <w:rPr>
          <w:i/>
          <w:iCs/>
          <w:lang w:bidi="en-GB"/>
        </w:rPr>
        <w:t>Aktiebaserede instrumenter</w:t>
      </w:r>
      <w:r w:rsidR="00595546" w:rsidRPr="00595546" w:rsidDel="00595546">
        <w:rPr>
          <w:i/>
          <w:iCs/>
          <w:lang w:bidi="en-GB"/>
        </w:rPr>
        <w:t xml:space="preserve"> </w:t>
      </w:r>
      <w:r w:rsidR="004F10FE" w:rsidRPr="00595546">
        <w:rPr>
          <w:i/>
          <w:iCs/>
          <w:lang w:bidi="en-GB"/>
        </w:rPr>
        <w:t xml:space="preserve">ejet af </w:t>
      </w:r>
      <w:r w:rsidR="00595546" w:rsidRPr="00595546">
        <w:rPr>
          <w:i/>
          <w:iCs/>
          <w:lang w:bidi="en-GB"/>
        </w:rPr>
        <w:t>Direktionen</w:t>
      </w:r>
      <w:r w:rsidR="00A82767" w:rsidRPr="00595546">
        <w:rPr>
          <w:lang w:bidi="en-GB"/>
        </w:rPr>
        <w:t xml:space="preserve">) </w:t>
      </w:r>
      <w:r w:rsidR="00C409D1" w:rsidRPr="00595546">
        <w:rPr>
          <w:lang w:bidi="en-GB"/>
        </w:rPr>
        <w:t xml:space="preserve">til denne </w:t>
      </w:r>
      <w:r w:rsidR="00DB44D5" w:rsidRPr="00595546">
        <w:rPr>
          <w:lang w:bidi="en-GB"/>
        </w:rPr>
        <w:t>Redegørelse</w:t>
      </w:r>
      <w:r w:rsidR="00C409D1" w:rsidRPr="00595546">
        <w:rPr>
          <w:lang w:bidi="en-GB"/>
        </w:rPr>
        <w:t xml:space="preserve">. </w:t>
      </w:r>
    </w:p>
    <w:p w14:paraId="610129F4" w14:textId="337C7D42" w:rsidR="00C409D1" w:rsidRPr="00595546" w:rsidRDefault="00595546" w:rsidP="00A05058">
      <w:pPr>
        <w:pStyle w:val="Heading2"/>
        <w:jc w:val="both"/>
      </w:pPr>
      <w:bookmarkStart w:id="142" w:name="_Ref506623510"/>
      <w:bookmarkStart w:id="143" w:name="_Toc194440342"/>
      <w:bookmarkStart w:id="144" w:name="_Toc218590537"/>
      <w:bookmarkEnd w:id="142"/>
      <w:bookmarkEnd w:id="143"/>
      <w:r w:rsidRPr="00595546">
        <w:rPr>
          <w:lang w:bidi="en-GB"/>
        </w:rPr>
        <w:t>Aktiebaserede instrumenter ejet af</w:t>
      </w:r>
      <w:r w:rsidR="008A1AFF">
        <w:rPr>
          <w:lang w:bidi="en-GB"/>
        </w:rPr>
        <w:t xml:space="preserve"> </w:t>
      </w:r>
      <w:r w:rsidRPr="00595546">
        <w:rPr>
          <w:lang w:bidi="en-GB"/>
        </w:rPr>
        <w:t>Bestyrelsen</w:t>
      </w:r>
      <w:r w:rsidR="006140EF" w:rsidRPr="00595546">
        <w:rPr>
          <w:lang w:bidi="en-GB"/>
        </w:rPr>
        <w:t xml:space="preserve"> og </w:t>
      </w:r>
      <w:r w:rsidRPr="00595546">
        <w:rPr>
          <w:lang w:bidi="en-GB"/>
        </w:rPr>
        <w:t>Direktionen</w:t>
      </w:r>
      <w:bookmarkEnd w:id="144"/>
    </w:p>
    <w:p w14:paraId="71AEA8CE" w14:textId="721F4570" w:rsidR="00C409D1" w:rsidRPr="00595546" w:rsidRDefault="000B4AF1" w:rsidP="00A05058">
      <w:pPr>
        <w:pStyle w:val="DSBodyTextIndent1"/>
        <w:jc w:val="both"/>
        <w:rPr>
          <w:lang w:bidi="en-GB"/>
        </w:rPr>
      </w:pPr>
      <w:r>
        <w:rPr>
          <w:lang w:bidi="en-GB"/>
        </w:rPr>
        <w:t>Visse m</w:t>
      </w:r>
      <w:r w:rsidR="00EA5A67">
        <w:rPr>
          <w:lang w:bidi="en-GB"/>
        </w:rPr>
        <w:t xml:space="preserve">edlemmerne af </w:t>
      </w:r>
      <w:r w:rsidR="00B86488" w:rsidRPr="00595546">
        <w:rPr>
          <w:lang w:bidi="en-GB"/>
        </w:rPr>
        <w:t xml:space="preserve">Bestyrelsen </w:t>
      </w:r>
      <w:r w:rsidR="004F10FE" w:rsidRPr="00595546">
        <w:rPr>
          <w:lang w:bidi="en-GB"/>
        </w:rPr>
        <w:t xml:space="preserve">og </w:t>
      </w:r>
      <w:r w:rsidR="00EA5A67">
        <w:rPr>
          <w:lang w:bidi="en-GB"/>
        </w:rPr>
        <w:t>Direktionen</w:t>
      </w:r>
      <w:r w:rsidR="004F10FE" w:rsidRPr="00595546">
        <w:rPr>
          <w:lang w:bidi="en-GB"/>
        </w:rPr>
        <w:t xml:space="preserve"> </w:t>
      </w:r>
      <w:r w:rsidR="00C409D1" w:rsidRPr="00595546">
        <w:rPr>
          <w:lang w:bidi="en-GB"/>
        </w:rPr>
        <w:t xml:space="preserve">ejer </w:t>
      </w:r>
      <w:r w:rsidR="008A1AFF">
        <w:rPr>
          <w:lang w:bidi="en-GB"/>
        </w:rPr>
        <w:t>W</w:t>
      </w:r>
      <w:r w:rsidR="00E645B2" w:rsidRPr="00595546">
        <w:rPr>
          <w:lang w:bidi="en-GB"/>
        </w:rPr>
        <w:t xml:space="preserve">arrants og </w:t>
      </w:r>
      <w:proofErr w:type="spellStart"/>
      <w:r w:rsidR="00C409D1" w:rsidRPr="00595546">
        <w:rPr>
          <w:lang w:bidi="en-GB"/>
        </w:rPr>
        <w:t>PSU'er</w:t>
      </w:r>
      <w:proofErr w:type="spellEnd"/>
      <w:r w:rsidR="00C409D1" w:rsidRPr="00595546">
        <w:rPr>
          <w:lang w:bidi="en-GB"/>
        </w:rPr>
        <w:t xml:space="preserve"> i </w:t>
      </w:r>
      <w:r w:rsidR="00DB44D5" w:rsidRPr="00595546">
        <w:rPr>
          <w:lang w:bidi="en-GB"/>
        </w:rPr>
        <w:t>Selskabet</w:t>
      </w:r>
      <w:r w:rsidR="00C409D1" w:rsidRPr="00595546">
        <w:rPr>
          <w:lang w:bidi="en-GB"/>
        </w:rPr>
        <w:t xml:space="preserve">. Antallet af </w:t>
      </w:r>
      <w:r w:rsidR="008A1AFF">
        <w:rPr>
          <w:lang w:bidi="en-GB"/>
        </w:rPr>
        <w:t>W</w:t>
      </w:r>
      <w:r w:rsidR="00E645B2" w:rsidRPr="00595546">
        <w:rPr>
          <w:lang w:bidi="en-GB"/>
        </w:rPr>
        <w:t xml:space="preserve">arrants og </w:t>
      </w:r>
      <w:proofErr w:type="spellStart"/>
      <w:r w:rsidR="00E645B2" w:rsidRPr="00595546">
        <w:rPr>
          <w:lang w:bidi="en-GB"/>
        </w:rPr>
        <w:t>PSU'er</w:t>
      </w:r>
      <w:proofErr w:type="spellEnd"/>
      <w:r w:rsidR="00203BF6">
        <w:rPr>
          <w:lang w:bidi="en-GB"/>
        </w:rPr>
        <w:t xml:space="preserve"> (som relevant)</w:t>
      </w:r>
      <w:r w:rsidR="00E645B2" w:rsidRPr="00595546">
        <w:rPr>
          <w:lang w:bidi="en-GB"/>
        </w:rPr>
        <w:t xml:space="preserve">, </w:t>
      </w:r>
      <w:r w:rsidR="00C409D1" w:rsidRPr="00595546">
        <w:rPr>
          <w:lang w:bidi="en-GB"/>
        </w:rPr>
        <w:t xml:space="preserve">som </w:t>
      </w:r>
      <w:r w:rsidR="00203BF6">
        <w:rPr>
          <w:lang w:bidi="en-GB"/>
        </w:rPr>
        <w:t xml:space="preserve">medlemmer </w:t>
      </w:r>
      <w:r w:rsidR="00595546" w:rsidRPr="00595546">
        <w:rPr>
          <w:lang w:bidi="en-GB"/>
        </w:rPr>
        <w:t>Bestyrelsen</w:t>
      </w:r>
      <w:r w:rsidR="00C409D1" w:rsidRPr="00595546">
        <w:rPr>
          <w:lang w:bidi="en-GB"/>
        </w:rPr>
        <w:t xml:space="preserve"> ejer, </w:t>
      </w:r>
      <w:r w:rsidR="004F10FE" w:rsidRPr="00595546">
        <w:rPr>
          <w:lang w:bidi="en-GB"/>
        </w:rPr>
        <w:t xml:space="preserve">er angivet i </w:t>
      </w:r>
      <w:r w:rsidR="00595546" w:rsidRPr="00595546">
        <w:rPr>
          <w:u w:val="single"/>
          <w:lang w:bidi="en-GB"/>
        </w:rPr>
        <w:t xml:space="preserve">Bilag </w:t>
      </w:r>
      <w:r w:rsidR="004F10FE" w:rsidRPr="00595546">
        <w:rPr>
          <w:u w:val="single"/>
          <w:lang w:bidi="en-GB"/>
        </w:rPr>
        <w:t>1</w:t>
      </w:r>
      <w:r w:rsidR="004F10FE" w:rsidRPr="00634455">
        <w:rPr>
          <w:lang w:bidi="en-GB"/>
        </w:rPr>
        <w:t xml:space="preserve"> </w:t>
      </w:r>
      <w:r w:rsidR="004F10FE" w:rsidRPr="00595546">
        <w:rPr>
          <w:lang w:bidi="en-GB"/>
        </w:rPr>
        <w:t>(</w:t>
      </w:r>
      <w:r w:rsidR="00595546" w:rsidRPr="00595546">
        <w:rPr>
          <w:i/>
          <w:iCs/>
          <w:lang w:bidi="en-GB"/>
        </w:rPr>
        <w:t xml:space="preserve">Aktiebaserede instrumenter </w:t>
      </w:r>
      <w:r w:rsidR="004F10FE" w:rsidRPr="00595546">
        <w:rPr>
          <w:i/>
          <w:iCs/>
          <w:lang w:bidi="en-GB"/>
        </w:rPr>
        <w:t xml:space="preserve">ejet af </w:t>
      </w:r>
      <w:r w:rsidR="00595546" w:rsidRPr="00595546">
        <w:rPr>
          <w:i/>
          <w:iCs/>
          <w:lang w:bidi="en-GB"/>
        </w:rPr>
        <w:t>Bestyrelsen</w:t>
      </w:r>
      <w:r w:rsidR="004F10FE" w:rsidRPr="00595546">
        <w:rPr>
          <w:lang w:bidi="en-GB"/>
        </w:rPr>
        <w:t xml:space="preserve">) </w:t>
      </w:r>
      <w:r w:rsidR="00C409D1" w:rsidRPr="00595546">
        <w:rPr>
          <w:lang w:bidi="en-GB"/>
        </w:rPr>
        <w:t xml:space="preserve">til denne </w:t>
      </w:r>
      <w:r w:rsidR="00DB44D5" w:rsidRPr="00595546">
        <w:rPr>
          <w:lang w:bidi="en-GB"/>
        </w:rPr>
        <w:t>Redegørelse</w:t>
      </w:r>
      <w:r w:rsidR="00C409D1" w:rsidRPr="00595546">
        <w:rPr>
          <w:lang w:bidi="en-GB"/>
        </w:rPr>
        <w:t xml:space="preserve">, </w:t>
      </w:r>
      <w:r w:rsidR="004F10FE" w:rsidRPr="00595546">
        <w:rPr>
          <w:lang w:bidi="en-GB"/>
        </w:rPr>
        <w:t xml:space="preserve">og antallet af </w:t>
      </w:r>
      <w:r w:rsidR="00595546" w:rsidRPr="00595546">
        <w:rPr>
          <w:lang w:bidi="en-GB"/>
        </w:rPr>
        <w:t xml:space="preserve">Warrants </w:t>
      </w:r>
      <w:r w:rsidR="004F10FE" w:rsidRPr="00595546">
        <w:rPr>
          <w:lang w:bidi="en-GB"/>
        </w:rPr>
        <w:t xml:space="preserve">og </w:t>
      </w:r>
      <w:proofErr w:type="spellStart"/>
      <w:r w:rsidR="004F10FE" w:rsidRPr="00595546">
        <w:rPr>
          <w:lang w:bidi="en-GB"/>
        </w:rPr>
        <w:t>PSU'er</w:t>
      </w:r>
      <w:proofErr w:type="spellEnd"/>
      <w:r w:rsidR="004F10FE" w:rsidRPr="00595546">
        <w:rPr>
          <w:lang w:bidi="en-GB"/>
        </w:rPr>
        <w:t xml:space="preserve">, som </w:t>
      </w:r>
      <w:r w:rsidR="00203BF6">
        <w:rPr>
          <w:lang w:bidi="en-GB"/>
        </w:rPr>
        <w:t xml:space="preserve">medlemmer af </w:t>
      </w:r>
      <w:r w:rsidR="008A1AFF">
        <w:rPr>
          <w:lang w:bidi="en-GB"/>
        </w:rPr>
        <w:t>Direktionen</w:t>
      </w:r>
      <w:r w:rsidR="004F10FE" w:rsidRPr="00595546">
        <w:rPr>
          <w:lang w:bidi="en-GB"/>
        </w:rPr>
        <w:t xml:space="preserve"> ejer, er angivet i </w:t>
      </w:r>
      <w:r w:rsidR="00595546" w:rsidRPr="00595546">
        <w:rPr>
          <w:u w:val="single"/>
          <w:lang w:bidi="en-GB"/>
        </w:rPr>
        <w:t xml:space="preserve">Bilag </w:t>
      </w:r>
      <w:r w:rsidR="004F10FE" w:rsidRPr="00595546">
        <w:rPr>
          <w:u w:val="single"/>
          <w:lang w:bidi="en-GB"/>
        </w:rPr>
        <w:t>2</w:t>
      </w:r>
      <w:r w:rsidR="004F10FE" w:rsidRPr="00634455">
        <w:rPr>
          <w:lang w:bidi="en-GB"/>
        </w:rPr>
        <w:t xml:space="preserve"> </w:t>
      </w:r>
      <w:r w:rsidR="004F10FE" w:rsidRPr="00595546">
        <w:rPr>
          <w:lang w:bidi="en-GB"/>
        </w:rPr>
        <w:t>(</w:t>
      </w:r>
      <w:r w:rsidR="00595546" w:rsidRPr="00595546">
        <w:rPr>
          <w:i/>
          <w:iCs/>
          <w:lang w:bidi="en-GB"/>
        </w:rPr>
        <w:t xml:space="preserve">Aktiebaserede instrumenter </w:t>
      </w:r>
      <w:r w:rsidR="004F10FE" w:rsidRPr="00595546">
        <w:rPr>
          <w:i/>
          <w:iCs/>
          <w:lang w:bidi="en-GB"/>
        </w:rPr>
        <w:t xml:space="preserve">ejet af </w:t>
      </w:r>
      <w:r w:rsidR="00595546" w:rsidRPr="00595546">
        <w:rPr>
          <w:i/>
          <w:iCs/>
          <w:lang w:bidi="en-GB"/>
        </w:rPr>
        <w:t>Direktionen</w:t>
      </w:r>
      <w:r w:rsidR="004F10FE" w:rsidRPr="00595546">
        <w:rPr>
          <w:lang w:bidi="en-GB"/>
        </w:rPr>
        <w:t xml:space="preserve">) til denne </w:t>
      </w:r>
      <w:r w:rsidR="00DB44D5" w:rsidRPr="00595546">
        <w:rPr>
          <w:lang w:bidi="en-GB"/>
        </w:rPr>
        <w:t>Redegørelse</w:t>
      </w:r>
      <w:r w:rsidR="00C409D1" w:rsidRPr="00595546">
        <w:rPr>
          <w:lang w:bidi="en-GB"/>
        </w:rPr>
        <w:t xml:space="preserve">. </w:t>
      </w:r>
    </w:p>
    <w:p w14:paraId="53D76E94" w14:textId="77777777" w:rsidR="00BB2072" w:rsidRPr="00595546" w:rsidRDefault="00BB2072" w:rsidP="00A05058">
      <w:pPr>
        <w:pStyle w:val="DSBodyTextIndent1"/>
        <w:jc w:val="both"/>
        <w:rPr>
          <w:lang w:bidi="en-GB"/>
        </w:rPr>
      </w:pPr>
    </w:p>
    <w:p w14:paraId="548ED97A" w14:textId="427DD2E0" w:rsidR="00C409D1" w:rsidRPr="00595546" w:rsidRDefault="00C409D1" w:rsidP="00A05058">
      <w:pPr>
        <w:pStyle w:val="DSBodyTextIndent1"/>
        <w:jc w:val="both"/>
        <w:rPr>
          <w:lang w:bidi="en-GB"/>
        </w:rPr>
      </w:pPr>
      <w:r w:rsidRPr="00595546">
        <w:rPr>
          <w:lang w:bidi="en-GB"/>
        </w:rPr>
        <w:t xml:space="preserve">Se afsnit </w:t>
      </w:r>
      <w:r w:rsidRPr="00595546">
        <w:fldChar w:fldCharType="begin"/>
      </w:r>
      <w:r w:rsidRPr="00595546">
        <w:rPr>
          <w:lang w:bidi="en-GB"/>
        </w:rPr>
        <w:instrText xml:space="preserve"> REF _Ref134025496 \r \h </w:instrText>
      </w:r>
      <w:r w:rsidR="00A05058" w:rsidRPr="00595546">
        <w:instrText xml:space="preserve"> \* MERGEFORMAT </w:instrText>
      </w:r>
      <w:r w:rsidRPr="00595546">
        <w:fldChar w:fldCharType="separate"/>
      </w:r>
      <w:r w:rsidR="00433DF7">
        <w:rPr>
          <w:lang w:bidi="en-GB"/>
        </w:rPr>
        <w:t>5</w:t>
      </w:r>
      <w:r w:rsidRPr="00595546">
        <w:fldChar w:fldCharType="end"/>
      </w:r>
      <w:r w:rsidRPr="00595546">
        <w:rPr>
          <w:lang w:bidi="en-GB"/>
        </w:rPr>
        <w:t xml:space="preserve"> ovenfor for en oversigt over konsekvenserne af </w:t>
      </w:r>
      <w:r w:rsidR="00DB44D5" w:rsidRPr="00595546">
        <w:rPr>
          <w:lang w:bidi="en-GB"/>
        </w:rPr>
        <w:t xml:space="preserve">Tilbuddet </w:t>
      </w:r>
      <w:r w:rsidRPr="00595546">
        <w:rPr>
          <w:lang w:bidi="en-GB"/>
        </w:rPr>
        <w:t xml:space="preserve">for </w:t>
      </w:r>
      <w:r w:rsidR="00B8185C" w:rsidRPr="00595546">
        <w:rPr>
          <w:lang w:bidi="en-GB"/>
        </w:rPr>
        <w:t xml:space="preserve">de </w:t>
      </w:r>
      <w:r w:rsidR="00595546" w:rsidRPr="00595546">
        <w:rPr>
          <w:lang w:bidi="en-GB"/>
        </w:rPr>
        <w:t>Aktiebaserede Incitamentsprogrammer</w:t>
      </w:r>
      <w:r w:rsidRPr="00595546">
        <w:rPr>
          <w:lang w:bidi="en-GB"/>
        </w:rPr>
        <w:t xml:space="preserve">, herunder </w:t>
      </w:r>
      <w:r w:rsidR="00595546" w:rsidRPr="00595546">
        <w:rPr>
          <w:lang w:bidi="en-GB"/>
        </w:rPr>
        <w:t xml:space="preserve">Warrants </w:t>
      </w:r>
      <w:r w:rsidR="00E645B2" w:rsidRPr="00595546">
        <w:rPr>
          <w:lang w:bidi="en-GB"/>
        </w:rPr>
        <w:t xml:space="preserve">og </w:t>
      </w:r>
      <w:proofErr w:type="spellStart"/>
      <w:r w:rsidR="00E645B2" w:rsidRPr="00595546">
        <w:rPr>
          <w:lang w:bidi="en-GB"/>
        </w:rPr>
        <w:t>PSU'er</w:t>
      </w:r>
      <w:proofErr w:type="spellEnd"/>
      <w:r w:rsidRPr="00595546">
        <w:rPr>
          <w:lang w:bidi="en-GB"/>
        </w:rPr>
        <w:t>, som</w:t>
      </w:r>
      <w:r w:rsidR="002534DA">
        <w:rPr>
          <w:lang w:bidi="en-GB"/>
        </w:rPr>
        <w:t xml:space="preserve"> medlemmerne af</w:t>
      </w:r>
      <w:r w:rsidRPr="00595546">
        <w:rPr>
          <w:lang w:bidi="en-GB"/>
        </w:rPr>
        <w:t xml:space="preserve"> </w:t>
      </w:r>
      <w:r w:rsidR="00595546" w:rsidRPr="00595546">
        <w:rPr>
          <w:lang w:bidi="en-GB"/>
        </w:rPr>
        <w:t>Bestyrelsen</w:t>
      </w:r>
      <w:r w:rsidR="00B86488" w:rsidRPr="00595546">
        <w:rPr>
          <w:lang w:bidi="en-GB"/>
        </w:rPr>
        <w:t xml:space="preserve"> </w:t>
      </w:r>
      <w:r w:rsidR="00BB2072" w:rsidRPr="00595546">
        <w:rPr>
          <w:lang w:bidi="en-GB"/>
        </w:rPr>
        <w:t xml:space="preserve">og </w:t>
      </w:r>
      <w:r w:rsidR="002534DA">
        <w:rPr>
          <w:lang w:bidi="en-GB"/>
        </w:rPr>
        <w:t>Direktionen</w:t>
      </w:r>
      <w:r w:rsidRPr="00595546">
        <w:rPr>
          <w:lang w:bidi="en-GB"/>
        </w:rPr>
        <w:t xml:space="preserve"> besidder.</w:t>
      </w:r>
      <w:bookmarkStart w:id="145" w:name="_Ref281846599"/>
      <w:r w:rsidRPr="00595546">
        <w:rPr>
          <w:lang w:bidi="en-GB"/>
        </w:rPr>
        <w:t xml:space="preserve"> </w:t>
      </w:r>
    </w:p>
    <w:p w14:paraId="2A4AB9B8" w14:textId="5D5E8D12" w:rsidR="00C2519C" w:rsidRPr="00595546" w:rsidRDefault="00120C26" w:rsidP="00120C26">
      <w:pPr>
        <w:pStyle w:val="Heading2"/>
        <w:jc w:val="both"/>
        <w:rPr>
          <w:lang w:bidi="en-GB"/>
        </w:rPr>
      </w:pPr>
      <w:bookmarkStart w:id="146" w:name="_Toc218590538"/>
      <w:r w:rsidRPr="00595546">
        <w:rPr>
          <w:lang w:bidi="en-GB"/>
        </w:rPr>
        <w:t>Bonus</w:t>
      </w:r>
      <w:r w:rsidR="00595546" w:rsidRPr="00595546">
        <w:rPr>
          <w:lang w:bidi="en-GB"/>
        </w:rPr>
        <w:t>ser</w:t>
      </w:r>
      <w:bookmarkEnd w:id="146"/>
    </w:p>
    <w:bookmarkEnd w:id="141"/>
    <w:bookmarkEnd w:id="145"/>
    <w:p w14:paraId="0E4DADE1" w14:textId="3713CADC" w:rsidR="00C409D1" w:rsidRPr="00595546" w:rsidRDefault="00A95309" w:rsidP="00A05058">
      <w:pPr>
        <w:pStyle w:val="DSBodyTextIndent1"/>
        <w:jc w:val="both"/>
        <w:rPr>
          <w:lang w:bidi="en-GB"/>
        </w:rPr>
      </w:pPr>
      <w:r w:rsidRPr="00595546">
        <w:rPr>
          <w:lang w:bidi="en-GB"/>
        </w:rPr>
        <w:t xml:space="preserve">Ingen medlemmer af </w:t>
      </w:r>
      <w:r w:rsidR="00595546" w:rsidRPr="00595546">
        <w:rPr>
          <w:lang w:bidi="en-GB"/>
        </w:rPr>
        <w:t>Direktionen</w:t>
      </w:r>
      <w:r w:rsidRPr="00595546">
        <w:rPr>
          <w:lang w:bidi="en-GB"/>
        </w:rPr>
        <w:t xml:space="preserve"> er berettiget til transaktionsbonusser.</w:t>
      </w:r>
      <w:r w:rsidR="00C409D1" w:rsidRPr="00595546">
        <w:br w:type="page"/>
      </w:r>
    </w:p>
    <w:p w14:paraId="55144E7A" w14:textId="77777777" w:rsidR="00C409D1" w:rsidRPr="00595546" w:rsidRDefault="00C409D1" w:rsidP="00A05058">
      <w:pPr>
        <w:pStyle w:val="Heading1"/>
        <w:jc w:val="both"/>
      </w:pPr>
      <w:bookmarkStart w:id="147" w:name="_Toc194440344"/>
      <w:bookmarkStart w:id="148" w:name="_Toc218590539"/>
      <w:r w:rsidRPr="00595546">
        <w:lastRenderedPageBreak/>
        <w:t>Diverse</w:t>
      </w:r>
      <w:bookmarkEnd w:id="147"/>
      <w:bookmarkEnd w:id="148"/>
    </w:p>
    <w:p w14:paraId="071391F0" w14:textId="283305D3" w:rsidR="00C409D1" w:rsidRPr="00595546" w:rsidRDefault="00E66984" w:rsidP="00A05058">
      <w:pPr>
        <w:pStyle w:val="Heading2"/>
        <w:jc w:val="both"/>
      </w:pPr>
      <w:bookmarkStart w:id="149" w:name="_Toc194440345"/>
      <w:bookmarkStart w:id="150" w:name="_Toc218590540"/>
      <w:r>
        <w:rPr>
          <w:lang w:bidi="en-GB"/>
        </w:rPr>
        <w:t>L</w:t>
      </w:r>
      <w:r w:rsidR="00C409D1" w:rsidRPr="00595546">
        <w:rPr>
          <w:lang w:bidi="en-GB"/>
        </w:rPr>
        <w:t>ov</w:t>
      </w:r>
      <w:bookmarkEnd w:id="149"/>
      <w:r>
        <w:rPr>
          <w:lang w:bidi="en-GB"/>
        </w:rPr>
        <w:t>valg</w:t>
      </w:r>
      <w:bookmarkEnd w:id="150"/>
    </w:p>
    <w:p w14:paraId="14D26215" w14:textId="0D5A2F6B" w:rsidR="00C409D1" w:rsidRPr="00595546" w:rsidRDefault="00C409D1" w:rsidP="00A05058">
      <w:pPr>
        <w:pStyle w:val="DSBodyTextIndent1"/>
        <w:jc w:val="both"/>
      </w:pPr>
      <w:r w:rsidRPr="00595546">
        <w:rPr>
          <w:lang w:bidi="en-GB"/>
        </w:rPr>
        <w:t xml:space="preserve">Denne </w:t>
      </w:r>
      <w:r w:rsidR="00DB44D5" w:rsidRPr="00595546">
        <w:rPr>
          <w:lang w:bidi="en-GB"/>
        </w:rPr>
        <w:t xml:space="preserve">Redegørelse </w:t>
      </w:r>
      <w:r w:rsidRPr="00595546">
        <w:rPr>
          <w:lang w:bidi="en-GB"/>
        </w:rPr>
        <w:t xml:space="preserve">er underlagt og reguleret af dansk lovgivning. </w:t>
      </w:r>
    </w:p>
    <w:p w14:paraId="66097474" w14:textId="77777777" w:rsidR="00C409D1" w:rsidRPr="00595546" w:rsidRDefault="00C409D1" w:rsidP="00A05058">
      <w:pPr>
        <w:pStyle w:val="Heading2"/>
        <w:jc w:val="both"/>
      </w:pPr>
      <w:bookmarkStart w:id="151" w:name="_Toc194440346"/>
      <w:bookmarkStart w:id="152" w:name="_Ref218559776"/>
      <w:bookmarkStart w:id="153" w:name="_Toc218590541"/>
      <w:r w:rsidRPr="00595546">
        <w:t>Fremadrettede udsagn</w:t>
      </w:r>
      <w:bookmarkEnd w:id="151"/>
      <w:bookmarkEnd w:id="152"/>
      <w:bookmarkEnd w:id="153"/>
    </w:p>
    <w:p w14:paraId="13C56228" w14:textId="733B3A7E" w:rsidR="00C409D1" w:rsidRPr="00595546" w:rsidRDefault="00C409D1" w:rsidP="00A05058">
      <w:pPr>
        <w:pStyle w:val="DSBodyTextIndent1"/>
        <w:jc w:val="both"/>
        <w:rPr>
          <w:lang w:bidi="en-GB"/>
        </w:rPr>
      </w:pPr>
      <w:r w:rsidRPr="00595546">
        <w:rPr>
          <w:lang w:bidi="en-GB"/>
        </w:rPr>
        <w:t xml:space="preserve">Visse forhold, der behandles i denne </w:t>
      </w:r>
      <w:r w:rsidR="00DB44D5" w:rsidRPr="00595546">
        <w:rPr>
          <w:lang w:bidi="en-GB"/>
        </w:rPr>
        <w:t>Redegørelse</w:t>
      </w:r>
      <w:r w:rsidRPr="00595546">
        <w:rPr>
          <w:lang w:bidi="en-GB"/>
        </w:rPr>
        <w:t xml:space="preserve">, kan udgøre fremadrettede udsagn. Fremadrettede udsagn er udsagn, der ikke er historiske fakta, og som er kendetegnet ved ord som "vurderer", </w:t>
      </w:r>
      <w:r w:rsidR="00D4068E" w:rsidRPr="00595546">
        <w:rPr>
          <w:lang w:bidi="en-GB"/>
        </w:rPr>
        <w:t>"</w:t>
      </w:r>
      <w:r w:rsidRPr="00595546">
        <w:rPr>
          <w:lang w:bidi="en-GB"/>
        </w:rPr>
        <w:t>mener</w:t>
      </w:r>
      <w:r w:rsidR="00D4068E" w:rsidRPr="00595546">
        <w:rPr>
          <w:lang w:bidi="en-GB"/>
        </w:rPr>
        <w:t>"</w:t>
      </w:r>
      <w:r w:rsidRPr="00595546">
        <w:rPr>
          <w:lang w:bidi="en-GB"/>
        </w:rPr>
        <w:t xml:space="preserve">, </w:t>
      </w:r>
      <w:r w:rsidR="00D4068E" w:rsidRPr="00595546">
        <w:rPr>
          <w:lang w:bidi="en-GB"/>
        </w:rPr>
        <w:t>"</w:t>
      </w:r>
      <w:r w:rsidRPr="00595546">
        <w:rPr>
          <w:lang w:bidi="en-GB"/>
        </w:rPr>
        <w:t>forventer</w:t>
      </w:r>
      <w:r w:rsidR="00D4068E" w:rsidRPr="00595546">
        <w:rPr>
          <w:lang w:bidi="en-GB"/>
        </w:rPr>
        <w:t>"</w:t>
      </w:r>
      <w:r w:rsidRPr="00595546">
        <w:rPr>
          <w:lang w:bidi="en-GB"/>
        </w:rPr>
        <w:t xml:space="preserve">, </w:t>
      </w:r>
      <w:r w:rsidR="00D4068E" w:rsidRPr="00595546">
        <w:rPr>
          <w:lang w:bidi="en-GB"/>
        </w:rPr>
        <w:t>"</w:t>
      </w:r>
      <w:r w:rsidRPr="00595546">
        <w:rPr>
          <w:lang w:bidi="en-GB"/>
        </w:rPr>
        <w:t>antager</w:t>
      </w:r>
      <w:r w:rsidR="00D4068E" w:rsidRPr="00595546">
        <w:rPr>
          <w:lang w:bidi="en-GB"/>
        </w:rPr>
        <w:t>"</w:t>
      </w:r>
      <w:r w:rsidRPr="00595546">
        <w:rPr>
          <w:lang w:bidi="en-GB"/>
        </w:rPr>
        <w:t xml:space="preserve">, </w:t>
      </w:r>
      <w:r w:rsidR="00D4068E" w:rsidRPr="00595546">
        <w:rPr>
          <w:lang w:bidi="en-GB"/>
        </w:rPr>
        <w:t>"</w:t>
      </w:r>
      <w:r w:rsidRPr="00595546">
        <w:rPr>
          <w:lang w:bidi="en-GB"/>
        </w:rPr>
        <w:t>forudser</w:t>
      </w:r>
      <w:r w:rsidR="00D4068E" w:rsidRPr="00595546">
        <w:rPr>
          <w:lang w:bidi="en-GB"/>
        </w:rPr>
        <w:t>"</w:t>
      </w:r>
      <w:r w:rsidRPr="00595546">
        <w:rPr>
          <w:lang w:bidi="en-GB"/>
        </w:rPr>
        <w:t xml:space="preserve">, </w:t>
      </w:r>
      <w:r w:rsidR="00D4068E" w:rsidRPr="00595546">
        <w:rPr>
          <w:lang w:bidi="en-GB"/>
        </w:rPr>
        <w:t>"</w:t>
      </w:r>
      <w:r w:rsidRPr="00595546">
        <w:rPr>
          <w:lang w:bidi="en-GB"/>
        </w:rPr>
        <w:t>overvejer</w:t>
      </w:r>
      <w:r w:rsidR="00D4068E" w:rsidRPr="00595546">
        <w:rPr>
          <w:lang w:bidi="en-GB"/>
        </w:rPr>
        <w:t>"</w:t>
      </w:r>
      <w:r w:rsidRPr="00595546">
        <w:rPr>
          <w:lang w:bidi="en-GB"/>
        </w:rPr>
        <w:t xml:space="preserve">, </w:t>
      </w:r>
      <w:r w:rsidR="00D4068E" w:rsidRPr="00595546">
        <w:rPr>
          <w:lang w:bidi="en-GB"/>
        </w:rPr>
        <w:t>"</w:t>
      </w:r>
      <w:r w:rsidRPr="00595546">
        <w:rPr>
          <w:lang w:bidi="en-GB"/>
        </w:rPr>
        <w:t>har til hensigt</w:t>
      </w:r>
      <w:r w:rsidR="00D4068E" w:rsidRPr="00595546">
        <w:rPr>
          <w:lang w:bidi="en-GB"/>
        </w:rPr>
        <w:t>"</w:t>
      </w:r>
      <w:r w:rsidRPr="00595546">
        <w:rPr>
          <w:lang w:bidi="en-GB"/>
        </w:rPr>
        <w:t xml:space="preserve">, </w:t>
      </w:r>
      <w:r w:rsidR="00D4068E" w:rsidRPr="00595546">
        <w:rPr>
          <w:lang w:bidi="en-GB"/>
        </w:rPr>
        <w:t>"</w:t>
      </w:r>
      <w:r w:rsidRPr="00595546">
        <w:rPr>
          <w:lang w:bidi="en-GB"/>
        </w:rPr>
        <w:t>estimerer</w:t>
      </w:r>
      <w:r w:rsidR="00D4068E" w:rsidRPr="00595546">
        <w:rPr>
          <w:lang w:bidi="en-GB"/>
        </w:rPr>
        <w:t>"</w:t>
      </w:r>
      <w:r w:rsidRPr="00595546">
        <w:rPr>
          <w:lang w:bidi="en-GB"/>
        </w:rPr>
        <w:t xml:space="preserve">, </w:t>
      </w:r>
      <w:r w:rsidR="00D4068E" w:rsidRPr="00595546">
        <w:rPr>
          <w:lang w:bidi="en-GB"/>
        </w:rPr>
        <w:t>"</w:t>
      </w:r>
      <w:r w:rsidRPr="00595546">
        <w:rPr>
          <w:lang w:bidi="en-GB"/>
        </w:rPr>
        <w:t>vil</w:t>
      </w:r>
      <w:r w:rsidR="00D4068E" w:rsidRPr="00595546">
        <w:rPr>
          <w:lang w:bidi="en-GB"/>
        </w:rPr>
        <w:t>"</w:t>
      </w:r>
      <w:r w:rsidRPr="00595546">
        <w:rPr>
          <w:lang w:bidi="en-GB"/>
        </w:rPr>
        <w:t xml:space="preserve">, </w:t>
      </w:r>
      <w:r w:rsidR="00D4068E" w:rsidRPr="00595546">
        <w:rPr>
          <w:lang w:bidi="en-GB"/>
        </w:rPr>
        <w:t>"</w:t>
      </w:r>
      <w:r w:rsidRPr="00595546">
        <w:rPr>
          <w:lang w:bidi="en-GB"/>
        </w:rPr>
        <w:t>kan</w:t>
      </w:r>
      <w:r w:rsidR="00D4068E" w:rsidRPr="00595546">
        <w:rPr>
          <w:lang w:bidi="en-GB"/>
        </w:rPr>
        <w:t>"</w:t>
      </w:r>
      <w:r w:rsidRPr="00595546">
        <w:rPr>
          <w:lang w:bidi="en-GB"/>
        </w:rPr>
        <w:t xml:space="preserve">, </w:t>
      </w:r>
      <w:r w:rsidR="00D4068E" w:rsidRPr="00595546">
        <w:rPr>
          <w:lang w:bidi="en-GB"/>
        </w:rPr>
        <w:t>"</w:t>
      </w:r>
      <w:r w:rsidRPr="00595546">
        <w:rPr>
          <w:lang w:bidi="en-GB"/>
        </w:rPr>
        <w:t>fortsætter med</w:t>
      </w:r>
      <w:r w:rsidR="00D4068E" w:rsidRPr="00595546">
        <w:rPr>
          <w:lang w:bidi="en-GB"/>
        </w:rPr>
        <w:t>"</w:t>
      </w:r>
      <w:r w:rsidRPr="00595546">
        <w:rPr>
          <w:lang w:bidi="en-GB"/>
        </w:rPr>
        <w:t xml:space="preserve">, </w:t>
      </w:r>
      <w:r w:rsidR="00D4068E" w:rsidRPr="00595546">
        <w:rPr>
          <w:lang w:bidi="en-GB"/>
        </w:rPr>
        <w:t>"</w:t>
      </w:r>
      <w:r w:rsidRPr="00595546">
        <w:rPr>
          <w:lang w:bidi="en-GB"/>
        </w:rPr>
        <w:t>bør</w:t>
      </w:r>
      <w:r w:rsidR="00D4068E" w:rsidRPr="00595546">
        <w:rPr>
          <w:lang w:bidi="en-GB"/>
        </w:rPr>
        <w:t xml:space="preserve">" </w:t>
      </w:r>
      <w:r w:rsidRPr="00595546">
        <w:rPr>
          <w:lang w:bidi="en-GB"/>
        </w:rPr>
        <w:t xml:space="preserve">og lignende udtryk. I denne </w:t>
      </w:r>
      <w:r w:rsidR="00DB44D5" w:rsidRPr="00595546">
        <w:rPr>
          <w:lang w:bidi="en-GB"/>
        </w:rPr>
        <w:t xml:space="preserve">Redegørelse </w:t>
      </w:r>
      <w:r w:rsidRPr="00595546">
        <w:rPr>
          <w:lang w:bidi="en-GB"/>
        </w:rPr>
        <w:t xml:space="preserve">er fremadrettede udsagn baseret på flere antagelser, hvoraf mange er baseret på yderligere antagelser. Selvom </w:t>
      </w:r>
      <w:r w:rsidR="00DB44D5" w:rsidRPr="00595546">
        <w:rPr>
          <w:lang w:bidi="en-GB"/>
        </w:rPr>
        <w:t xml:space="preserve">Selskabet </w:t>
      </w:r>
      <w:r w:rsidRPr="00595546">
        <w:rPr>
          <w:lang w:bidi="en-GB"/>
        </w:rPr>
        <w:t xml:space="preserve">mener, at disse antagelser er rimelige på det tidspunkt, hvor de fremsættes, er de i sagens natur forbundet med betydelige kendte og ukendte risici, usikkerheder, uforudsete begivenheder og andre væsentlige forhold, som er vanskelige eller umulige at forudsige, eller som ligger uden for </w:t>
      </w:r>
      <w:r w:rsidR="00DB44D5" w:rsidRPr="00595546">
        <w:rPr>
          <w:lang w:bidi="en-GB"/>
        </w:rPr>
        <w:t xml:space="preserve">Selskabets </w:t>
      </w:r>
      <w:r w:rsidRPr="00595546">
        <w:rPr>
          <w:lang w:bidi="en-GB"/>
        </w:rPr>
        <w:t>kontrol. Sådanne risici, usikkerheder, uforudsete begivenheder og andre væsentlige forhold kan medføre, at de faktiske begivenheder afviger væsentligt fra de forventninger, der er udtrykt eller implicit indeholdt i de fremadrettede udsagn.</w:t>
      </w:r>
    </w:p>
    <w:p w14:paraId="16534E1C" w14:textId="423FEBF5" w:rsidR="00C409D1" w:rsidRPr="00595546" w:rsidRDefault="00C409D1" w:rsidP="00A05058">
      <w:pPr>
        <w:pStyle w:val="Heading2"/>
        <w:jc w:val="both"/>
      </w:pPr>
      <w:bookmarkStart w:id="154" w:name="_Toc194440347"/>
      <w:bookmarkStart w:id="155" w:name="_Toc218590542"/>
      <w:r w:rsidRPr="00595546">
        <w:t xml:space="preserve">Adressater for </w:t>
      </w:r>
      <w:bookmarkEnd w:id="154"/>
      <w:r w:rsidR="00DB44D5" w:rsidRPr="00595546">
        <w:t>Redegørelsen</w:t>
      </w:r>
      <w:bookmarkEnd w:id="155"/>
    </w:p>
    <w:p w14:paraId="14E836C8" w14:textId="7B7E01D1" w:rsidR="00C409D1" w:rsidRPr="00595546" w:rsidRDefault="00DB44D5" w:rsidP="00A05058">
      <w:pPr>
        <w:pStyle w:val="DSBodyTextIndent1"/>
        <w:jc w:val="both"/>
        <w:rPr>
          <w:lang w:bidi="en-GB"/>
        </w:rPr>
      </w:pPr>
      <w:r w:rsidRPr="00595546">
        <w:rPr>
          <w:lang w:bidi="en-GB"/>
        </w:rPr>
        <w:t xml:space="preserve">Redegørelsen </w:t>
      </w:r>
      <w:r w:rsidR="00C409D1" w:rsidRPr="00595546">
        <w:rPr>
          <w:lang w:bidi="en-GB"/>
        </w:rPr>
        <w:t xml:space="preserve">er udelukkende </w:t>
      </w:r>
      <w:r w:rsidR="00D06293">
        <w:rPr>
          <w:lang w:bidi="en-GB"/>
        </w:rPr>
        <w:t>adresseret</w:t>
      </w:r>
      <w:r w:rsidR="00C409D1" w:rsidRPr="00595546">
        <w:rPr>
          <w:lang w:bidi="en-GB"/>
        </w:rPr>
        <w:t xml:space="preserve"> til de </w:t>
      </w:r>
      <w:r w:rsidRPr="00595546">
        <w:rPr>
          <w:lang w:bidi="en-GB"/>
        </w:rPr>
        <w:t>Aktionærer</w:t>
      </w:r>
      <w:r w:rsidR="00C409D1" w:rsidRPr="00595546">
        <w:rPr>
          <w:lang w:bidi="en-GB"/>
        </w:rPr>
        <w:t xml:space="preserve">, som </w:t>
      </w:r>
      <w:r w:rsidRPr="00595546">
        <w:rPr>
          <w:lang w:bidi="en-GB"/>
        </w:rPr>
        <w:t xml:space="preserve">Tilbuddet </w:t>
      </w:r>
      <w:r w:rsidR="00C409D1" w:rsidRPr="00595546">
        <w:rPr>
          <w:lang w:bidi="en-GB"/>
        </w:rPr>
        <w:t xml:space="preserve">er rettet til, og som i henhold til vilkårene i </w:t>
      </w:r>
      <w:r w:rsidRPr="00595546">
        <w:rPr>
          <w:lang w:bidi="en-GB"/>
        </w:rPr>
        <w:t xml:space="preserve">Tilbudsdokumentet </w:t>
      </w:r>
      <w:r w:rsidR="00C409D1" w:rsidRPr="00595546">
        <w:rPr>
          <w:lang w:bidi="en-GB"/>
        </w:rPr>
        <w:t xml:space="preserve">ikke er udelukket fra at acceptere </w:t>
      </w:r>
      <w:r w:rsidRPr="00595546">
        <w:rPr>
          <w:lang w:bidi="en-GB"/>
        </w:rPr>
        <w:t>Tilbuddet</w:t>
      </w:r>
      <w:r w:rsidR="00C409D1" w:rsidRPr="00595546">
        <w:rPr>
          <w:lang w:bidi="en-GB"/>
        </w:rPr>
        <w:t>. Der henvises til afsnit</w:t>
      </w:r>
      <w:r w:rsidRPr="00595546">
        <w:rPr>
          <w:lang w:bidi="en-GB"/>
        </w:rPr>
        <w:t xml:space="preserve"> </w:t>
      </w:r>
      <w:r w:rsidR="00C409D1" w:rsidRPr="00595546">
        <w:rPr>
          <w:lang w:bidi="en-GB"/>
        </w:rPr>
        <w:fldChar w:fldCharType="begin"/>
      </w:r>
      <w:r w:rsidR="00C409D1" w:rsidRPr="00595546">
        <w:rPr>
          <w:lang w:bidi="en-GB"/>
        </w:rPr>
        <w:instrText xml:space="preserve"> REF _Ref462403744 \r \h </w:instrText>
      </w:r>
      <w:r w:rsidR="00A05058" w:rsidRPr="00595546">
        <w:rPr>
          <w:lang w:bidi="en-GB"/>
        </w:rPr>
        <w:instrText xml:space="preserve"> \* MERGEFORMAT </w:instrText>
      </w:r>
      <w:r w:rsidR="00C409D1" w:rsidRPr="00595546">
        <w:rPr>
          <w:lang w:bidi="en-GB"/>
        </w:rPr>
      </w:r>
      <w:r w:rsidR="00C409D1" w:rsidRPr="00595546">
        <w:rPr>
          <w:lang w:bidi="en-GB"/>
        </w:rPr>
        <w:fldChar w:fldCharType="separate"/>
      </w:r>
      <w:r w:rsidR="00433DF7">
        <w:rPr>
          <w:lang w:bidi="en-GB"/>
        </w:rPr>
        <w:t>1.1</w:t>
      </w:r>
      <w:r w:rsidR="00C409D1" w:rsidRPr="00595546">
        <w:fldChar w:fldCharType="end"/>
      </w:r>
      <w:r w:rsidR="00C409D1" w:rsidRPr="00595546">
        <w:rPr>
          <w:lang w:bidi="en-GB"/>
        </w:rPr>
        <w:t xml:space="preserve"> ovenfor. Ingen andre personer er berettiget til at </w:t>
      </w:r>
      <w:r w:rsidRPr="00595546">
        <w:rPr>
          <w:lang w:bidi="en-GB"/>
        </w:rPr>
        <w:t xml:space="preserve">støtte ret </w:t>
      </w:r>
      <w:r w:rsidR="00C409D1" w:rsidRPr="00595546">
        <w:rPr>
          <w:lang w:bidi="en-GB"/>
        </w:rPr>
        <w:t xml:space="preserve">på </w:t>
      </w:r>
      <w:r w:rsidRPr="00595546">
        <w:rPr>
          <w:lang w:bidi="en-GB"/>
        </w:rPr>
        <w:t>Redegørelsen</w:t>
      </w:r>
      <w:r w:rsidR="00C409D1" w:rsidRPr="00595546">
        <w:rPr>
          <w:lang w:bidi="en-GB"/>
        </w:rPr>
        <w:t xml:space="preserve">. </w:t>
      </w:r>
    </w:p>
    <w:p w14:paraId="2B8A4962" w14:textId="77777777" w:rsidR="00C409D1" w:rsidRPr="00595546" w:rsidRDefault="00C409D1" w:rsidP="00A05058">
      <w:pPr>
        <w:pStyle w:val="Heading2"/>
        <w:jc w:val="both"/>
      </w:pPr>
      <w:bookmarkStart w:id="156" w:name="_Toc174044054"/>
      <w:bookmarkStart w:id="157" w:name="_Toc194440348"/>
      <w:bookmarkStart w:id="158" w:name="_Toc218590543"/>
      <w:r w:rsidRPr="00595546">
        <w:t>Rådgivere</w:t>
      </w:r>
      <w:bookmarkEnd w:id="156"/>
      <w:bookmarkEnd w:id="157"/>
      <w:bookmarkEnd w:id="158"/>
    </w:p>
    <w:p w14:paraId="732E0D50" w14:textId="6C7A82B1" w:rsidR="00C409D1" w:rsidRPr="00595546" w:rsidRDefault="006E6CF2" w:rsidP="00A05058">
      <w:pPr>
        <w:pStyle w:val="DSBodyTextIndent1"/>
        <w:jc w:val="both"/>
      </w:pPr>
      <w:r w:rsidRPr="00595546">
        <w:t>Nilfisk</w:t>
      </w:r>
      <w:r w:rsidR="00C409D1" w:rsidRPr="00595546">
        <w:t xml:space="preserve">, herunder </w:t>
      </w:r>
      <w:r w:rsidR="00595546" w:rsidRPr="00595546">
        <w:t>Bestyrelsen</w:t>
      </w:r>
      <w:r w:rsidR="00C409D1" w:rsidRPr="00595546">
        <w:t xml:space="preserve">, rådgives af </w:t>
      </w:r>
      <w:r w:rsidR="003966BB" w:rsidRPr="00595546">
        <w:t xml:space="preserve">Guggenheim </w:t>
      </w:r>
      <w:r w:rsidR="0055541E" w:rsidRPr="00595546">
        <w:t xml:space="preserve">som finansiel rådgiver, </w:t>
      </w:r>
      <w:r w:rsidR="004B0793" w:rsidRPr="00595546">
        <w:t xml:space="preserve">Krogerus </w:t>
      </w:r>
      <w:r w:rsidR="0055541E" w:rsidRPr="00595546">
        <w:t xml:space="preserve">som </w:t>
      </w:r>
      <w:r w:rsidR="003A766A" w:rsidRPr="00595546">
        <w:t xml:space="preserve">international </w:t>
      </w:r>
      <w:r w:rsidR="0055541E" w:rsidRPr="00595546">
        <w:t xml:space="preserve">juridisk rådgiver, </w:t>
      </w:r>
      <w:r w:rsidR="004B0793" w:rsidRPr="00595546">
        <w:t xml:space="preserve">Kromann Reumert </w:t>
      </w:r>
      <w:r w:rsidR="0055541E" w:rsidRPr="00595546">
        <w:t xml:space="preserve">som </w:t>
      </w:r>
      <w:r w:rsidR="004B0793" w:rsidRPr="00595546">
        <w:t xml:space="preserve">dansk </w:t>
      </w:r>
      <w:r w:rsidR="0055541E" w:rsidRPr="00595546">
        <w:t xml:space="preserve">juridisk rådgiver og </w:t>
      </w:r>
      <w:proofErr w:type="spellStart"/>
      <w:r w:rsidR="00FD00FE" w:rsidRPr="00595546">
        <w:t>Geelmuyden</w:t>
      </w:r>
      <w:proofErr w:type="spellEnd"/>
      <w:r w:rsidR="00FD00FE" w:rsidRPr="00595546">
        <w:t xml:space="preserve"> </w:t>
      </w:r>
      <w:proofErr w:type="spellStart"/>
      <w:r w:rsidR="00FD00FE" w:rsidRPr="00595546">
        <w:t>Kiese</w:t>
      </w:r>
      <w:proofErr w:type="spellEnd"/>
      <w:r w:rsidR="00FD00FE" w:rsidRPr="00595546">
        <w:t xml:space="preserve"> </w:t>
      </w:r>
      <w:r w:rsidR="0055541E" w:rsidRPr="00595546">
        <w:t>som kommunikationsrådgiver.</w:t>
      </w:r>
    </w:p>
    <w:p w14:paraId="48C1B8AA" w14:textId="77777777" w:rsidR="00C409D1" w:rsidRPr="00595546" w:rsidRDefault="00C409D1" w:rsidP="00A05058">
      <w:pPr>
        <w:pStyle w:val="Heading2"/>
        <w:jc w:val="both"/>
      </w:pPr>
      <w:bookmarkStart w:id="159" w:name="_Toc194440349"/>
      <w:bookmarkStart w:id="160" w:name="_Toc218590544"/>
      <w:r w:rsidRPr="00595546">
        <w:t>Ansvarsfraskrivelse</w:t>
      </w:r>
      <w:bookmarkEnd w:id="159"/>
      <w:bookmarkEnd w:id="160"/>
    </w:p>
    <w:p w14:paraId="256CDD03" w14:textId="5C94A9C8" w:rsidR="00F96EAE" w:rsidRPr="00595546" w:rsidRDefault="00F96EAE" w:rsidP="00893E1C">
      <w:pPr>
        <w:pStyle w:val="DSBodyTextIndent1"/>
        <w:jc w:val="both"/>
        <w:rPr>
          <w:lang w:bidi="en-GB"/>
        </w:rPr>
      </w:pPr>
      <w:r w:rsidRPr="00595546">
        <w:rPr>
          <w:lang w:bidi="en-GB"/>
        </w:rPr>
        <w:t xml:space="preserve">Medlemmerne af </w:t>
      </w:r>
      <w:r w:rsidR="00595546" w:rsidRPr="00595546">
        <w:rPr>
          <w:lang w:bidi="en-GB"/>
        </w:rPr>
        <w:t>Bestyrelsen</w:t>
      </w:r>
      <w:r w:rsidR="00B86488" w:rsidRPr="00595546">
        <w:rPr>
          <w:lang w:bidi="en-GB"/>
        </w:rPr>
        <w:t xml:space="preserve"> </w:t>
      </w:r>
      <w:r w:rsidR="00C409D1" w:rsidRPr="00595546">
        <w:rPr>
          <w:lang w:bidi="en-GB"/>
        </w:rPr>
        <w:t xml:space="preserve">handler på vegne af Selskabet i deres egenskab af medlemmer af </w:t>
      </w:r>
      <w:r w:rsidR="00595546" w:rsidRPr="00595546">
        <w:rPr>
          <w:lang w:bidi="en-GB"/>
        </w:rPr>
        <w:t>Bestyrelsen</w:t>
      </w:r>
      <w:r w:rsidR="00C409D1" w:rsidRPr="00595546">
        <w:rPr>
          <w:lang w:bidi="en-GB"/>
        </w:rPr>
        <w:t xml:space="preserve"> i forbindelse med Tilbuddet og udarbejdelsen af denne </w:t>
      </w:r>
      <w:r w:rsidR="00DB44D5" w:rsidRPr="00595546">
        <w:rPr>
          <w:lang w:bidi="en-GB"/>
        </w:rPr>
        <w:t xml:space="preserve">Redegørelse </w:t>
      </w:r>
      <w:r w:rsidR="00C409D1" w:rsidRPr="00595546">
        <w:rPr>
          <w:lang w:bidi="en-GB"/>
        </w:rPr>
        <w:t>og ikke i personlig egenskab.</w:t>
      </w:r>
    </w:p>
    <w:p w14:paraId="18B6B43A" w14:textId="77777777" w:rsidR="00C409D1" w:rsidRPr="00595546" w:rsidRDefault="00C409D1" w:rsidP="00A05058">
      <w:pPr>
        <w:pStyle w:val="Heading2"/>
        <w:jc w:val="both"/>
      </w:pPr>
      <w:bookmarkStart w:id="161" w:name="_Toc194440350"/>
      <w:bookmarkStart w:id="162" w:name="_Toc218590545"/>
      <w:r w:rsidRPr="00595546">
        <w:rPr>
          <w:lang w:bidi="en-GB"/>
        </w:rPr>
        <w:t>Informationskilder og referencer</w:t>
      </w:r>
      <w:bookmarkEnd w:id="161"/>
      <w:bookmarkEnd w:id="162"/>
    </w:p>
    <w:p w14:paraId="37275CBC" w14:textId="1477B911" w:rsidR="00C409D1" w:rsidRPr="00595546" w:rsidRDefault="00C409D1" w:rsidP="00A05058">
      <w:pPr>
        <w:pStyle w:val="DSBodyTextIndent1"/>
        <w:jc w:val="both"/>
        <w:rPr>
          <w:lang w:bidi="en-GB"/>
        </w:rPr>
      </w:pPr>
      <w:r w:rsidRPr="00595546">
        <w:rPr>
          <w:lang w:bidi="en-GB"/>
        </w:rPr>
        <w:t xml:space="preserve">Oplysningerne i denne </w:t>
      </w:r>
      <w:r w:rsidR="00DB44D5" w:rsidRPr="00595546">
        <w:rPr>
          <w:lang w:bidi="en-GB"/>
        </w:rPr>
        <w:t xml:space="preserve">Redegørelse </w:t>
      </w:r>
      <w:r w:rsidRPr="00595546">
        <w:rPr>
          <w:lang w:bidi="en-GB"/>
        </w:rPr>
        <w:t xml:space="preserve">vedrørende </w:t>
      </w:r>
      <w:r w:rsidR="00DB44D5" w:rsidRPr="00595546">
        <w:rPr>
          <w:lang w:bidi="en-GB"/>
        </w:rPr>
        <w:t>Tilbudsgiver</w:t>
      </w:r>
      <w:r w:rsidR="000A0B9F" w:rsidRPr="00595546">
        <w:rPr>
          <w:lang w:bidi="en-GB"/>
        </w:rPr>
        <w:t xml:space="preserve"> </w:t>
      </w:r>
      <w:r w:rsidRPr="00595546">
        <w:rPr>
          <w:lang w:bidi="en-GB"/>
        </w:rPr>
        <w:t xml:space="preserve">er indhentet fra kilder, der er tilgængelige for offentligheden, herunder </w:t>
      </w:r>
      <w:r w:rsidR="00DB44D5" w:rsidRPr="00595546">
        <w:rPr>
          <w:lang w:bidi="en-GB"/>
        </w:rPr>
        <w:t>Tilbudsdokumentet</w:t>
      </w:r>
      <w:r w:rsidRPr="00595546">
        <w:rPr>
          <w:lang w:bidi="en-GB"/>
        </w:rPr>
        <w:t xml:space="preserve">. </w:t>
      </w:r>
      <w:r w:rsidR="00907951" w:rsidRPr="00595546">
        <w:rPr>
          <w:lang w:bidi="en-GB"/>
        </w:rPr>
        <w:t>Redegørelsen</w:t>
      </w:r>
      <w:r w:rsidR="00DB44D5" w:rsidRPr="00595546">
        <w:rPr>
          <w:lang w:bidi="en-GB"/>
        </w:rPr>
        <w:t xml:space="preserve"> </w:t>
      </w:r>
      <w:r w:rsidRPr="00595546">
        <w:rPr>
          <w:lang w:bidi="en-GB"/>
        </w:rPr>
        <w:t xml:space="preserve">indeholder også henvisninger til eller citater fra </w:t>
      </w:r>
      <w:r w:rsidR="00DB44D5" w:rsidRPr="00595546">
        <w:rPr>
          <w:lang w:bidi="en-GB"/>
        </w:rPr>
        <w:t>Tilbudsdokumentet</w:t>
      </w:r>
      <w:r w:rsidRPr="00595546">
        <w:rPr>
          <w:lang w:bidi="en-GB"/>
        </w:rPr>
        <w:t xml:space="preserve">. Selskabet og </w:t>
      </w:r>
      <w:r w:rsidR="00595546" w:rsidRPr="00595546">
        <w:rPr>
          <w:lang w:bidi="en-GB"/>
        </w:rPr>
        <w:t>Bestyrelsen</w:t>
      </w:r>
      <w:r w:rsidR="00B86488" w:rsidRPr="00595546">
        <w:rPr>
          <w:lang w:bidi="en-GB"/>
        </w:rPr>
        <w:t xml:space="preserve"> </w:t>
      </w:r>
      <w:r w:rsidRPr="00595546">
        <w:rPr>
          <w:lang w:bidi="en-GB"/>
        </w:rPr>
        <w:t xml:space="preserve">påtager sig intet ansvar eller forpligtelse for: 1) nøjagtigheden eller fuldstændigheden af sådanne oplysninger eller citater, og 2) eventuelle undladelser fra </w:t>
      </w:r>
      <w:r w:rsidR="00DB44D5" w:rsidRPr="00595546">
        <w:rPr>
          <w:lang w:bidi="en-GB"/>
        </w:rPr>
        <w:t>Tilbudsgiver</w:t>
      </w:r>
      <w:r w:rsidR="000A0B9F" w:rsidRPr="00595546">
        <w:rPr>
          <w:lang w:bidi="en-GB"/>
        </w:rPr>
        <w:t>s side</w:t>
      </w:r>
      <w:r w:rsidRPr="00595546">
        <w:rPr>
          <w:lang w:bidi="en-GB"/>
        </w:rPr>
        <w:t xml:space="preserve"> af at offentliggøre oplysninger om begivenheder, der kan have fundet sted, eller som kan påvirke betydningen eller nøjagtigheden af sådanne oplysninger. </w:t>
      </w:r>
    </w:p>
    <w:p w14:paraId="3EF9BAA7" w14:textId="77777777" w:rsidR="004E6D3A" w:rsidRPr="00595546" w:rsidRDefault="004E6D3A" w:rsidP="00A05058">
      <w:pPr>
        <w:pStyle w:val="DSBodyTextIndent1"/>
        <w:jc w:val="both"/>
        <w:rPr>
          <w:lang w:bidi="en-GB"/>
        </w:rPr>
      </w:pPr>
    </w:p>
    <w:p w14:paraId="11F82BA6" w14:textId="0BC6958D" w:rsidR="00C409D1" w:rsidRPr="00595546" w:rsidRDefault="00DB44D5" w:rsidP="00A05058">
      <w:pPr>
        <w:pStyle w:val="DSBodyTextIndent1"/>
        <w:jc w:val="both"/>
        <w:rPr>
          <w:lang w:bidi="en-GB"/>
        </w:rPr>
      </w:pPr>
      <w:r w:rsidRPr="00595546">
        <w:rPr>
          <w:lang w:bidi="en-GB"/>
        </w:rPr>
        <w:t xml:space="preserve">Redegørelsen </w:t>
      </w:r>
      <w:r w:rsidR="00C409D1" w:rsidRPr="00595546">
        <w:rPr>
          <w:lang w:bidi="en-GB"/>
        </w:rPr>
        <w:t xml:space="preserve">indeholder visse henvisninger til oplysninger mv., der er tilgængelige på </w:t>
      </w:r>
      <w:r w:rsidRPr="00595546">
        <w:rPr>
          <w:lang w:bidi="en-GB"/>
        </w:rPr>
        <w:t xml:space="preserve">Selskabets </w:t>
      </w:r>
      <w:r w:rsidR="00C409D1" w:rsidRPr="00595546">
        <w:rPr>
          <w:lang w:bidi="en-GB"/>
        </w:rPr>
        <w:t>hjemmeside</w:t>
      </w:r>
      <w:r w:rsidR="008929F9" w:rsidRPr="00595546">
        <w:rPr>
          <w:lang w:bidi="en-GB"/>
        </w:rPr>
        <w:t xml:space="preserve"> www.nilfisk.com</w:t>
      </w:r>
      <w:r w:rsidR="00C409D1" w:rsidRPr="00595546">
        <w:rPr>
          <w:lang w:bidi="en-GB"/>
        </w:rPr>
        <w:t xml:space="preserve">. Indholdet af </w:t>
      </w:r>
      <w:r w:rsidRPr="00595546">
        <w:rPr>
          <w:lang w:bidi="en-GB"/>
        </w:rPr>
        <w:t xml:space="preserve">Selskabets </w:t>
      </w:r>
      <w:r w:rsidR="00C409D1" w:rsidRPr="00595546">
        <w:rPr>
          <w:lang w:bidi="en-GB"/>
        </w:rPr>
        <w:t xml:space="preserve">hjemmeside er ikke en integreret del af denne </w:t>
      </w:r>
      <w:r w:rsidRPr="00595546">
        <w:rPr>
          <w:lang w:bidi="en-GB"/>
        </w:rPr>
        <w:t xml:space="preserve">Redegørelse </w:t>
      </w:r>
      <w:r w:rsidR="00C409D1" w:rsidRPr="00595546">
        <w:rPr>
          <w:lang w:bidi="en-GB"/>
        </w:rPr>
        <w:t xml:space="preserve">og er ikke </w:t>
      </w:r>
      <w:r w:rsidR="009D2F14">
        <w:rPr>
          <w:lang w:bidi="en-GB"/>
        </w:rPr>
        <w:t>indarbejdet</w:t>
      </w:r>
      <w:r w:rsidR="00C409D1" w:rsidRPr="00595546">
        <w:rPr>
          <w:lang w:bidi="en-GB"/>
        </w:rPr>
        <w:t xml:space="preserve"> heri ved henvisning. </w:t>
      </w:r>
    </w:p>
    <w:p w14:paraId="66B28983" w14:textId="77777777" w:rsidR="004E6D3A" w:rsidRPr="00595546" w:rsidRDefault="004E6D3A" w:rsidP="00A05058">
      <w:pPr>
        <w:pStyle w:val="DSBodyTextIndent1"/>
        <w:jc w:val="both"/>
        <w:rPr>
          <w:lang w:bidi="en-GB"/>
        </w:rPr>
      </w:pPr>
    </w:p>
    <w:p w14:paraId="04232B94" w14:textId="49B79670" w:rsidR="0092626E" w:rsidRDefault="00DB44D5" w:rsidP="00A05058">
      <w:pPr>
        <w:pStyle w:val="DSBodyTextIndent1"/>
        <w:jc w:val="both"/>
        <w:rPr>
          <w:lang w:bidi="en-GB"/>
        </w:rPr>
      </w:pPr>
      <w:r w:rsidRPr="00595546">
        <w:rPr>
          <w:lang w:bidi="en-GB"/>
        </w:rPr>
        <w:lastRenderedPageBreak/>
        <w:t xml:space="preserve">Redegørelsen </w:t>
      </w:r>
      <w:r w:rsidR="00C409D1" w:rsidRPr="00595546">
        <w:rPr>
          <w:lang w:bidi="en-GB"/>
        </w:rPr>
        <w:t xml:space="preserve">indeholder visse henvisninger til </w:t>
      </w:r>
      <w:r w:rsidR="006F0DD3">
        <w:rPr>
          <w:lang w:bidi="en-GB"/>
        </w:rPr>
        <w:t>2024 Å</w:t>
      </w:r>
      <w:r w:rsidR="00C409D1" w:rsidRPr="00595546">
        <w:rPr>
          <w:lang w:bidi="en-GB"/>
        </w:rPr>
        <w:t>rsrapporten</w:t>
      </w:r>
      <w:r w:rsidR="00682ED5">
        <w:rPr>
          <w:lang w:bidi="en-GB"/>
        </w:rPr>
        <w:t xml:space="preserve"> og Kvartalsrapporten for 3. kvartal 2025</w:t>
      </w:r>
      <w:r w:rsidR="00C409D1" w:rsidRPr="00595546">
        <w:rPr>
          <w:lang w:bidi="en-GB"/>
        </w:rPr>
        <w:t xml:space="preserve">. </w:t>
      </w:r>
      <w:r w:rsidR="0092626E">
        <w:rPr>
          <w:lang w:bidi="en-GB"/>
        </w:rPr>
        <w:t>2024 Å</w:t>
      </w:r>
      <w:r w:rsidR="0092626E" w:rsidRPr="00595546">
        <w:rPr>
          <w:lang w:bidi="en-GB"/>
        </w:rPr>
        <w:t>rsrapporten</w:t>
      </w:r>
      <w:r w:rsidR="0092626E">
        <w:rPr>
          <w:lang w:bidi="en-GB"/>
        </w:rPr>
        <w:t xml:space="preserve"> og Kvartalsrapporten for 3. kvartal 2025 er ikke </w:t>
      </w:r>
      <w:r w:rsidR="00BE6B64">
        <w:rPr>
          <w:lang w:bidi="en-GB"/>
        </w:rPr>
        <w:t>en del af denne Redegørelse, bortset fra de specifikke informationer som er inkluderet heri</w:t>
      </w:r>
      <w:r w:rsidR="0092626E" w:rsidRPr="00595546">
        <w:rPr>
          <w:lang w:bidi="en-GB"/>
        </w:rPr>
        <w:t>.</w:t>
      </w:r>
    </w:p>
    <w:p w14:paraId="7D93C909" w14:textId="77777777" w:rsidR="004E6D3A" w:rsidRPr="00595546" w:rsidRDefault="004E6D3A" w:rsidP="00A05058">
      <w:pPr>
        <w:pStyle w:val="DSBodyTextIndent1"/>
        <w:jc w:val="both"/>
        <w:rPr>
          <w:lang w:bidi="en-GB"/>
        </w:rPr>
      </w:pPr>
    </w:p>
    <w:p w14:paraId="70A5D648" w14:textId="2F9660ED" w:rsidR="006678AA" w:rsidRDefault="006678AA" w:rsidP="006678AA">
      <w:pPr>
        <w:pStyle w:val="DSBodyTextIndent1"/>
        <w:jc w:val="both"/>
        <w:rPr>
          <w:lang w:bidi="en-GB"/>
        </w:rPr>
      </w:pPr>
      <w:r>
        <w:rPr>
          <w:lang w:bidi="en-GB"/>
        </w:rPr>
        <w:t>Tilbudsdokumentet udgør ikke en integreret del af denne Redegørelse og er ikke indarbejdet heri ved henvisning</w:t>
      </w:r>
      <w:r w:rsidR="003C595B">
        <w:rPr>
          <w:lang w:bidi="en-GB"/>
        </w:rPr>
        <w:t xml:space="preserve"> eller på anden måde en del af denne Redegørelse</w:t>
      </w:r>
      <w:r>
        <w:rPr>
          <w:lang w:bidi="en-GB"/>
        </w:rPr>
        <w:t>. Selskabet og Bestyrelsen påtager sig intet ansvar for rigtigheden, fuldstændigheden eller tilstrækkeligheden af Tilbudsdokumentet, idet ansvaret herfor alene påhviler Tilbudsgiver.</w:t>
      </w:r>
    </w:p>
    <w:p w14:paraId="09CBADD5" w14:textId="77777777" w:rsidR="006678AA" w:rsidRDefault="006678AA" w:rsidP="006678AA">
      <w:pPr>
        <w:pStyle w:val="DSBodyTextIndent1"/>
        <w:jc w:val="both"/>
        <w:rPr>
          <w:lang w:bidi="en-GB"/>
        </w:rPr>
      </w:pPr>
    </w:p>
    <w:p w14:paraId="2CED62CF" w14:textId="5289C15B" w:rsidR="00C409D1" w:rsidRPr="00595546" w:rsidRDefault="006678AA" w:rsidP="006678AA">
      <w:pPr>
        <w:pStyle w:val="DSBodyTextIndent1"/>
        <w:jc w:val="both"/>
        <w:rPr>
          <w:lang w:bidi="en-GB"/>
        </w:rPr>
      </w:pPr>
      <w:r>
        <w:rPr>
          <w:lang w:bidi="en-GB"/>
        </w:rPr>
        <w:t>Selskabet og Bestyrelsen påtager sig intet ansvar for redegørelser eller udtalelser vedrørende Tilbuddet ud over de, der fremgår af denne Redegørelse.</w:t>
      </w:r>
    </w:p>
    <w:p w14:paraId="29F46855" w14:textId="77777777" w:rsidR="00C409D1" w:rsidRPr="00595546" w:rsidRDefault="00C409D1" w:rsidP="00C409D1">
      <w:pPr>
        <w:spacing w:after="160" w:line="259" w:lineRule="auto"/>
        <w:rPr>
          <w:lang w:bidi="en-GB"/>
        </w:rPr>
      </w:pPr>
    </w:p>
    <w:p w14:paraId="20534326" w14:textId="77777777" w:rsidR="00C409D1" w:rsidRPr="00595546" w:rsidRDefault="00C409D1" w:rsidP="00C409D1">
      <w:pPr>
        <w:spacing w:after="160" w:line="259" w:lineRule="auto"/>
        <w:rPr>
          <w:lang w:bidi="en-GB"/>
        </w:rPr>
      </w:pPr>
    </w:p>
    <w:p w14:paraId="3543BA1C" w14:textId="77777777" w:rsidR="00C409D1" w:rsidRPr="00595546" w:rsidRDefault="00C409D1" w:rsidP="00C409D1">
      <w:pPr>
        <w:spacing w:after="160" w:line="259" w:lineRule="auto"/>
      </w:pPr>
    </w:p>
    <w:p w14:paraId="02478B95" w14:textId="77777777" w:rsidR="00C409D1" w:rsidRPr="00595546" w:rsidRDefault="00C409D1" w:rsidP="00C409D1">
      <w:pPr>
        <w:spacing w:after="160" w:line="259" w:lineRule="auto"/>
      </w:pPr>
    </w:p>
    <w:p w14:paraId="0DC28A94" w14:textId="77777777" w:rsidR="00C409D1" w:rsidRPr="00595546" w:rsidRDefault="00C409D1" w:rsidP="00C409D1">
      <w:pPr>
        <w:spacing w:after="160" w:line="259" w:lineRule="auto"/>
      </w:pPr>
    </w:p>
    <w:p w14:paraId="7B4B1320" w14:textId="77777777" w:rsidR="00C409D1" w:rsidRPr="00595546" w:rsidRDefault="00C409D1" w:rsidP="00C409D1">
      <w:pPr>
        <w:spacing w:after="160" w:line="259" w:lineRule="auto"/>
      </w:pPr>
    </w:p>
    <w:p w14:paraId="0A29AEC9" w14:textId="77777777" w:rsidR="00C409D1" w:rsidRPr="00595546" w:rsidRDefault="00C409D1" w:rsidP="00C409D1">
      <w:pPr>
        <w:spacing w:after="160" w:line="259" w:lineRule="auto"/>
      </w:pPr>
    </w:p>
    <w:p w14:paraId="7C2307BE" w14:textId="77777777" w:rsidR="00C409D1" w:rsidRPr="00595546" w:rsidRDefault="00C409D1" w:rsidP="00C409D1">
      <w:pPr>
        <w:spacing w:after="160" w:line="259" w:lineRule="auto"/>
      </w:pPr>
    </w:p>
    <w:p w14:paraId="66ED031A" w14:textId="77777777" w:rsidR="00C409D1" w:rsidRPr="00595546" w:rsidRDefault="00C409D1" w:rsidP="00C409D1">
      <w:pPr>
        <w:spacing w:after="160" w:line="259" w:lineRule="auto"/>
      </w:pPr>
      <w:r w:rsidRPr="00595546">
        <w:br w:type="page"/>
      </w:r>
    </w:p>
    <w:p w14:paraId="2D9CD8AF" w14:textId="4F8570D3" w:rsidR="00C409D1" w:rsidRPr="00595546" w:rsidRDefault="00C409D1" w:rsidP="00C409D1">
      <w:pPr>
        <w:spacing w:after="160" w:line="259" w:lineRule="auto"/>
        <w:rPr>
          <w:b/>
        </w:rPr>
      </w:pPr>
      <w:r w:rsidRPr="00595546">
        <w:rPr>
          <w:b/>
        </w:rPr>
        <w:lastRenderedPageBreak/>
        <w:t xml:space="preserve">Bilag 1: </w:t>
      </w:r>
      <w:r w:rsidR="00595546" w:rsidRPr="00595546">
        <w:rPr>
          <w:b/>
          <w:lang w:bidi="en-GB"/>
        </w:rPr>
        <w:t>Aktiebaserede instrumenter</w:t>
      </w:r>
      <w:r w:rsidR="007A4D7E" w:rsidRPr="00595546">
        <w:rPr>
          <w:b/>
          <w:lang w:bidi="en-GB"/>
        </w:rPr>
        <w:t xml:space="preserve"> </w:t>
      </w:r>
      <w:r w:rsidRPr="00595546">
        <w:rPr>
          <w:b/>
          <w:lang w:bidi="en-GB"/>
        </w:rPr>
        <w:t xml:space="preserve">der ejes af </w:t>
      </w:r>
      <w:r w:rsidR="00B86488" w:rsidRPr="00595546">
        <w:rPr>
          <w:b/>
          <w:lang w:bidi="en-GB"/>
        </w:rPr>
        <w:t>bestyrelsen</w:t>
      </w:r>
    </w:p>
    <w:p w14:paraId="355B7997" w14:textId="77777777" w:rsidR="00C409D1" w:rsidRPr="00595546" w:rsidRDefault="00C409D1" w:rsidP="00C409D1">
      <w:pPr>
        <w:spacing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362"/>
        <w:gridCol w:w="2362"/>
        <w:gridCol w:w="2362"/>
      </w:tblGrid>
      <w:tr w:rsidR="007A4D7E" w:rsidRPr="00595546" w14:paraId="74109A84" w14:textId="0575FEAF" w:rsidTr="00536FAB">
        <w:tc>
          <w:tcPr>
            <w:tcW w:w="2835" w:type="dxa"/>
            <w:hideMark/>
          </w:tcPr>
          <w:p w14:paraId="11546AFA" w14:textId="77777777" w:rsidR="007A4D7E" w:rsidRPr="00595546" w:rsidRDefault="007A4D7E" w:rsidP="00C409D1">
            <w:pPr>
              <w:spacing w:after="160" w:line="259" w:lineRule="auto"/>
              <w:rPr>
                <w:b/>
              </w:rPr>
            </w:pPr>
            <w:bookmarkStart w:id="163" w:name="_Hlk194410464"/>
            <w:r w:rsidRPr="00595546">
              <w:rPr>
                <w:b/>
              </w:rPr>
              <w:t>Navn</w:t>
            </w:r>
          </w:p>
        </w:tc>
        <w:tc>
          <w:tcPr>
            <w:tcW w:w="2362" w:type="dxa"/>
            <w:hideMark/>
          </w:tcPr>
          <w:p w14:paraId="6E98B97B" w14:textId="4D4630A8" w:rsidR="007A4D7E" w:rsidRPr="00595546" w:rsidRDefault="007A4D7E" w:rsidP="00C409D1">
            <w:pPr>
              <w:spacing w:after="160" w:line="259" w:lineRule="auto"/>
              <w:rPr>
                <w:b/>
              </w:rPr>
            </w:pPr>
            <w:r w:rsidRPr="00595546">
              <w:rPr>
                <w:b/>
              </w:rPr>
              <w:t xml:space="preserve">Antal </w:t>
            </w:r>
            <w:r w:rsidR="00DB44D5" w:rsidRPr="00595546">
              <w:rPr>
                <w:b/>
              </w:rPr>
              <w:t>Aktier</w:t>
            </w:r>
          </w:p>
        </w:tc>
        <w:tc>
          <w:tcPr>
            <w:tcW w:w="2362" w:type="dxa"/>
          </w:tcPr>
          <w:p w14:paraId="1AB832E7" w14:textId="18C58D5A" w:rsidR="007A4D7E" w:rsidRPr="00595546" w:rsidRDefault="007A4D7E" w:rsidP="00C409D1">
            <w:pPr>
              <w:spacing w:after="160" w:line="259" w:lineRule="auto"/>
              <w:rPr>
                <w:b/>
              </w:rPr>
            </w:pPr>
            <w:r w:rsidRPr="00595546">
              <w:rPr>
                <w:b/>
              </w:rPr>
              <w:t xml:space="preserve">Antal </w:t>
            </w:r>
            <w:r w:rsidR="00595546" w:rsidRPr="00595546">
              <w:rPr>
                <w:b/>
              </w:rPr>
              <w:t>Warrants</w:t>
            </w:r>
          </w:p>
        </w:tc>
        <w:tc>
          <w:tcPr>
            <w:tcW w:w="2362" w:type="dxa"/>
          </w:tcPr>
          <w:p w14:paraId="27858BA8" w14:textId="43208C04" w:rsidR="007A4D7E" w:rsidRPr="00595546" w:rsidRDefault="007A4D7E" w:rsidP="00C409D1">
            <w:pPr>
              <w:spacing w:after="160" w:line="259" w:lineRule="auto"/>
              <w:rPr>
                <w:b/>
              </w:rPr>
            </w:pPr>
            <w:r w:rsidRPr="00595546">
              <w:rPr>
                <w:b/>
              </w:rPr>
              <w:t xml:space="preserve">Antal </w:t>
            </w:r>
            <w:proofErr w:type="spellStart"/>
            <w:r w:rsidRPr="00595546">
              <w:rPr>
                <w:b/>
              </w:rPr>
              <w:t>PSU'er</w:t>
            </w:r>
            <w:proofErr w:type="spellEnd"/>
          </w:p>
        </w:tc>
      </w:tr>
      <w:tr w:rsidR="00AD3A5A" w:rsidRPr="00595546" w14:paraId="12EF5158" w14:textId="201E8893" w:rsidTr="00536FAB">
        <w:tc>
          <w:tcPr>
            <w:tcW w:w="2835" w:type="dxa"/>
            <w:hideMark/>
          </w:tcPr>
          <w:p w14:paraId="3C04BD74" w14:textId="69E254C6" w:rsidR="00AD3A5A" w:rsidRPr="00595546" w:rsidRDefault="00936BAD" w:rsidP="00AD3A5A">
            <w:pPr>
              <w:spacing w:after="160" w:line="259" w:lineRule="auto"/>
            </w:pPr>
            <w:bookmarkStart w:id="164" w:name="_Hlk132647361"/>
            <w:r w:rsidRPr="00595546">
              <w:rPr>
                <w:rFonts w:cs="Arial"/>
              </w:rPr>
              <w:t>Göran Peter Nilsson</w:t>
            </w:r>
          </w:p>
        </w:tc>
        <w:tc>
          <w:tcPr>
            <w:tcW w:w="2362" w:type="dxa"/>
            <w:hideMark/>
          </w:tcPr>
          <w:p w14:paraId="1CE4DC97" w14:textId="1CAF0DFB" w:rsidR="00AD3A5A" w:rsidRPr="00595546" w:rsidRDefault="00C50F32" w:rsidP="00AD3A5A">
            <w:pPr>
              <w:spacing w:after="160" w:line="259" w:lineRule="auto"/>
            </w:pPr>
            <w:r w:rsidRPr="00595546">
              <w:t>44.104</w:t>
            </w:r>
          </w:p>
        </w:tc>
        <w:tc>
          <w:tcPr>
            <w:tcW w:w="2362" w:type="dxa"/>
          </w:tcPr>
          <w:p w14:paraId="4E6A3E4D" w14:textId="78BAB624" w:rsidR="00AD3A5A" w:rsidRPr="00595546" w:rsidRDefault="00023A47" w:rsidP="00AD3A5A">
            <w:pPr>
              <w:pStyle w:val="DSBodyTextIndent1"/>
              <w:ind w:left="0"/>
            </w:pPr>
            <w:r w:rsidRPr="00595546">
              <w:rPr>
                <w:rFonts w:cs="Arial"/>
              </w:rPr>
              <w:t>-</w:t>
            </w:r>
          </w:p>
        </w:tc>
        <w:tc>
          <w:tcPr>
            <w:tcW w:w="2362" w:type="dxa"/>
          </w:tcPr>
          <w:p w14:paraId="5CE4F413" w14:textId="29FCF8DD" w:rsidR="00AD3A5A" w:rsidRPr="00595546" w:rsidRDefault="00023A47" w:rsidP="00AD3A5A">
            <w:pPr>
              <w:pStyle w:val="DSBodyTextIndent1"/>
              <w:ind w:left="0"/>
            </w:pPr>
            <w:r w:rsidRPr="00595546">
              <w:t>-</w:t>
            </w:r>
          </w:p>
        </w:tc>
      </w:tr>
      <w:tr w:rsidR="00AD3A5A" w:rsidRPr="00595546" w14:paraId="2FE4B4B5" w14:textId="77777777" w:rsidTr="00536FAB">
        <w:tc>
          <w:tcPr>
            <w:tcW w:w="2835" w:type="dxa"/>
          </w:tcPr>
          <w:p w14:paraId="7F838AE6" w14:textId="4725A1FD" w:rsidR="00AD3A5A" w:rsidRPr="00595546" w:rsidRDefault="00936BAD" w:rsidP="00936BAD">
            <w:pPr>
              <w:spacing w:after="160" w:line="259" w:lineRule="auto"/>
              <w:rPr>
                <w:rFonts w:cs="Arial"/>
              </w:rPr>
            </w:pPr>
            <w:r w:rsidRPr="00595546">
              <w:rPr>
                <w:rFonts w:cs="Arial"/>
              </w:rPr>
              <w:t>Are Dragesund</w:t>
            </w:r>
          </w:p>
        </w:tc>
        <w:tc>
          <w:tcPr>
            <w:tcW w:w="2362" w:type="dxa"/>
          </w:tcPr>
          <w:p w14:paraId="74749B7A" w14:textId="613B1891" w:rsidR="00AD3A5A" w:rsidRPr="00595546" w:rsidRDefault="00023A47" w:rsidP="00AD3A5A">
            <w:pPr>
              <w:pStyle w:val="DSBodyTextIndent1"/>
              <w:ind w:left="0"/>
            </w:pPr>
            <w:r w:rsidRPr="00595546">
              <w:t>-</w:t>
            </w:r>
          </w:p>
        </w:tc>
        <w:tc>
          <w:tcPr>
            <w:tcW w:w="2362" w:type="dxa"/>
          </w:tcPr>
          <w:p w14:paraId="387D9653" w14:textId="470E553E" w:rsidR="00AD3A5A" w:rsidRPr="00595546" w:rsidRDefault="00023A47" w:rsidP="00AD3A5A">
            <w:pPr>
              <w:pStyle w:val="DSBodyTextIndent1"/>
              <w:ind w:left="0"/>
            </w:pPr>
            <w:r w:rsidRPr="00595546">
              <w:t>-</w:t>
            </w:r>
          </w:p>
        </w:tc>
        <w:tc>
          <w:tcPr>
            <w:tcW w:w="2362" w:type="dxa"/>
          </w:tcPr>
          <w:p w14:paraId="44FCC37F" w14:textId="68E3F346" w:rsidR="00AD3A5A" w:rsidRPr="00595546" w:rsidRDefault="00023A47" w:rsidP="00AD3A5A">
            <w:pPr>
              <w:pStyle w:val="DSBodyTextIndent1"/>
              <w:ind w:left="0"/>
            </w:pPr>
            <w:r w:rsidRPr="00595546">
              <w:t>-</w:t>
            </w:r>
          </w:p>
        </w:tc>
      </w:tr>
      <w:tr w:rsidR="00AD3A5A" w:rsidRPr="00595546" w14:paraId="12BB8464" w14:textId="77777777" w:rsidTr="00536FAB">
        <w:tc>
          <w:tcPr>
            <w:tcW w:w="2835" w:type="dxa"/>
          </w:tcPr>
          <w:p w14:paraId="3130DF2D" w14:textId="1179188E" w:rsidR="00AD3A5A" w:rsidRPr="00595546" w:rsidRDefault="00936BAD" w:rsidP="00936BAD">
            <w:pPr>
              <w:spacing w:after="160" w:line="259" w:lineRule="auto"/>
              <w:rPr>
                <w:rFonts w:cs="Arial"/>
              </w:rPr>
            </w:pPr>
            <w:r w:rsidRPr="00595546">
              <w:rPr>
                <w:rFonts w:cs="Arial"/>
              </w:rPr>
              <w:t xml:space="preserve">Ole Kristian </w:t>
            </w:r>
            <w:proofErr w:type="spellStart"/>
            <w:r w:rsidRPr="00595546">
              <w:rPr>
                <w:rFonts w:cs="Arial"/>
              </w:rPr>
              <w:t>Jødahl</w:t>
            </w:r>
            <w:proofErr w:type="spellEnd"/>
          </w:p>
        </w:tc>
        <w:tc>
          <w:tcPr>
            <w:tcW w:w="2362" w:type="dxa"/>
          </w:tcPr>
          <w:p w14:paraId="3AEE8FA6" w14:textId="2CAA0174" w:rsidR="00AD3A5A" w:rsidRPr="00595546" w:rsidRDefault="00C50F32" w:rsidP="00AD3A5A">
            <w:pPr>
              <w:pStyle w:val="DSBodyTextIndent1"/>
              <w:ind w:left="0"/>
            </w:pPr>
            <w:r w:rsidRPr="00595546">
              <w:t>2.082</w:t>
            </w:r>
          </w:p>
        </w:tc>
        <w:tc>
          <w:tcPr>
            <w:tcW w:w="2362" w:type="dxa"/>
          </w:tcPr>
          <w:p w14:paraId="6D09A606" w14:textId="0BE8FF5F" w:rsidR="00AD3A5A" w:rsidRPr="00595546" w:rsidRDefault="00023A47" w:rsidP="00AD3A5A">
            <w:pPr>
              <w:pStyle w:val="DSBodyTextIndent1"/>
              <w:ind w:left="0"/>
            </w:pPr>
            <w:r w:rsidRPr="00595546">
              <w:t>-</w:t>
            </w:r>
          </w:p>
        </w:tc>
        <w:tc>
          <w:tcPr>
            <w:tcW w:w="2362" w:type="dxa"/>
          </w:tcPr>
          <w:p w14:paraId="26332267" w14:textId="0BF8BF17" w:rsidR="00AD3A5A" w:rsidRPr="00595546" w:rsidRDefault="00023A47" w:rsidP="00AD3A5A">
            <w:pPr>
              <w:pStyle w:val="DSBodyTextIndent1"/>
              <w:ind w:left="0"/>
            </w:pPr>
            <w:r w:rsidRPr="00595546">
              <w:t>-</w:t>
            </w:r>
          </w:p>
        </w:tc>
      </w:tr>
      <w:tr w:rsidR="00AD3A5A" w:rsidRPr="00595546" w14:paraId="353EE3A7" w14:textId="77777777" w:rsidTr="00536FAB">
        <w:tc>
          <w:tcPr>
            <w:tcW w:w="2835" w:type="dxa"/>
          </w:tcPr>
          <w:p w14:paraId="3ED2A1EE" w14:textId="6BA74DAB" w:rsidR="00AD3A5A" w:rsidRPr="00595546" w:rsidRDefault="00DC4277" w:rsidP="00DC4277">
            <w:pPr>
              <w:spacing w:after="160" w:line="259" w:lineRule="auto"/>
              <w:rPr>
                <w:rFonts w:cs="Arial"/>
              </w:rPr>
            </w:pPr>
            <w:r w:rsidRPr="00595546">
              <w:rPr>
                <w:rFonts w:cs="Arial"/>
              </w:rPr>
              <w:t xml:space="preserve">Franck </w:t>
            </w:r>
            <w:proofErr w:type="spellStart"/>
            <w:r w:rsidRPr="00595546">
              <w:rPr>
                <w:rFonts w:cs="Arial"/>
              </w:rPr>
              <w:t>Falezan</w:t>
            </w:r>
            <w:proofErr w:type="spellEnd"/>
          </w:p>
        </w:tc>
        <w:tc>
          <w:tcPr>
            <w:tcW w:w="2362" w:type="dxa"/>
          </w:tcPr>
          <w:p w14:paraId="319B0ABE" w14:textId="4A89D67D" w:rsidR="00AD3A5A" w:rsidRPr="00595546" w:rsidRDefault="00023A47" w:rsidP="00AD3A5A">
            <w:pPr>
              <w:pStyle w:val="DSBodyTextIndent1"/>
              <w:ind w:left="0"/>
            </w:pPr>
            <w:r w:rsidRPr="00595546">
              <w:t>-</w:t>
            </w:r>
          </w:p>
        </w:tc>
        <w:tc>
          <w:tcPr>
            <w:tcW w:w="2362" w:type="dxa"/>
          </w:tcPr>
          <w:p w14:paraId="23F7E85A" w14:textId="04999CCF" w:rsidR="00AD3A5A" w:rsidRPr="00595546" w:rsidRDefault="00023A47" w:rsidP="00AD3A5A">
            <w:pPr>
              <w:pStyle w:val="DSBodyTextIndent1"/>
              <w:ind w:left="0"/>
            </w:pPr>
            <w:r w:rsidRPr="00595546">
              <w:t>-</w:t>
            </w:r>
          </w:p>
        </w:tc>
        <w:tc>
          <w:tcPr>
            <w:tcW w:w="2362" w:type="dxa"/>
          </w:tcPr>
          <w:p w14:paraId="7899898D" w14:textId="60C79618" w:rsidR="00AD3A5A" w:rsidRPr="00595546" w:rsidRDefault="00023A47" w:rsidP="00AD3A5A">
            <w:pPr>
              <w:pStyle w:val="DSBodyTextIndent1"/>
              <w:ind w:left="0"/>
            </w:pPr>
            <w:r w:rsidRPr="00595546">
              <w:t>-</w:t>
            </w:r>
          </w:p>
        </w:tc>
      </w:tr>
      <w:tr w:rsidR="00AD3A5A" w:rsidRPr="00595546" w14:paraId="0609CDE8" w14:textId="77777777" w:rsidTr="00536FAB">
        <w:tc>
          <w:tcPr>
            <w:tcW w:w="2835" w:type="dxa"/>
          </w:tcPr>
          <w:p w14:paraId="3B5F571D" w14:textId="69AEC745" w:rsidR="00AD3A5A" w:rsidRPr="00595546" w:rsidRDefault="00536FAB" w:rsidP="00936BAD">
            <w:pPr>
              <w:spacing w:after="160" w:line="259" w:lineRule="auto"/>
              <w:rPr>
                <w:rFonts w:cs="Arial"/>
              </w:rPr>
            </w:pPr>
            <w:r w:rsidRPr="00595546">
              <w:rPr>
                <w:rFonts w:cs="Arial"/>
              </w:rPr>
              <w:t>Viveka Marianne Ekberg</w:t>
            </w:r>
          </w:p>
        </w:tc>
        <w:tc>
          <w:tcPr>
            <w:tcW w:w="2362" w:type="dxa"/>
          </w:tcPr>
          <w:p w14:paraId="539DD8FD" w14:textId="58CFE5DB" w:rsidR="00AD3A5A" w:rsidRPr="00595546" w:rsidRDefault="005733E8" w:rsidP="00AD3A5A">
            <w:pPr>
              <w:pStyle w:val="DSBodyTextIndent1"/>
              <w:ind w:left="0"/>
            </w:pPr>
            <w:r w:rsidRPr="00595546">
              <w:t>9.500</w:t>
            </w:r>
          </w:p>
        </w:tc>
        <w:tc>
          <w:tcPr>
            <w:tcW w:w="2362" w:type="dxa"/>
          </w:tcPr>
          <w:p w14:paraId="699A3980" w14:textId="142154A5" w:rsidR="00AD3A5A" w:rsidRPr="00595546" w:rsidRDefault="00023A47" w:rsidP="00AD3A5A">
            <w:pPr>
              <w:pStyle w:val="DSBodyTextIndent1"/>
              <w:ind w:left="0"/>
            </w:pPr>
            <w:r w:rsidRPr="00595546">
              <w:t>-</w:t>
            </w:r>
          </w:p>
        </w:tc>
        <w:tc>
          <w:tcPr>
            <w:tcW w:w="2362" w:type="dxa"/>
          </w:tcPr>
          <w:p w14:paraId="5C9CCA4D" w14:textId="63D5EE29" w:rsidR="00AD3A5A" w:rsidRPr="00595546" w:rsidRDefault="00023A47" w:rsidP="00AD3A5A">
            <w:pPr>
              <w:pStyle w:val="DSBodyTextIndent1"/>
              <w:ind w:left="0"/>
            </w:pPr>
            <w:r w:rsidRPr="00595546">
              <w:t>-</w:t>
            </w:r>
          </w:p>
        </w:tc>
      </w:tr>
      <w:tr w:rsidR="00AD3A5A" w:rsidRPr="00595546" w14:paraId="70311076" w14:textId="77777777" w:rsidTr="00536FAB">
        <w:tc>
          <w:tcPr>
            <w:tcW w:w="2835" w:type="dxa"/>
          </w:tcPr>
          <w:p w14:paraId="412D0044" w14:textId="1E3FB458" w:rsidR="00AD3A5A" w:rsidRPr="00595546" w:rsidRDefault="00536FAB" w:rsidP="00936BAD">
            <w:pPr>
              <w:spacing w:after="160" w:line="259" w:lineRule="auto"/>
              <w:rPr>
                <w:rFonts w:cs="Arial"/>
              </w:rPr>
            </w:pPr>
            <w:r w:rsidRPr="00595546">
              <w:rPr>
                <w:rFonts w:cs="Arial"/>
              </w:rPr>
              <w:t>Bengt Anders Lennart Thorsson</w:t>
            </w:r>
          </w:p>
        </w:tc>
        <w:tc>
          <w:tcPr>
            <w:tcW w:w="2362" w:type="dxa"/>
          </w:tcPr>
          <w:p w14:paraId="76701960" w14:textId="2AA4BDEE" w:rsidR="00AD3A5A" w:rsidRPr="00595546" w:rsidRDefault="005733E8" w:rsidP="00AD3A5A">
            <w:pPr>
              <w:pStyle w:val="DSBodyTextIndent1"/>
              <w:ind w:left="0"/>
            </w:pPr>
            <w:r w:rsidRPr="00595546">
              <w:t>1.000</w:t>
            </w:r>
          </w:p>
        </w:tc>
        <w:tc>
          <w:tcPr>
            <w:tcW w:w="2362" w:type="dxa"/>
          </w:tcPr>
          <w:p w14:paraId="458A6E90" w14:textId="5DB8EE32" w:rsidR="00AD3A5A" w:rsidRPr="00595546" w:rsidRDefault="00023A47" w:rsidP="00AD3A5A">
            <w:pPr>
              <w:pStyle w:val="DSBodyTextIndent1"/>
              <w:ind w:left="0"/>
            </w:pPr>
            <w:r w:rsidRPr="00595546">
              <w:t>-</w:t>
            </w:r>
          </w:p>
        </w:tc>
        <w:tc>
          <w:tcPr>
            <w:tcW w:w="2362" w:type="dxa"/>
          </w:tcPr>
          <w:p w14:paraId="6AC0595C" w14:textId="211E73C3" w:rsidR="00AD3A5A" w:rsidRPr="00595546" w:rsidRDefault="00023A47" w:rsidP="00AD3A5A">
            <w:pPr>
              <w:pStyle w:val="DSBodyTextIndent1"/>
              <w:ind w:left="0"/>
            </w:pPr>
            <w:r w:rsidRPr="00595546">
              <w:t>-</w:t>
            </w:r>
          </w:p>
        </w:tc>
      </w:tr>
      <w:tr w:rsidR="00AD3A5A" w:rsidRPr="00595546" w14:paraId="4DDFBA04" w14:textId="77777777" w:rsidTr="00536FAB">
        <w:tc>
          <w:tcPr>
            <w:tcW w:w="2835" w:type="dxa"/>
          </w:tcPr>
          <w:p w14:paraId="25516A3E" w14:textId="5F2F95E3" w:rsidR="00AD3A5A" w:rsidRPr="00595546" w:rsidRDefault="00536FAB" w:rsidP="00936BAD">
            <w:pPr>
              <w:spacing w:after="160" w:line="259" w:lineRule="auto"/>
              <w:rPr>
                <w:rFonts w:cs="Arial"/>
              </w:rPr>
            </w:pPr>
            <w:r w:rsidRPr="00595546">
              <w:rPr>
                <w:rFonts w:cs="Arial"/>
              </w:rPr>
              <w:t>Gerner Raj Andersen</w:t>
            </w:r>
          </w:p>
        </w:tc>
        <w:tc>
          <w:tcPr>
            <w:tcW w:w="2362" w:type="dxa"/>
          </w:tcPr>
          <w:p w14:paraId="3F658B3D" w14:textId="1B225641" w:rsidR="00AD3A5A" w:rsidRPr="00595546" w:rsidRDefault="005733E8" w:rsidP="00AD3A5A">
            <w:pPr>
              <w:pStyle w:val="DSBodyTextIndent1"/>
              <w:ind w:left="0"/>
            </w:pPr>
            <w:r w:rsidRPr="00595546">
              <w:t>500</w:t>
            </w:r>
          </w:p>
        </w:tc>
        <w:tc>
          <w:tcPr>
            <w:tcW w:w="2362" w:type="dxa"/>
          </w:tcPr>
          <w:p w14:paraId="359B7E46" w14:textId="1A96CD1B" w:rsidR="00AD3A5A" w:rsidRPr="00595546" w:rsidRDefault="00023A47" w:rsidP="00AD3A5A">
            <w:pPr>
              <w:pStyle w:val="DSBodyTextIndent1"/>
              <w:ind w:left="0"/>
            </w:pPr>
            <w:r w:rsidRPr="00595546">
              <w:t>-</w:t>
            </w:r>
          </w:p>
        </w:tc>
        <w:tc>
          <w:tcPr>
            <w:tcW w:w="2362" w:type="dxa"/>
          </w:tcPr>
          <w:p w14:paraId="2948187A" w14:textId="284BC3A7" w:rsidR="00AD3A5A" w:rsidRPr="00595546" w:rsidRDefault="00023A47" w:rsidP="00AD3A5A">
            <w:pPr>
              <w:pStyle w:val="DSBodyTextIndent1"/>
              <w:ind w:left="0"/>
            </w:pPr>
            <w:r w:rsidRPr="00595546">
              <w:t>-</w:t>
            </w:r>
          </w:p>
        </w:tc>
      </w:tr>
      <w:tr w:rsidR="00AD3A5A" w:rsidRPr="00595546" w14:paraId="374EEA40" w14:textId="77777777" w:rsidTr="00536FAB">
        <w:tc>
          <w:tcPr>
            <w:tcW w:w="2835" w:type="dxa"/>
          </w:tcPr>
          <w:p w14:paraId="1AF0000D" w14:textId="29A271EC" w:rsidR="00AD3A5A" w:rsidRPr="00595546" w:rsidRDefault="00536FAB" w:rsidP="00936BAD">
            <w:pPr>
              <w:spacing w:after="160" w:line="259" w:lineRule="auto"/>
              <w:rPr>
                <w:rFonts w:cs="Arial"/>
              </w:rPr>
            </w:pPr>
            <w:r w:rsidRPr="00595546">
              <w:rPr>
                <w:rFonts w:cs="Arial"/>
              </w:rPr>
              <w:t>Marcus Faber Kappendrup</w:t>
            </w:r>
          </w:p>
        </w:tc>
        <w:tc>
          <w:tcPr>
            <w:tcW w:w="2362" w:type="dxa"/>
          </w:tcPr>
          <w:p w14:paraId="043EA8FA" w14:textId="35C4E050" w:rsidR="00AD3A5A" w:rsidRPr="00595546" w:rsidRDefault="005733E8" w:rsidP="00AD3A5A">
            <w:pPr>
              <w:pStyle w:val="DSBodyTextIndent1"/>
              <w:ind w:left="0"/>
            </w:pPr>
            <w:r w:rsidRPr="00595546">
              <w:t>32</w:t>
            </w:r>
          </w:p>
        </w:tc>
        <w:tc>
          <w:tcPr>
            <w:tcW w:w="2362" w:type="dxa"/>
          </w:tcPr>
          <w:p w14:paraId="72E51F69" w14:textId="26474F97" w:rsidR="00AD3A5A" w:rsidRPr="00595546" w:rsidRDefault="00023A47" w:rsidP="00AD3A5A">
            <w:pPr>
              <w:pStyle w:val="DSBodyTextIndent1"/>
              <w:ind w:left="0"/>
            </w:pPr>
            <w:r w:rsidRPr="00595546">
              <w:t>-</w:t>
            </w:r>
          </w:p>
        </w:tc>
        <w:tc>
          <w:tcPr>
            <w:tcW w:w="2362" w:type="dxa"/>
          </w:tcPr>
          <w:p w14:paraId="5AF2FFDF" w14:textId="7D9D9FE7" w:rsidR="00AD3A5A" w:rsidRPr="00595546" w:rsidRDefault="00023A47" w:rsidP="00AD3A5A">
            <w:pPr>
              <w:pStyle w:val="DSBodyTextIndent1"/>
              <w:ind w:left="0"/>
            </w:pPr>
            <w:r w:rsidRPr="00595546">
              <w:t>-</w:t>
            </w:r>
          </w:p>
        </w:tc>
      </w:tr>
      <w:tr w:rsidR="00AD3A5A" w:rsidRPr="00595546" w14:paraId="6A5E558C" w14:textId="77777777" w:rsidTr="00536FAB">
        <w:tc>
          <w:tcPr>
            <w:tcW w:w="2835" w:type="dxa"/>
          </w:tcPr>
          <w:p w14:paraId="00A10ED6" w14:textId="2CC34522" w:rsidR="00AD3A5A" w:rsidRPr="00595546" w:rsidRDefault="00536FAB" w:rsidP="00536FAB">
            <w:pPr>
              <w:spacing w:after="160" w:line="259" w:lineRule="auto"/>
              <w:rPr>
                <w:rFonts w:cs="Arial"/>
              </w:rPr>
            </w:pPr>
            <w:r w:rsidRPr="00595546">
              <w:rPr>
                <w:rFonts w:cs="Arial"/>
              </w:rPr>
              <w:t>Wannie Kristina Trolle Hansen</w:t>
            </w:r>
          </w:p>
        </w:tc>
        <w:tc>
          <w:tcPr>
            <w:tcW w:w="2362" w:type="dxa"/>
          </w:tcPr>
          <w:p w14:paraId="3DC2D17A" w14:textId="0886E8F9" w:rsidR="00AD3A5A" w:rsidRPr="00595546" w:rsidRDefault="005733E8" w:rsidP="00AD3A5A">
            <w:pPr>
              <w:pStyle w:val="DSBodyTextIndent1"/>
              <w:ind w:left="0"/>
            </w:pPr>
            <w:r w:rsidRPr="00595546">
              <w:t>238</w:t>
            </w:r>
          </w:p>
        </w:tc>
        <w:tc>
          <w:tcPr>
            <w:tcW w:w="2362" w:type="dxa"/>
          </w:tcPr>
          <w:p w14:paraId="75EB15D3" w14:textId="18C511F9" w:rsidR="00AD3A5A" w:rsidRPr="00595546" w:rsidRDefault="00023A47" w:rsidP="00AD3A5A">
            <w:pPr>
              <w:pStyle w:val="DSBodyTextIndent1"/>
              <w:ind w:left="0"/>
            </w:pPr>
            <w:r w:rsidRPr="00595546">
              <w:t>-</w:t>
            </w:r>
          </w:p>
        </w:tc>
        <w:tc>
          <w:tcPr>
            <w:tcW w:w="2362" w:type="dxa"/>
          </w:tcPr>
          <w:p w14:paraId="56B14985" w14:textId="4F06B9C1" w:rsidR="00AD3A5A" w:rsidRPr="00595546" w:rsidRDefault="00DA608F" w:rsidP="00AD3A5A">
            <w:pPr>
              <w:pStyle w:val="DSBodyTextIndent1"/>
              <w:ind w:left="0"/>
            </w:pPr>
            <w:r w:rsidRPr="00595546">
              <w:rPr>
                <w:rFonts w:cs="Arial"/>
              </w:rPr>
              <w:t>2.376</w:t>
            </w:r>
          </w:p>
        </w:tc>
      </w:tr>
      <w:tr w:rsidR="00536FAB" w:rsidRPr="00595546" w14:paraId="0E2CC85F" w14:textId="77777777" w:rsidTr="00536FAB">
        <w:tc>
          <w:tcPr>
            <w:tcW w:w="2835" w:type="dxa"/>
          </w:tcPr>
          <w:p w14:paraId="3B3E6778" w14:textId="4D37004D" w:rsidR="00536FAB" w:rsidRPr="00595546" w:rsidRDefault="00536FAB" w:rsidP="00536FAB">
            <w:pPr>
              <w:spacing w:after="160" w:line="259" w:lineRule="auto"/>
              <w:rPr>
                <w:rFonts w:cs="Arial"/>
              </w:rPr>
            </w:pPr>
            <w:r w:rsidRPr="00595546">
              <w:rPr>
                <w:rFonts w:cs="Arial"/>
              </w:rPr>
              <w:t>Alexander Kjær Rasmussen</w:t>
            </w:r>
          </w:p>
        </w:tc>
        <w:tc>
          <w:tcPr>
            <w:tcW w:w="2362" w:type="dxa"/>
          </w:tcPr>
          <w:p w14:paraId="64143591" w14:textId="2A7E5076" w:rsidR="00536FAB" w:rsidRPr="00595546" w:rsidRDefault="00023A47" w:rsidP="00AD3A5A">
            <w:pPr>
              <w:pStyle w:val="DSBodyTextIndent1"/>
              <w:ind w:left="0"/>
              <w:rPr>
                <w:rFonts w:cs="Arial"/>
              </w:rPr>
            </w:pPr>
            <w:r w:rsidRPr="00595546">
              <w:rPr>
                <w:rFonts w:cs="Arial"/>
              </w:rPr>
              <w:t>-</w:t>
            </w:r>
          </w:p>
        </w:tc>
        <w:tc>
          <w:tcPr>
            <w:tcW w:w="2362" w:type="dxa"/>
          </w:tcPr>
          <w:p w14:paraId="7657E6BF" w14:textId="5B4F472F" w:rsidR="00536FAB" w:rsidRPr="00595546" w:rsidRDefault="00023A47" w:rsidP="00AD3A5A">
            <w:pPr>
              <w:pStyle w:val="DSBodyTextIndent1"/>
              <w:ind w:left="0"/>
              <w:rPr>
                <w:rFonts w:cs="Arial"/>
              </w:rPr>
            </w:pPr>
            <w:r w:rsidRPr="00595546">
              <w:rPr>
                <w:rFonts w:cs="Arial"/>
              </w:rPr>
              <w:t>-</w:t>
            </w:r>
          </w:p>
        </w:tc>
        <w:tc>
          <w:tcPr>
            <w:tcW w:w="2362" w:type="dxa"/>
          </w:tcPr>
          <w:p w14:paraId="253C1CE2" w14:textId="1B24450E" w:rsidR="00536FAB" w:rsidRPr="00595546" w:rsidRDefault="00023A47" w:rsidP="00A44F36">
            <w:pPr>
              <w:pStyle w:val="DSBodyTextIndent1"/>
              <w:ind w:left="0"/>
              <w:rPr>
                <w:rFonts w:cs="Arial"/>
              </w:rPr>
            </w:pPr>
            <w:r w:rsidRPr="00595546">
              <w:rPr>
                <w:rFonts w:cs="Arial"/>
              </w:rPr>
              <w:t>-</w:t>
            </w:r>
          </w:p>
        </w:tc>
      </w:tr>
      <w:bookmarkEnd w:id="163"/>
      <w:bookmarkEnd w:id="164"/>
    </w:tbl>
    <w:p w14:paraId="29F75F6C" w14:textId="4F021C0D" w:rsidR="00C409D1" w:rsidRPr="00595546" w:rsidRDefault="00C409D1" w:rsidP="00C409D1">
      <w:pPr>
        <w:spacing w:after="160" w:line="259" w:lineRule="auto"/>
      </w:pPr>
      <w:r w:rsidRPr="00595546">
        <w:br w:type="page"/>
      </w:r>
    </w:p>
    <w:p w14:paraId="12147287" w14:textId="38C49503" w:rsidR="00C409D1" w:rsidRPr="00595546" w:rsidRDefault="00C409D1" w:rsidP="00C409D1">
      <w:pPr>
        <w:spacing w:after="160" w:line="259" w:lineRule="auto"/>
        <w:rPr>
          <w:b/>
          <w:lang w:bidi="en-GB"/>
        </w:rPr>
      </w:pPr>
      <w:r w:rsidRPr="00595546">
        <w:rPr>
          <w:b/>
        </w:rPr>
        <w:lastRenderedPageBreak/>
        <w:t xml:space="preserve">Bilag 2: </w:t>
      </w:r>
      <w:r w:rsidR="00595546" w:rsidRPr="00595546">
        <w:rPr>
          <w:b/>
        </w:rPr>
        <w:t xml:space="preserve">Aktiebaserede instrumenter </w:t>
      </w:r>
      <w:r w:rsidRPr="00595546">
        <w:rPr>
          <w:b/>
          <w:bCs/>
          <w:lang w:bidi="en-GB"/>
        </w:rPr>
        <w:t xml:space="preserve">ejet af </w:t>
      </w:r>
      <w:r w:rsidR="00595546" w:rsidRPr="00595546">
        <w:rPr>
          <w:b/>
          <w:bCs/>
          <w:lang w:bidi="en-GB"/>
        </w:rPr>
        <w:t>Direktionen</w:t>
      </w:r>
    </w:p>
    <w:p w14:paraId="357A52AD" w14:textId="77777777" w:rsidR="00C409D1" w:rsidRPr="00595546" w:rsidRDefault="00C409D1" w:rsidP="00C409D1">
      <w:pPr>
        <w:spacing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362"/>
        <w:gridCol w:w="2362"/>
        <w:gridCol w:w="2362"/>
      </w:tblGrid>
      <w:tr w:rsidR="003A2A23" w:rsidRPr="00595546" w14:paraId="5C113998" w14:textId="77777777" w:rsidTr="00936BAD">
        <w:tc>
          <w:tcPr>
            <w:tcW w:w="2835" w:type="dxa"/>
            <w:hideMark/>
          </w:tcPr>
          <w:p w14:paraId="15F64FB7" w14:textId="77777777" w:rsidR="003A2A23" w:rsidRPr="00595546" w:rsidRDefault="003A2A23">
            <w:pPr>
              <w:spacing w:after="160" w:line="259" w:lineRule="auto"/>
              <w:rPr>
                <w:b/>
              </w:rPr>
            </w:pPr>
            <w:bookmarkStart w:id="165" w:name="_Hlk134799595"/>
            <w:bookmarkEnd w:id="165"/>
            <w:r w:rsidRPr="00595546">
              <w:rPr>
                <w:b/>
              </w:rPr>
              <w:t>Navn</w:t>
            </w:r>
          </w:p>
        </w:tc>
        <w:tc>
          <w:tcPr>
            <w:tcW w:w="2362" w:type="dxa"/>
            <w:hideMark/>
          </w:tcPr>
          <w:p w14:paraId="255CC9BE" w14:textId="68957438" w:rsidR="003A2A23" w:rsidRPr="00595546" w:rsidRDefault="003A2A23">
            <w:pPr>
              <w:spacing w:after="160" w:line="259" w:lineRule="auto"/>
              <w:rPr>
                <w:b/>
              </w:rPr>
            </w:pPr>
            <w:r w:rsidRPr="00595546">
              <w:rPr>
                <w:b/>
              </w:rPr>
              <w:t xml:space="preserve">Antal </w:t>
            </w:r>
            <w:r w:rsidR="00DB44D5" w:rsidRPr="00595546">
              <w:rPr>
                <w:b/>
              </w:rPr>
              <w:t>Aktier</w:t>
            </w:r>
          </w:p>
        </w:tc>
        <w:tc>
          <w:tcPr>
            <w:tcW w:w="2362" w:type="dxa"/>
          </w:tcPr>
          <w:p w14:paraId="73B44294" w14:textId="48988A45" w:rsidR="003A2A23" w:rsidRPr="00595546" w:rsidRDefault="003A2A23">
            <w:pPr>
              <w:spacing w:after="160" w:line="259" w:lineRule="auto"/>
              <w:rPr>
                <w:b/>
              </w:rPr>
            </w:pPr>
            <w:r w:rsidRPr="00595546">
              <w:rPr>
                <w:b/>
              </w:rPr>
              <w:t xml:space="preserve">Antal </w:t>
            </w:r>
            <w:r w:rsidR="00595546" w:rsidRPr="00595546">
              <w:rPr>
                <w:b/>
              </w:rPr>
              <w:t>Warrants</w:t>
            </w:r>
          </w:p>
        </w:tc>
        <w:tc>
          <w:tcPr>
            <w:tcW w:w="2362" w:type="dxa"/>
          </w:tcPr>
          <w:p w14:paraId="656B2FAF" w14:textId="6987AA88" w:rsidR="003A2A23" w:rsidRPr="00595546" w:rsidRDefault="003A2A23">
            <w:pPr>
              <w:spacing w:after="160" w:line="259" w:lineRule="auto"/>
              <w:rPr>
                <w:b/>
              </w:rPr>
            </w:pPr>
            <w:r w:rsidRPr="00595546">
              <w:rPr>
                <w:b/>
              </w:rPr>
              <w:t xml:space="preserve">Antal </w:t>
            </w:r>
            <w:proofErr w:type="spellStart"/>
            <w:r w:rsidRPr="00595546">
              <w:rPr>
                <w:b/>
              </w:rPr>
              <w:t>PSU'er</w:t>
            </w:r>
            <w:proofErr w:type="spellEnd"/>
          </w:p>
        </w:tc>
      </w:tr>
      <w:tr w:rsidR="007E0A92" w:rsidRPr="00595546" w14:paraId="1DC14543" w14:textId="77777777" w:rsidTr="00936BAD">
        <w:tc>
          <w:tcPr>
            <w:tcW w:w="2835" w:type="dxa"/>
            <w:hideMark/>
          </w:tcPr>
          <w:p w14:paraId="1BDB6113" w14:textId="0D5BD14B" w:rsidR="007E0A92" w:rsidRPr="00595546" w:rsidRDefault="000838D1" w:rsidP="007E0A92">
            <w:pPr>
              <w:spacing w:after="160" w:line="259" w:lineRule="auto"/>
            </w:pPr>
            <w:r w:rsidRPr="00595546">
              <w:rPr>
                <w:rFonts w:cs="Arial"/>
              </w:rPr>
              <w:t xml:space="preserve">Jon Erik Ivar </w:t>
            </w:r>
            <w:proofErr w:type="spellStart"/>
            <w:r w:rsidRPr="00595546">
              <w:rPr>
                <w:rFonts w:cs="Arial"/>
              </w:rPr>
              <w:t>Sintorn</w:t>
            </w:r>
            <w:proofErr w:type="spellEnd"/>
          </w:p>
        </w:tc>
        <w:tc>
          <w:tcPr>
            <w:tcW w:w="2362" w:type="dxa"/>
            <w:hideMark/>
          </w:tcPr>
          <w:p w14:paraId="4A27DC1C" w14:textId="1F6733C7" w:rsidR="007E0A92" w:rsidRPr="00595546" w:rsidRDefault="00162601" w:rsidP="007E0A92">
            <w:pPr>
              <w:spacing w:after="160" w:line="259" w:lineRule="auto"/>
            </w:pPr>
            <w:r w:rsidRPr="00595546">
              <w:t>18.770</w:t>
            </w:r>
          </w:p>
        </w:tc>
        <w:tc>
          <w:tcPr>
            <w:tcW w:w="2362" w:type="dxa"/>
          </w:tcPr>
          <w:p w14:paraId="7633FF93" w14:textId="223977DF" w:rsidR="007E0A92" w:rsidRPr="00595546" w:rsidRDefault="00896327" w:rsidP="007E0A92">
            <w:pPr>
              <w:pStyle w:val="DSBodyTextIndent1"/>
              <w:ind w:left="0"/>
            </w:pPr>
            <w:r w:rsidRPr="00595546">
              <w:t>90.469</w:t>
            </w:r>
          </w:p>
        </w:tc>
        <w:tc>
          <w:tcPr>
            <w:tcW w:w="2362" w:type="dxa"/>
          </w:tcPr>
          <w:p w14:paraId="43E0AFB3" w14:textId="4A50A19F" w:rsidR="007E0A92" w:rsidRPr="00595546" w:rsidRDefault="00154946" w:rsidP="007E0A92">
            <w:pPr>
              <w:pStyle w:val="DSBodyTextIndent1"/>
              <w:ind w:left="0"/>
            </w:pPr>
            <w:r w:rsidRPr="00595546">
              <w:t>67.176</w:t>
            </w:r>
          </w:p>
        </w:tc>
      </w:tr>
      <w:tr w:rsidR="007E0A92" w:rsidRPr="00595546" w14:paraId="77D1EECA" w14:textId="77777777" w:rsidTr="00936BAD">
        <w:tc>
          <w:tcPr>
            <w:tcW w:w="2835" w:type="dxa"/>
          </w:tcPr>
          <w:p w14:paraId="1A8AF003" w14:textId="0F453D0B" w:rsidR="007E0A92" w:rsidRPr="00595546" w:rsidRDefault="00FD075A" w:rsidP="00DC4277">
            <w:pPr>
              <w:spacing w:after="160" w:line="259" w:lineRule="auto"/>
            </w:pPr>
            <w:r w:rsidRPr="00595546">
              <w:rPr>
                <w:rFonts w:cs="Arial"/>
              </w:rPr>
              <w:t>Carl Fredrik Wilhelm Bandhold</w:t>
            </w:r>
          </w:p>
        </w:tc>
        <w:tc>
          <w:tcPr>
            <w:tcW w:w="2362" w:type="dxa"/>
          </w:tcPr>
          <w:p w14:paraId="5F26604E" w14:textId="02AC65B3" w:rsidR="007E0A92" w:rsidRPr="00595546" w:rsidRDefault="00162601" w:rsidP="007E0A92">
            <w:pPr>
              <w:pStyle w:val="DSBodyTextIndent1"/>
              <w:ind w:left="0"/>
            </w:pPr>
            <w:r w:rsidRPr="00595546">
              <w:rPr>
                <w:rFonts w:cs="Arial"/>
              </w:rPr>
              <w:t>14.000</w:t>
            </w:r>
          </w:p>
        </w:tc>
        <w:tc>
          <w:tcPr>
            <w:tcW w:w="2362" w:type="dxa"/>
          </w:tcPr>
          <w:p w14:paraId="5E497989" w14:textId="0E5A8A26" w:rsidR="007E0A92" w:rsidRPr="00595546" w:rsidRDefault="002252B2" w:rsidP="007E0A92">
            <w:pPr>
              <w:pStyle w:val="DSBodyTextIndent1"/>
              <w:ind w:left="0"/>
            </w:pPr>
            <w:r w:rsidRPr="00595546">
              <w:rPr>
                <w:rFonts w:cs="Arial"/>
              </w:rPr>
              <w:t>288.990</w:t>
            </w:r>
          </w:p>
        </w:tc>
        <w:tc>
          <w:tcPr>
            <w:tcW w:w="2362" w:type="dxa"/>
          </w:tcPr>
          <w:p w14:paraId="43C85782" w14:textId="206E0230" w:rsidR="007E0A92" w:rsidRPr="00595546" w:rsidRDefault="00154946" w:rsidP="007E0A92">
            <w:pPr>
              <w:pStyle w:val="DSBodyTextIndent1"/>
              <w:ind w:left="0"/>
            </w:pPr>
            <w:r w:rsidRPr="00595546">
              <w:t>28.891</w:t>
            </w:r>
          </w:p>
        </w:tc>
      </w:tr>
    </w:tbl>
    <w:p w14:paraId="6778B2E6" w14:textId="09BFC3E2" w:rsidR="00C409D1" w:rsidRPr="003B74E0" w:rsidRDefault="00C409D1" w:rsidP="00C409D1">
      <w:pPr>
        <w:spacing w:after="160" w:line="259" w:lineRule="auto"/>
      </w:pPr>
    </w:p>
    <w:sectPr w:rsidR="00C409D1" w:rsidRPr="003B74E0" w:rsidSect="00DE6DB8">
      <w:headerReference w:type="even" r:id="rId12"/>
      <w:headerReference w:type="default" r:id="rId13"/>
      <w:footerReference w:type="even" r:id="rId14"/>
      <w:footerReference w:type="default" r:id="rId15"/>
      <w:headerReference w:type="first" r:id="rId16"/>
      <w:footerReference w:type="first" r:id="rId17"/>
      <w:pgSz w:w="11906" w:h="16838" w:code="9"/>
      <w:pgMar w:top="2552" w:right="851" w:bottom="2211" w:left="1134" w:header="85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AB19" w14:textId="77777777" w:rsidR="00190193" w:rsidRPr="00595546" w:rsidRDefault="00190193" w:rsidP="009E4B94">
      <w:pPr>
        <w:spacing w:line="240" w:lineRule="auto"/>
      </w:pPr>
      <w:r w:rsidRPr="00595546">
        <w:separator/>
      </w:r>
    </w:p>
  </w:endnote>
  <w:endnote w:type="continuationSeparator" w:id="0">
    <w:p w14:paraId="331606A8" w14:textId="77777777" w:rsidR="00190193" w:rsidRPr="00595546" w:rsidRDefault="00190193" w:rsidP="009E4B94">
      <w:pPr>
        <w:spacing w:line="240" w:lineRule="auto"/>
      </w:pPr>
      <w:r w:rsidRPr="005955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4DC2" w14:textId="77777777" w:rsidR="001D1248" w:rsidRDefault="001D1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F2AD" w14:textId="77777777" w:rsidR="001239DE" w:rsidRPr="00595546" w:rsidRDefault="001239DE" w:rsidP="001239DE">
    <w:r w:rsidRPr="00595546">
      <w:rPr>
        <w:noProof/>
        <w:lang w:eastAsia="en-GB"/>
      </w:rPr>
      <mc:AlternateContent>
        <mc:Choice Requires="wps">
          <w:drawing>
            <wp:anchor distT="0" distB="0" distL="114300" distR="114300" simplePos="0" relativeHeight="251658241" behindDoc="0" locked="0" layoutInCell="1" allowOverlap="1" wp14:anchorId="1714A327" wp14:editId="0DC3D109">
              <wp:simplePos x="0" y="0"/>
              <wp:positionH relativeFrom="margin">
                <wp:posOffset>0</wp:posOffset>
              </wp:positionH>
              <wp:positionV relativeFrom="page">
                <wp:posOffset>10025380</wp:posOffset>
              </wp:positionV>
              <wp:extent cx="6300000" cy="658800"/>
              <wp:effectExtent l="0" t="0" r="5715" b="8255"/>
              <wp:wrapNone/>
              <wp:docPr id="4"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dStyle_AutoTableName_49d28c89880647159d66a3c0e94e8e95"/>
                          </w:tblPr>
                          <w:tblGrid>
                            <w:gridCol w:w="6946"/>
                            <w:gridCol w:w="2965"/>
                          </w:tblGrid>
                          <w:tr w:rsidR="009B595A" w:rsidRPr="00595546" w14:paraId="6AC3D263" w14:textId="77777777" w:rsidTr="002F59D1">
                            <w:tc>
                              <w:tcPr>
                                <w:tcW w:w="6946" w:type="dxa"/>
                              </w:tcPr>
                              <w:p w14:paraId="04A29CDB" w14:textId="7DA1DD85" w:rsidR="009B595A" w:rsidRPr="00CD11F8" w:rsidRDefault="009B595A" w:rsidP="002F59D1">
                                <w:pPr>
                                  <w:pStyle w:val="DSFooter1"/>
                                  <w:rPr>
                                    <w:lang w:val="sv-SE"/>
                                  </w:rPr>
                                </w:pPr>
                                <w:bookmarkStart w:id="167" w:name="cbmMatterIDDocumentNumber_2" w:colFirst="0" w:colLast="0"/>
                              </w:p>
                            </w:tc>
                            <w:tc>
                              <w:tcPr>
                                <w:tcW w:w="2965" w:type="dxa"/>
                              </w:tcPr>
                              <w:tbl>
                                <w:tblPr>
                                  <w:tblStyle w:val="DSTableClear"/>
                                  <w:tblW w:w="0" w:type="auto"/>
                                  <w:jc w:val="right"/>
                                  <w:tblLook w:val="04A0" w:firstRow="1" w:lastRow="0" w:firstColumn="1" w:lastColumn="0" w:noHBand="0" w:noVBand="1"/>
                                  <w:tblCaption w:val="dStyle_AutoTableName_cd4235502faa4d369ab37ffbe968cbb8"/>
                                </w:tblPr>
                                <w:tblGrid>
                                  <w:gridCol w:w="293"/>
                                  <w:gridCol w:w="284"/>
                                </w:tblGrid>
                                <w:tr w:rsidR="009B595A" w:rsidRPr="00595546" w14:paraId="37EA7C5B" w14:textId="77777777" w:rsidTr="00C47AA7">
                                  <w:trPr>
                                    <w:jc w:val="right"/>
                                  </w:trPr>
                                  <w:tc>
                                    <w:tcPr>
                                      <w:tcW w:w="0" w:type="auto"/>
                                    </w:tcPr>
                                    <w:p w14:paraId="6D684291" w14:textId="77777777" w:rsidR="009B595A" w:rsidRPr="00595546" w:rsidRDefault="009B595A" w:rsidP="002F59D1">
                                      <w:pPr>
                                        <w:pStyle w:val="DSFooter2"/>
                                      </w:pPr>
                                      <w:bookmarkStart w:id="168" w:name="lblPageNr_2" w:colFirst="0" w:colLast="0"/>
                                      <w:r w:rsidRPr="00595546">
                                        <w:t>Side</w:t>
                                      </w:r>
                                    </w:p>
                                  </w:tc>
                                  <w:tc>
                                    <w:tcPr>
                                      <w:tcW w:w="284" w:type="dxa"/>
                                      <w:hideMark/>
                                    </w:tcPr>
                                    <w:p w14:paraId="53CE99AE" w14:textId="77777777" w:rsidR="009B595A" w:rsidRPr="00595546" w:rsidRDefault="009B595A" w:rsidP="002F59D1">
                                      <w:pPr>
                                        <w:pStyle w:val="DSFooter2"/>
                                        <w:jc w:val="center"/>
                                      </w:pPr>
                                      <w:r w:rsidRPr="00595546">
                                        <w:fldChar w:fldCharType="begin"/>
                                      </w:r>
                                      <w:r w:rsidRPr="00595546">
                                        <w:instrText xml:space="preserve"> PAGE  </w:instrText>
                                      </w:r>
                                      <w:r w:rsidRPr="00595546">
                                        <w:fldChar w:fldCharType="separate"/>
                                      </w:r>
                                      <w:r w:rsidRPr="00595546">
                                        <w:t>8</w:t>
                                      </w:r>
                                      <w:r w:rsidRPr="00595546">
                                        <w:fldChar w:fldCharType="end"/>
                                      </w:r>
                                    </w:p>
                                  </w:tc>
                                </w:tr>
                                <w:bookmarkEnd w:id="168"/>
                              </w:tbl>
                              <w:p w14:paraId="39B18839" w14:textId="77777777" w:rsidR="009B595A" w:rsidRPr="00595546" w:rsidRDefault="009B595A" w:rsidP="002F59D1">
                                <w:pPr>
                                  <w:pStyle w:val="DSFooter2"/>
                                </w:pPr>
                              </w:p>
                            </w:tc>
                          </w:tr>
                          <w:bookmarkEnd w:id="167"/>
                        </w:tbl>
                        <w:p w14:paraId="713B4B00" w14:textId="77777777" w:rsidR="001239DE" w:rsidRPr="00595546" w:rsidRDefault="001239DE" w:rsidP="001239D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4A327" id="_x0000_t202" coordsize="21600,21600" o:spt="202" path="m,l,21600r21600,l21600,xe">
              <v:stroke joinstyle="miter"/>
              <v:path gradientshapeok="t" o:connecttype="rect"/>
            </v:shapetype>
            <v:shape id="Footer info" o:spid="_x0000_s1026" type="#_x0000_t202" style="position:absolute;margin-left:0;margin-top:789.4pt;width:496.05pt;height:51.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" filled="f" stroked="f" strokeweight=".5pt">
              <v:textbox inset="0,0,0,0">
                <w:txbxContent>
                  <w:tbl>
                    <w:tblPr>
                      <w:tblStyle w:val="DSTableClear"/>
                      <w:tblW w:w="0" w:type="auto"/>
                      <w:tblLook w:val="04A0" w:firstRow="1" w:lastRow="0" w:firstColumn="1" w:lastColumn="0" w:noHBand="0" w:noVBand="1"/>
                      <w:tblCaption w:val="dStyle_AutoTableName_49d28c89880647159d66a3c0e94e8e95"/>
                    </w:tblPr>
                    <w:tblGrid>
                      <w:gridCol w:w="6946"/>
                      <w:gridCol w:w="2965"/>
                    </w:tblGrid>
                    <w:tr w:rsidR="009B595A" w:rsidRPr="00595546" w14:paraId="6AC3D263" w14:textId="77777777" w:rsidTr="002F59D1">
                      <w:tc>
                        <w:tcPr>
                          <w:tcW w:w="6946" w:type="dxa"/>
                        </w:tcPr>
                        <w:p w14:paraId="04A29CDB" w14:textId="7DA1DD85" w:rsidR="009B595A" w:rsidRPr="00CD11F8" w:rsidRDefault="009B595A" w:rsidP="002F59D1">
                          <w:pPr>
                            <w:pStyle w:val="DSFooter1"/>
                            <w:rPr>
                              <w:lang w:val="sv-SE"/>
                            </w:rPr>
                          </w:pPr>
                          <w:bookmarkStart w:id="169" w:name="cbmMatterIDDocumentNumber_2" w:colFirst="0" w:colLast="0"/>
                        </w:p>
                      </w:tc>
                      <w:tc>
                        <w:tcPr>
                          <w:tcW w:w="2965" w:type="dxa"/>
                        </w:tcPr>
                        <w:tbl>
                          <w:tblPr>
                            <w:tblStyle w:val="DSTableClear"/>
                            <w:tblW w:w="0" w:type="auto"/>
                            <w:jc w:val="right"/>
                            <w:tblLook w:val="04A0" w:firstRow="1" w:lastRow="0" w:firstColumn="1" w:lastColumn="0" w:noHBand="0" w:noVBand="1"/>
                            <w:tblCaption w:val="dStyle_AutoTableName_cd4235502faa4d369ab37ffbe968cbb8"/>
                          </w:tblPr>
                          <w:tblGrid>
                            <w:gridCol w:w="293"/>
                            <w:gridCol w:w="284"/>
                          </w:tblGrid>
                          <w:tr w:rsidR="009B595A" w:rsidRPr="00595546" w14:paraId="37EA7C5B" w14:textId="77777777" w:rsidTr="00C47AA7">
                            <w:trPr>
                              <w:jc w:val="right"/>
                            </w:trPr>
                            <w:tc>
                              <w:tcPr>
                                <w:tcW w:w="0" w:type="auto"/>
                              </w:tcPr>
                              <w:p w14:paraId="6D684291" w14:textId="77777777" w:rsidR="009B595A" w:rsidRPr="00595546" w:rsidRDefault="009B595A" w:rsidP="002F59D1">
                                <w:pPr>
                                  <w:pStyle w:val="DSFooter2"/>
                                </w:pPr>
                                <w:bookmarkStart w:id="170" w:name="lblPageNr_2" w:colFirst="0" w:colLast="0"/>
                                <w:r w:rsidRPr="00595546">
                                  <w:t>Side</w:t>
                                </w:r>
                              </w:p>
                            </w:tc>
                            <w:tc>
                              <w:tcPr>
                                <w:tcW w:w="284" w:type="dxa"/>
                                <w:hideMark/>
                              </w:tcPr>
                              <w:p w14:paraId="53CE99AE" w14:textId="77777777" w:rsidR="009B595A" w:rsidRPr="00595546" w:rsidRDefault="009B595A" w:rsidP="002F59D1">
                                <w:pPr>
                                  <w:pStyle w:val="DSFooter2"/>
                                  <w:jc w:val="center"/>
                                </w:pPr>
                                <w:r w:rsidRPr="00595546">
                                  <w:fldChar w:fldCharType="begin"/>
                                </w:r>
                                <w:r w:rsidRPr="00595546">
                                  <w:instrText xml:space="preserve"> PAGE  </w:instrText>
                                </w:r>
                                <w:r w:rsidRPr="00595546">
                                  <w:fldChar w:fldCharType="separate"/>
                                </w:r>
                                <w:r w:rsidRPr="00595546">
                                  <w:t>8</w:t>
                                </w:r>
                                <w:r w:rsidRPr="00595546">
                                  <w:fldChar w:fldCharType="end"/>
                                </w:r>
                              </w:p>
                            </w:tc>
                          </w:tr>
                          <w:bookmarkEnd w:id="170"/>
                        </w:tbl>
                        <w:p w14:paraId="39B18839" w14:textId="77777777" w:rsidR="009B595A" w:rsidRPr="00595546" w:rsidRDefault="009B595A" w:rsidP="002F59D1">
                          <w:pPr>
                            <w:pStyle w:val="DSFooter2"/>
                          </w:pPr>
                        </w:p>
                      </w:tc>
                    </w:tr>
                    <w:bookmarkEnd w:id="169"/>
                  </w:tbl>
                  <w:p w14:paraId="713B4B00" w14:textId="77777777" w:rsidR="001239DE" w:rsidRPr="00595546" w:rsidRDefault="001239DE" w:rsidP="001239DE"/>
                </w:txbxContent>
              </v:textbox>
              <w10:wrap anchorx="margin" anchory="page"/>
            </v:shape>
          </w:pict>
        </mc:Fallback>
      </mc:AlternateContent>
    </w:r>
  </w:p>
  <w:p w14:paraId="162F9305" w14:textId="77777777" w:rsidR="00731E14" w:rsidRPr="00595546" w:rsidRDefault="00731E14" w:rsidP="008412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0C45" w14:textId="77777777" w:rsidR="00AF0A5D" w:rsidRPr="00595546" w:rsidRDefault="008412FE" w:rsidP="008412FE">
    <w:r w:rsidRPr="00595546">
      <w:rPr>
        <w:noProof/>
        <w:lang w:eastAsia="en-GB"/>
      </w:rPr>
      <mc:AlternateContent>
        <mc:Choice Requires="wps">
          <w:drawing>
            <wp:anchor distT="0" distB="0" distL="114300" distR="114300" simplePos="0" relativeHeight="251658240" behindDoc="0" locked="0" layoutInCell="1" allowOverlap="1" wp14:anchorId="2E4C17C1" wp14:editId="38382141">
              <wp:simplePos x="0" y="0"/>
              <wp:positionH relativeFrom="margin">
                <wp:posOffset>0</wp:posOffset>
              </wp:positionH>
              <wp:positionV relativeFrom="page">
                <wp:posOffset>10025380</wp:posOffset>
              </wp:positionV>
              <wp:extent cx="6300000" cy="658800"/>
              <wp:effectExtent l="0" t="0" r="5715" b="8255"/>
              <wp:wrapNone/>
              <wp:docPr id="3" name="Footer info"/>
              <wp:cNvGraphicFramePr/>
              <a:graphic xmlns:a="http://schemas.openxmlformats.org/drawingml/2006/main">
                <a:graphicData uri="http://schemas.microsoft.com/office/word/2010/wordprocessingShape">
                  <wps:wsp>
                    <wps:cNvSpPr txBox="1"/>
                    <wps:spPr>
                      <a:xfrm>
                        <a:off x="0" y="0"/>
                        <a:ext cx="6300000"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Caption w:val="Blank_Footer"/>
                          </w:tblPr>
                          <w:tblGrid>
                            <w:gridCol w:w="6946"/>
                            <w:gridCol w:w="2965"/>
                          </w:tblGrid>
                          <w:tr w:rsidR="009B595A" w:rsidRPr="00595546" w14:paraId="05DE02AA" w14:textId="77777777" w:rsidTr="00EE3553">
                            <w:tc>
                              <w:tcPr>
                                <w:tcW w:w="6946" w:type="dxa"/>
                              </w:tcPr>
                              <w:p w14:paraId="0D65D96C" w14:textId="44225E4A" w:rsidR="009B595A" w:rsidRPr="00595546" w:rsidRDefault="009B595A" w:rsidP="00EE3553">
                                <w:pPr>
                                  <w:pStyle w:val="DSFooter1"/>
                                </w:pPr>
                              </w:p>
                            </w:tc>
                            <w:tc>
                              <w:tcPr>
                                <w:tcW w:w="2965" w:type="dxa"/>
                              </w:tcPr>
                              <w:tbl>
                                <w:tblPr>
                                  <w:tblStyle w:val="DSTableClear"/>
                                  <w:tblW w:w="0" w:type="auto"/>
                                  <w:jc w:val="right"/>
                                  <w:tblLook w:val="04A0" w:firstRow="1" w:lastRow="0" w:firstColumn="1" w:lastColumn="0" w:noHBand="0" w:noVBand="1"/>
                                  <w:tblCaption w:val="dStyle_AutoTableName_58e4a7cad2594164bd6892ce2f85a98b"/>
                                </w:tblPr>
                                <w:tblGrid>
                                  <w:gridCol w:w="293"/>
                                  <w:gridCol w:w="284"/>
                                </w:tblGrid>
                                <w:tr w:rsidR="009B595A" w:rsidRPr="00595546" w14:paraId="22CD2D67" w14:textId="77777777" w:rsidTr="00EE3553">
                                  <w:trPr>
                                    <w:jc w:val="right"/>
                                  </w:trPr>
                                  <w:tc>
                                    <w:tcPr>
                                      <w:tcW w:w="0" w:type="auto"/>
                                    </w:tcPr>
                                    <w:p w14:paraId="1752BF81" w14:textId="77777777" w:rsidR="009B595A" w:rsidRPr="00595546" w:rsidRDefault="009B595A" w:rsidP="00EE3553">
                                      <w:pPr>
                                        <w:pStyle w:val="DSFooter2"/>
                                      </w:pPr>
                                      <w:bookmarkStart w:id="171" w:name="lblPageNr" w:colFirst="0" w:colLast="0"/>
                                      <w:r w:rsidRPr="00595546">
                                        <w:t>Side</w:t>
                                      </w:r>
                                    </w:p>
                                  </w:tc>
                                  <w:tc>
                                    <w:tcPr>
                                      <w:tcW w:w="284" w:type="dxa"/>
                                      <w:hideMark/>
                                    </w:tcPr>
                                    <w:p w14:paraId="5C898556" w14:textId="77777777" w:rsidR="009B595A" w:rsidRPr="00595546" w:rsidRDefault="009B595A" w:rsidP="00EE3553">
                                      <w:pPr>
                                        <w:pStyle w:val="DSFooter2"/>
                                        <w:jc w:val="center"/>
                                      </w:pPr>
                                      <w:r w:rsidRPr="00595546">
                                        <w:fldChar w:fldCharType="begin"/>
                                      </w:r>
                                      <w:r w:rsidRPr="00595546">
                                        <w:instrText xml:space="preserve"> PAGE  </w:instrText>
                                      </w:r>
                                      <w:r w:rsidRPr="00595546">
                                        <w:fldChar w:fldCharType="separate"/>
                                      </w:r>
                                      <w:r w:rsidRPr="00595546">
                                        <w:t>1</w:t>
                                      </w:r>
                                      <w:r w:rsidRPr="00595546">
                                        <w:fldChar w:fldCharType="end"/>
                                      </w:r>
                                    </w:p>
                                  </w:tc>
                                </w:tr>
                                <w:bookmarkEnd w:id="171"/>
                              </w:tbl>
                              <w:p w14:paraId="3453973E" w14:textId="77777777" w:rsidR="009B595A" w:rsidRPr="00595546" w:rsidRDefault="009B595A" w:rsidP="00EE3553">
                                <w:pPr>
                                  <w:pStyle w:val="DSFooter2"/>
                                </w:pPr>
                              </w:p>
                            </w:tc>
                          </w:tr>
                        </w:tbl>
                        <w:p w14:paraId="16B801A0" w14:textId="77777777" w:rsidR="008412FE" w:rsidRPr="00595546" w:rsidRDefault="008412FE" w:rsidP="008412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C17C1" id="_x0000_t202" coordsize="21600,21600" o:spt="202" path="m,l,21600r21600,l21600,xe">
              <v:stroke joinstyle="miter"/>
              <v:path gradientshapeok="t" o:connecttype="rect"/>
            </v:shapetype>
            <v:shape id="_x0000_s1027" type="#_x0000_t202" style="position:absolute;margin-left:0;margin-top:789.4pt;width:496.05pt;height:5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" filled="f" stroked="f" strokeweight=".5pt">
              <v:textbox inset="0,0,0,0">
                <w:txbxContent>
                  <w:tbl>
                    <w:tblPr>
                      <w:tblStyle w:val="DSTableClear"/>
                      <w:tblW w:w="0" w:type="auto"/>
                      <w:tblLook w:val="04A0" w:firstRow="1" w:lastRow="0" w:firstColumn="1" w:lastColumn="0" w:noHBand="0" w:noVBand="1"/>
                      <w:tblCaption w:val="Blank_Footer"/>
                    </w:tblPr>
                    <w:tblGrid>
                      <w:gridCol w:w="6946"/>
                      <w:gridCol w:w="2965"/>
                    </w:tblGrid>
                    <w:tr w:rsidR="009B595A" w:rsidRPr="00595546" w14:paraId="05DE02AA" w14:textId="77777777" w:rsidTr="00EE3553">
                      <w:tc>
                        <w:tcPr>
                          <w:tcW w:w="6946" w:type="dxa"/>
                        </w:tcPr>
                        <w:p w14:paraId="0D65D96C" w14:textId="44225E4A" w:rsidR="009B595A" w:rsidRPr="00595546" w:rsidRDefault="009B595A" w:rsidP="00EE3553">
                          <w:pPr>
                            <w:pStyle w:val="DSFooter1"/>
                          </w:pPr>
                        </w:p>
                      </w:tc>
                      <w:tc>
                        <w:tcPr>
                          <w:tcW w:w="2965" w:type="dxa"/>
                        </w:tcPr>
                        <w:tbl>
                          <w:tblPr>
                            <w:tblStyle w:val="DSTableClear"/>
                            <w:tblW w:w="0" w:type="auto"/>
                            <w:jc w:val="right"/>
                            <w:tblLook w:val="04A0" w:firstRow="1" w:lastRow="0" w:firstColumn="1" w:lastColumn="0" w:noHBand="0" w:noVBand="1"/>
                            <w:tblCaption w:val="dStyle_AutoTableName_58e4a7cad2594164bd6892ce2f85a98b"/>
                          </w:tblPr>
                          <w:tblGrid>
                            <w:gridCol w:w="293"/>
                            <w:gridCol w:w="284"/>
                          </w:tblGrid>
                          <w:tr w:rsidR="009B595A" w:rsidRPr="00595546" w14:paraId="22CD2D67" w14:textId="77777777" w:rsidTr="00EE3553">
                            <w:trPr>
                              <w:jc w:val="right"/>
                            </w:trPr>
                            <w:tc>
                              <w:tcPr>
                                <w:tcW w:w="0" w:type="auto"/>
                              </w:tcPr>
                              <w:p w14:paraId="1752BF81" w14:textId="77777777" w:rsidR="009B595A" w:rsidRPr="00595546" w:rsidRDefault="009B595A" w:rsidP="00EE3553">
                                <w:pPr>
                                  <w:pStyle w:val="DSFooter2"/>
                                </w:pPr>
                                <w:bookmarkStart w:id="172" w:name="lblPageNr" w:colFirst="0" w:colLast="0"/>
                                <w:r w:rsidRPr="00595546">
                                  <w:t>Side</w:t>
                                </w:r>
                              </w:p>
                            </w:tc>
                            <w:tc>
                              <w:tcPr>
                                <w:tcW w:w="284" w:type="dxa"/>
                                <w:hideMark/>
                              </w:tcPr>
                              <w:p w14:paraId="5C898556" w14:textId="77777777" w:rsidR="009B595A" w:rsidRPr="00595546" w:rsidRDefault="009B595A" w:rsidP="00EE3553">
                                <w:pPr>
                                  <w:pStyle w:val="DSFooter2"/>
                                  <w:jc w:val="center"/>
                                </w:pPr>
                                <w:r w:rsidRPr="00595546">
                                  <w:fldChar w:fldCharType="begin"/>
                                </w:r>
                                <w:r w:rsidRPr="00595546">
                                  <w:instrText xml:space="preserve"> PAGE  </w:instrText>
                                </w:r>
                                <w:r w:rsidRPr="00595546">
                                  <w:fldChar w:fldCharType="separate"/>
                                </w:r>
                                <w:r w:rsidRPr="00595546">
                                  <w:t>1</w:t>
                                </w:r>
                                <w:r w:rsidRPr="00595546">
                                  <w:fldChar w:fldCharType="end"/>
                                </w:r>
                              </w:p>
                            </w:tc>
                          </w:tr>
                          <w:bookmarkEnd w:id="172"/>
                        </w:tbl>
                        <w:p w14:paraId="3453973E" w14:textId="77777777" w:rsidR="009B595A" w:rsidRPr="00595546" w:rsidRDefault="009B595A" w:rsidP="00EE3553">
                          <w:pPr>
                            <w:pStyle w:val="DSFooter2"/>
                          </w:pPr>
                        </w:p>
                      </w:tc>
                    </w:tr>
                  </w:tbl>
                  <w:p w14:paraId="16B801A0" w14:textId="77777777" w:rsidR="008412FE" w:rsidRPr="00595546" w:rsidRDefault="008412FE" w:rsidP="008412F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6786" w14:textId="77777777" w:rsidR="00190193" w:rsidRPr="00595546" w:rsidRDefault="00190193" w:rsidP="009E4B94">
      <w:pPr>
        <w:spacing w:line="240" w:lineRule="auto"/>
      </w:pPr>
      <w:r w:rsidRPr="00595546">
        <w:separator/>
      </w:r>
    </w:p>
  </w:footnote>
  <w:footnote w:type="continuationSeparator" w:id="0">
    <w:p w14:paraId="5B6481EC" w14:textId="77777777" w:rsidR="00190193" w:rsidRPr="00595546" w:rsidRDefault="00190193" w:rsidP="009E4B94">
      <w:pPr>
        <w:spacing w:line="240" w:lineRule="auto"/>
      </w:pPr>
      <w:r w:rsidRPr="00595546">
        <w:continuationSeparator/>
      </w:r>
    </w:p>
  </w:footnote>
  <w:footnote w:id="1">
    <w:p w14:paraId="7F2CE918" w14:textId="48D5D553" w:rsidR="00C409D1" w:rsidRPr="00595546" w:rsidRDefault="00C409D1" w:rsidP="00C409D1">
      <w:pPr>
        <w:pStyle w:val="FootnoteText"/>
      </w:pPr>
      <w:r w:rsidRPr="00595546">
        <w:rPr>
          <w:rStyle w:val="FootnoteReference"/>
        </w:rPr>
        <w:footnoteRef/>
      </w:r>
      <w:r w:rsidRPr="00595546">
        <w:t xml:space="preserve"> </w:t>
      </w:r>
      <w:r w:rsidR="002471F1">
        <w:t xml:space="preserve">2024 </w:t>
      </w:r>
      <w:r w:rsidRPr="00595546">
        <w:t xml:space="preserve">Årsrapporten findes på </w:t>
      </w:r>
      <w:hyperlink r:id="rId1" w:history="1">
        <w:r w:rsidR="006E6CF2" w:rsidRPr="00595546">
          <w:rPr>
            <w:rStyle w:val="Hyperlink"/>
          </w:rPr>
          <w:t xml:space="preserve">Nilfisk Holding </w:t>
        </w:r>
        <w:r w:rsidR="00F6113D" w:rsidRPr="00595546">
          <w:rPr>
            <w:rStyle w:val="Hyperlink"/>
          </w:rPr>
          <w:t>Årsrapport 2024</w:t>
        </w:r>
      </w:hyperlink>
      <w:r w:rsidRPr="00595546">
        <w:t xml:space="preserve">. </w:t>
      </w:r>
      <w:r w:rsidR="002471F1">
        <w:t xml:space="preserve">2024 </w:t>
      </w:r>
      <w:r w:rsidRPr="00595546">
        <w:t xml:space="preserve">Årsrapporten udgør ikke en del af denne </w:t>
      </w:r>
      <w:r w:rsidR="00DB44D5" w:rsidRPr="00595546">
        <w:t>Redegørelse</w:t>
      </w:r>
      <w:r w:rsidRPr="00595546">
        <w:t xml:space="preserve">, bortset fra det specifikke indhold heri, der er inkluderet i </w:t>
      </w:r>
      <w:r w:rsidR="00DB44D5" w:rsidRPr="00595546">
        <w:t>Redegørelsen</w:t>
      </w:r>
      <w:r w:rsidRPr="00595546">
        <w:t>.</w:t>
      </w:r>
    </w:p>
  </w:footnote>
  <w:footnote w:id="2">
    <w:p w14:paraId="696ECE7A" w14:textId="141C2CC5" w:rsidR="0056608C" w:rsidRPr="00595546" w:rsidRDefault="0056608C">
      <w:pPr>
        <w:pStyle w:val="FootnoteText"/>
      </w:pPr>
      <w:r w:rsidRPr="00595546">
        <w:rPr>
          <w:rStyle w:val="FootnoteReference"/>
        </w:rPr>
        <w:footnoteRef/>
      </w:r>
      <w:r w:rsidRPr="00595546">
        <w:t xml:space="preserve"> Kvartalsrapporten </w:t>
      </w:r>
      <w:r w:rsidR="00457423" w:rsidRPr="00595546">
        <w:t>for 3. kvartal</w:t>
      </w:r>
      <w:r w:rsidRPr="00595546">
        <w:t xml:space="preserve"> 2025 kan findes på </w:t>
      </w:r>
      <w:hyperlink r:id="rId2" w:history="1">
        <w:r w:rsidR="006E6CF2" w:rsidRPr="00595546">
          <w:rPr>
            <w:rStyle w:val="Hyperlink"/>
          </w:rPr>
          <w:t>Nilfisk Holding</w:t>
        </w:r>
      </w:hyperlink>
      <w:r w:rsidRPr="00595546">
        <w:t xml:space="preserve">. </w:t>
      </w:r>
      <w:r w:rsidR="00397DF5" w:rsidRPr="00595546">
        <w:t xml:space="preserve">Kvartalsrapporten </w:t>
      </w:r>
      <w:r w:rsidR="00457423" w:rsidRPr="00595546">
        <w:t>for 3. kvartal</w:t>
      </w:r>
      <w:r w:rsidR="00397DF5" w:rsidRPr="00595546">
        <w:t xml:space="preserve"> 2025 </w:t>
      </w:r>
      <w:r w:rsidRPr="00595546">
        <w:t xml:space="preserve">udgør ikke en del af denne </w:t>
      </w:r>
      <w:r w:rsidR="00DB44D5" w:rsidRPr="00595546">
        <w:t>Redegørelsen</w:t>
      </w:r>
      <w:r w:rsidRPr="00595546">
        <w:t xml:space="preserve">, bortset fra det specifikke indhold heraf, der er inkluderet i </w:t>
      </w:r>
      <w:r w:rsidR="00DB44D5" w:rsidRPr="00595546">
        <w:t>Redegørelsen</w:t>
      </w:r>
      <w:r w:rsidRPr="00595546">
        <w:t>.</w:t>
      </w:r>
    </w:p>
  </w:footnote>
  <w:footnote w:id="3">
    <w:p w14:paraId="4152C7D3" w14:textId="4ED5E1C4" w:rsidR="00C409D1" w:rsidRPr="00595546" w:rsidRDefault="00C409D1" w:rsidP="00C409D1">
      <w:pPr>
        <w:pStyle w:val="FootnoteText"/>
      </w:pPr>
      <w:r w:rsidRPr="00595546">
        <w:rPr>
          <w:rStyle w:val="FootnoteReference"/>
        </w:rPr>
        <w:footnoteRef/>
      </w:r>
      <w:r w:rsidRPr="00595546">
        <w:t xml:space="preserve"> De dele af teksten nedenfor, der stammer fra </w:t>
      </w:r>
      <w:r w:rsidR="00DB44D5" w:rsidRPr="00595546">
        <w:t>Tilbudsdokumentet</w:t>
      </w:r>
      <w:r w:rsidRPr="00595546">
        <w:t xml:space="preserve">, bruger visse termer, der er defineret i </w:t>
      </w:r>
      <w:r w:rsidR="00DB44D5" w:rsidRPr="00595546">
        <w:t>Tilbudsdokumentet</w:t>
      </w:r>
      <w:r w:rsidRPr="00595546">
        <w:t xml:space="preserve">. Der henvises til </w:t>
      </w:r>
      <w:r w:rsidR="00DB44D5" w:rsidRPr="00595546">
        <w:t xml:space="preserve">Tilbudsdokumentet </w:t>
      </w:r>
      <w:r w:rsidRPr="00595546">
        <w:t>for de gældende definitioner af sådanne termer.</w:t>
      </w:r>
    </w:p>
  </w:footnote>
  <w:footnote w:id="4">
    <w:p w14:paraId="32AE7DA1" w14:textId="13AD17E0" w:rsidR="00B030D6" w:rsidRPr="00595546" w:rsidRDefault="00B030D6">
      <w:pPr>
        <w:pStyle w:val="FootnoteText"/>
      </w:pPr>
      <w:r w:rsidRPr="00595546">
        <w:rPr>
          <w:rStyle w:val="FootnoteReference"/>
        </w:rPr>
        <w:footnoteRef/>
      </w:r>
      <w:r w:rsidRPr="00595546">
        <w:t xml:space="preserve"> Anbefalingerne om god selskabsledelse kan findes her: </w:t>
      </w:r>
      <w:hyperlink r:id="rId3" w:history="1">
        <w:r w:rsidR="00182B49" w:rsidRPr="00595546">
          <w:rPr>
            <w:rStyle w:val="Hyperlink"/>
          </w:rPr>
          <w:t>Anbefalinger for god Selskabsledelse | Corporate Governance</w:t>
        </w:r>
      </w:hyperlink>
    </w:p>
  </w:footnote>
  <w:footnote w:id="5">
    <w:p w14:paraId="1FC8C3B8" w14:textId="41B4B6C3" w:rsidR="00C409D1" w:rsidRPr="00595546" w:rsidRDefault="00C409D1" w:rsidP="00C409D1">
      <w:pPr>
        <w:pStyle w:val="FootnoteText"/>
      </w:pPr>
      <w:r w:rsidRPr="00595546">
        <w:rPr>
          <w:rStyle w:val="FootnoteReference"/>
        </w:rPr>
        <w:footnoteRef/>
      </w:r>
      <w:r w:rsidRPr="00595546">
        <w:t xml:space="preserve"> Se § 70ff i </w:t>
      </w:r>
      <w:r w:rsidR="00901049">
        <w:t>S</w:t>
      </w:r>
      <w:r w:rsidRPr="00595546">
        <w:t>elskabsloven</w:t>
      </w:r>
      <w:r w:rsidR="00633856" w:rsidRPr="00595546">
        <w:t xml:space="preserve">. </w:t>
      </w:r>
    </w:p>
  </w:footnote>
  <w:footnote w:id="6">
    <w:p w14:paraId="02845EB6" w14:textId="7E020E9A" w:rsidR="00292C28" w:rsidRPr="00595546" w:rsidRDefault="00292C28" w:rsidP="00292C28">
      <w:pPr>
        <w:pStyle w:val="FootnoteText"/>
      </w:pPr>
      <w:r w:rsidRPr="00595546">
        <w:rPr>
          <w:rStyle w:val="FootnoteReference"/>
        </w:rPr>
        <w:footnoteRef/>
      </w:r>
      <w:r w:rsidRPr="00595546">
        <w:t xml:space="preserve"> Se § 131 i </w:t>
      </w:r>
      <w:r w:rsidR="00EE7736">
        <w:t>S</w:t>
      </w:r>
      <w:r w:rsidRPr="00595546">
        <w:t>elskabslov</w:t>
      </w:r>
      <w:r w:rsidR="00EE7736">
        <w:t>en</w:t>
      </w:r>
      <w:r w:rsidRPr="00595546">
        <w:t>.</w:t>
      </w:r>
    </w:p>
  </w:footnote>
  <w:footnote w:id="7">
    <w:p w14:paraId="2B3218DA" w14:textId="2D8C4294" w:rsidR="00292C28" w:rsidRPr="00C0302B" w:rsidRDefault="00292C28" w:rsidP="00292C28">
      <w:pPr>
        <w:pStyle w:val="FootnoteText"/>
      </w:pPr>
      <w:r w:rsidRPr="00595546">
        <w:rPr>
          <w:rStyle w:val="FootnoteReference"/>
        </w:rPr>
        <w:footnoteRef/>
      </w:r>
      <w:r w:rsidRPr="00595546">
        <w:t xml:space="preserve"> Se § 108 og § 127 i </w:t>
      </w:r>
      <w:r w:rsidR="00EE7736">
        <w:t>S</w:t>
      </w:r>
      <w:r w:rsidRPr="00595546">
        <w:t>elskabslov</w:t>
      </w:r>
      <w:r w:rsidR="00EE7736">
        <w:t>en</w:t>
      </w:r>
      <w:r w:rsidRPr="005955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B160" w14:textId="77777777" w:rsidR="001D1248" w:rsidRDefault="001D1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Caption w:val="dStyle_AutoTableName_f05494f0a636406a92125781dc9a6641"/>
    </w:tblPr>
    <w:tblGrid>
      <w:gridCol w:w="11907"/>
    </w:tblGrid>
    <w:tr w:rsidR="009B595A" w:rsidRPr="00595546" w14:paraId="152842B1" w14:textId="77777777">
      <w:tc>
        <w:tcPr>
          <w:tcW w:w="12250" w:type="dxa"/>
        </w:tcPr>
        <w:p w14:paraId="7ACFE8F0" w14:textId="5799BD19" w:rsidR="009B595A" w:rsidRPr="00595546" w:rsidRDefault="009B595A" w:rsidP="00731E14">
          <w:pPr>
            <w:rPr>
              <w:color w:val="A0A08D" w:themeColor="accent4"/>
            </w:rPr>
          </w:pPr>
          <w:bookmarkStart w:id="166" w:name="bmBULocation_logo_header_otherpage" w:colFirst="0" w:colLast="0"/>
        </w:p>
      </w:tc>
    </w:tr>
  </w:tbl>
  <w:bookmarkEnd w:id="166"/>
  <w:p w14:paraId="37E8D2AA" w14:textId="4023C7DF" w:rsidR="006C4CB3" w:rsidRPr="00595546" w:rsidRDefault="00C0314B" w:rsidP="00731E14">
    <w:r>
      <w:rPr>
        <w:noProof/>
      </w:rPr>
      <w:drawing>
        <wp:anchor distT="0" distB="0" distL="114300" distR="114300" simplePos="0" relativeHeight="251658243" behindDoc="0" locked="0" layoutInCell="1" allowOverlap="1" wp14:anchorId="699BA154" wp14:editId="5A35FDB4">
          <wp:simplePos x="0" y="0"/>
          <wp:positionH relativeFrom="margin">
            <wp:posOffset>4362726</wp:posOffset>
          </wp:positionH>
          <wp:positionV relativeFrom="margin">
            <wp:posOffset>-1220801</wp:posOffset>
          </wp:positionV>
          <wp:extent cx="1895475" cy="727075"/>
          <wp:effectExtent l="0" t="0" r="9525" b="0"/>
          <wp:wrapSquare wrapText="bothSides"/>
          <wp:docPr id="608413238" name="Picture 60841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54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pPr w:vertAnchor="page" w:horzAnchor="page" w:tblpYSpec="top"/>
      <w:tblOverlap w:val="never"/>
      <w:tblW w:w="11907" w:type="dxa"/>
      <w:tblLook w:val="04A0" w:firstRow="1" w:lastRow="0" w:firstColumn="1" w:lastColumn="0" w:noHBand="0" w:noVBand="1"/>
      <w:tblCaption w:val="dStyle_AutoTableName_43eabb4469374ac2b58eb80c6b1824b8"/>
    </w:tblPr>
    <w:tblGrid>
      <w:gridCol w:w="11907"/>
    </w:tblGrid>
    <w:tr w:rsidR="009B595A" w:rsidRPr="00595546" w14:paraId="61D62725" w14:textId="77777777" w:rsidTr="00C0314B">
      <w:tc>
        <w:tcPr>
          <w:tcW w:w="11907" w:type="dxa"/>
        </w:tcPr>
        <w:p w14:paraId="67B9E6BF" w14:textId="16EE860F" w:rsidR="009B595A" w:rsidRPr="00595546" w:rsidRDefault="009B595A" w:rsidP="00A85038">
          <w:pPr>
            <w:rPr>
              <w:color w:val="A0A08D" w:themeColor="accent4"/>
            </w:rPr>
          </w:pPr>
        </w:p>
      </w:tc>
    </w:tr>
  </w:tbl>
  <w:p w14:paraId="7C95141E" w14:textId="1E6C69CE" w:rsidR="003F58FF" w:rsidRPr="00595546" w:rsidRDefault="00C0314B" w:rsidP="00093771">
    <w:r>
      <w:rPr>
        <w:noProof/>
      </w:rPr>
      <w:drawing>
        <wp:anchor distT="0" distB="0" distL="114300" distR="114300" simplePos="0" relativeHeight="251658242" behindDoc="0" locked="0" layoutInCell="1" allowOverlap="1" wp14:anchorId="0946F7C1" wp14:editId="5CD3A491">
          <wp:simplePos x="0" y="0"/>
          <wp:positionH relativeFrom="margin">
            <wp:posOffset>4394835</wp:posOffset>
          </wp:positionH>
          <wp:positionV relativeFrom="margin">
            <wp:posOffset>-1227125</wp:posOffset>
          </wp:positionV>
          <wp:extent cx="1895475" cy="727075"/>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54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F8A01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EF8FF9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7FACE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4"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5" w15:restartNumberingAfterBreak="0">
    <w:nsid w:val="06940D72"/>
    <w:multiLevelType w:val="hybridMultilevel"/>
    <w:tmpl w:val="EED4E79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96774A2"/>
    <w:multiLevelType w:val="hybridMultilevel"/>
    <w:tmpl w:val="5D2E336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12FE480D"/>
    <w:multiLevelType w:val="hybridMultilevel"/>
    <w:tmpl w:val="D07841E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152430C8"/>
    <w:multiLevelType w:val="hybridMultilevel"/>
    <w:tmpl w:val="5CBE7B68"/>
    <w:lvl w:ilvl="0" w:tplc="0406001B">
      <w:start w:val="1"/>
      <w:numFmt w:val="lowerRoman"/>
      <w:lvlText w:val="%1."/>
      <w:lvlJc w:val="righ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9" w15:restartNumberingAfterBreak="0">
    <w:nsid w:val="16283D32"/>
    <w:multiLevelType w:val="multilevel"/>
    <w:tmpl w:val="EA4E3D62"/>
    <w:lvl w:ilvl="0">
      <w:start w:val="1"/>
      <w:numFmt w:val="bullet"/>
      <w:lvlText w:val=""/>
      <w:lvlJc w:val="left"/>
      <w:pPr>
        <w:ind w:left="1191" w:hanging="340"/>
      </w:pPr>
      <w:rPr>
        <w:rFonts w:ascii="Symbol" w:hAnsi="Symbol" w:hint="default"/>
        <w:color w:val="auto"/>
      </w:rPr>
    </w:lvl>
    <w:lvl w:ilvl="1">
      <w:start w:val="1"/>
      <w:numFmt w:val="bullet"/>
      <w:pStyle w:val="ListBullet2"/>
      <w:lvlText w:val=""/>
      <w:lvlJc w:val="left"/>
      <w:pPr>
        <w:ind w:left="1531" w:hanging="340"/>
      </w:pPr>
      <w:rPr>
        <w:rFonts w:ascii="Symbol" w:hAnsi="Symbol" w:hint="default"/>
        <w:color w:val="auto"/>
      </w:rPr>
    </w:lvl>
    <w:lvl w:ilvl="2">
      <w:start w:val="1"/>
      <w:numFmt w:val="bullet"/>
      <w:pStyle w:val="ListBullet3"/>
      <w:lvlText w:val=""/>
      <w:lvlJc w:val="left"/>
      <w:pPr>
        <w:ind w:left="1871" w:hanging="340"/>
      </w:pPr>
      <w:rPr>
        <w:rFonts w:ascii="Symbol" w:hAnsi="Symbol" w:hint="default"/>
        <w:color w:val="auto"/>
      </w:rPr>
    </w:lvl>
    <w:lvl w:ilvl="3">
      <w:start w:val="1"/>
      <w:numFmt w:val="bullet"/>
      <w:pStyle w:val="ListBullet4"/>
      <w:lvlText w:val=""/>
      <w:lvlJc w:val="left"/>
      <w:pPr>
        <w:ind w:left="2211" w:hanging="340"/>
      </w:pPr>
      <w:rPr>
        <w:rFonts w:ascii="Symbol" w:hAnsi="Symbol" w:hint="default"/>
        <w:color w:val="auto"/>
      </w:rPr>
    </w:lvl>
    <w:lvl w:ilvl="4">
      <w:start w:val="1"/>
      <w:numFmt w:val="bullet"/>
      <w:pStyle w:val="ListBullet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10"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11" w15:restartNumberingAfterBreak="0">
    <w:nsid w:val="1A611E65"/>
    <w:multiLevelType w:val="hybridMultilevel"/>
    <w:tmpl w:val="AF3AB8D0"/>
    <w:lvl w:ilvl="0" w:tplc="BEBA9B06">
      <w:start w:val="1"/>
      <w:numFmt w:val="upperLetter"/>
      <w:lvlText w:val="(%1)"/>
      <w:lvlJc w:val="left"/>
      <w:pPr>
        <w:ind w:left="927" w:hanging="360"/>
      </w:pPr>
      <w:rPr>
        <w:rFonts w:hint="default"/>
      </w:rPr>
    </w:lvl>
    <w:lvl w:ilvl="1" w:tplc="D4B236B0">
      <w:start w:val="1"/>
      <w:numFmt w:val="lowerLetter"/>
      <w:lvlText w:val="%2."/>
      <w:lvlJc w:val="left"/>
      <w:pPr>
        <w:ind w:left="2149" w:hanging="360"/>
      </w:pPr>
    </w:lvl>
    <w:lvl w:ilvl="2" w:tplc="741A9EA4" w:tentative="1">
      <w:start w:val="1"/>
      <w:numFmt w:val="lowerRoman"/>
      <w:lvlText w:val="%3."/>
      <w:lvlJc w:val="right"/>
      <w:pPr>
        <w:ind w:left="2869" w:hanging="180"/>
      </w:pPr>
    </w:lvl>
    <w:lvl w:ilvl="3" w:tplc="77904CD2" w:tentative="1">
      <w:start w:val="1"/>
      <w:numFmt w:val="decimal"/>
      <w:lvlText w:val="%4."/>
      <w:lvlJc w:val="left"/>
      <w:pPr>
        <w:ind w:left="3589" w:hanging="360"/>
      </w:pPr>
    </w:lvl>
    <w:lvl w:ilvl="4" w:tplc="70A4ABF0" w:tentative="1">
      <w:start w:val="1"/>
      <w:numFmt w:val="lowerLetter"/>
      <w:lvlText w:val="%5."/>
      <w:lvlJc w:val="left"/>
      <w:pPr>
        <w:ind w:left="4309" w:hanging="360"/>
      </w:pPr>
    </w:lvl>
    <w:lvl w:ilvl="5" w:tplc="A34AFD06">
      <w:start w:val="1"/>
      <w:numFmt w:val="lowerRoman"/>
      <w:lvlText w:val="%6."/>
      <w:lvlJc w:val="right"/>
      <w:pPr>
        <w:ind w:left="5029" w:hanging="180"/>
      </w:pPr>
    </w:lvl>
    <w:lvl w:ilvl="6" w:tplc="5838D79C" w:tentative="1">
      <w:start w:val="1"/>
      <w:numFmt w:val="decimal"/>
      <w:lvlText w:val="%7."/>
      <w:lvlJc w:val="left"/>
      <w:pPr>
        <w:ind w:left="5749" w:hanging="360"/>
      </w:pPr>
    </w:lvl>
    <w:lvl w:ilvl="7" w:tplc="2618B0BC" w:tentative="1">
      <w:start w:val="1"/>
      <w:numFmt w:val="lowerLetter"/>
      <w:lvlText w:val="%8."/>
      <w:lvlJc w:val="left"/>
      <w:pPr>
        <w:ind w:left="6469" w:hanging="360"/>
      </w:pPr>
    </w:lvl>
    <w:lvl w:ilvl="8" w:tplc="9AFA0BB6" w:tentative="1">
      <w:start w:val="1"/>
      <w:numFmt w:val="lowerRoman"/>
      <w:lvlText w:val="%9."/>
      <w:lvlJc w:val="right"/>
      <w:pPr>
        <w:ind w:left="7189" w:hanging="180"/>
      </w:pPr>
    </w:lvl>
  </w:abstractNum>
  <w:abstractNum w:abstractNumId="12" w15:restartNumberingAfterBreak="0">
    <w:nsid w:val="1A723586"/>
    <w:multiLevelType w:val="multilevel"/>
    <w:tmpl w:val="2F1CB404"/>
    <w:styleLink w:val="ListLanguageList1"/>
    <w:lvl w:ilvl="0">
      <w:start w:val="1"/>
      <w:numFmt w:val="decimal"/>
      <w:pStyle w:val="DSLanguageList1"/>
      <w:suff w:val="space"/>
      <w:lvlText w:val="Schedule %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D9C1ED6"/>
    <w:multiLevelType w:val="multilevel"/>
    <w:tmpl w:val="9A180608"/>
    <w:styleLink w:val="ListLanguageList2"/>
    <w:lvl w:ilvl="0">
      <w:start w:val="1"/>
      <w:numFmt w:val="none"/>
      <w:pStyle w:val="DSLanguageList2"/>
      <w:suff w:val="space"/>
      <w:lvlText w:val="Production"/>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5"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6"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7" w15:restartNumberingAfterBreak="0">
    <w:nsid w:val="294E4103"/>
    <w:multiLevelType w:val="multilevel"/>
    <w:tmpl w:val="017409AE"/>
    <w:name w:val="List_Bullet_2_Indent"/>
    <w:styleLink w:val="ListBullet2Indent"/>
    <w:lvl w:ilvl="0">
      <w:start w:val="1"/>
      <w:numFmt w:val="bullet"/>
      <w:lvlText w:val=""/>
      <w:lvlJc w:val="left"/>
      <w:pPr>
        <w:tabs>
          <w:tab w:val="num" w:pos="1701"/>
        </w:tabs>
        <w:ind w:left="1701" w:hanging="850"/>
      </w:pPr>
      <w:rPr>
        <w:rFonts w:ascii="Symbol" w:hAnsi="Symbol" w:hint="default"/>
        <w:color w:val="003C46" w:themeColor="accent1"/>
      </w:rPr>
    </w:lvl>
    <w:lvl w:ilvl="1">
      <w:start w:val="1"/>
      <w:numFmt w:val="bullet"/>
      <w:lvlText w:val=""/>
      <w:lvlJc w:val="left"/>
      <w:pPr>
        <w:tabs>
          <w:tab w:val="num" w:pos="2552"/>
        </w:tabs>
        <w:ind w:left="2552" w:hanging="850"/>
      </w:pPr>
      <w:rPr>
        <w:rFonts w:ascii="Symbol" w:hAnsi="Symbol" w:hint="default"/>
        <w:color w:val="003C46" w:themeColor="accent1"/>
      </w:rPr>
    </w:lvl>
    <w:lvl w:ilvl="2">
      <w:start w:val="1"/>
      <w:numFmt w:val="bullet"/>
      <w:lvlText w:val=""/>
      <w:lvlJc w:val="left"/>
      <w:pPr>
        <w:tabs>
          <w:tab w:val="num" w:pos="3403"/>
        </w:tabs>
        <w:ind w:left="3403" w:hanging="850"/>
      </w:pPr>
      <w:rPr>
        <w:rFonts w:ascii="Wingdings" w:hAnsi="Wingdings" w:hint="default"/>
        <w:color w:val="003C46"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8"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9" w15:restartNumberingAfterBreak="0">
    <w:nsid w:val="2CCC56FE"/>
    <w:multiLevelType w:val="hybridMultilevel"/>
    <w:tmpl w:val="52C60C1E"/>
    <w:lvl w:ilvl="0" w:tplc="16BEE78A">
      <w:start w:val="1"/>
      <w:numFmt w:val="lowerRoman"/>
      <w:lvlText w:val="(%1)"/>
      <w:lvlJc w:val="left"/>
      <w:pPr>
        <w:ind w:left="1571" w:hanging="360"/>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0" w15:restartNumberingAfterBreak="0">
    <w:nsid w:val="2CCE1C68"/>
    <w:multiLevelType w:val="hybridMultilevel"/>
    <w:tmpl w:val="E8F6CF3A"/>
    <w:lvl w:ilvl="0" w:tplc="04060015">
      <w:start w:val="1"/>
      <w:numFmt w:val="upperLetter"/>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1"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7356FE"/>
    <w:multiLevelType w:val="hybridMultilevel"/>
    <w:tmpl w:val="4E522574"/>
    <w:lvl w:ilvl="0" w:tplc="0406001B">
      <w:start w:val="1"/>
      <w:numFmt w:val="lowerRoman"/>
      <w:lvlText w:val="%1."/>
      <w:lvlJc w:val="right"/>
      <w:pPr>
        <w:ind w:left="1571" w:hanging="360"/>
      </w:pPr>
    </w:lvl>
    <w:lvl w:ilvl="1" w:tplc="04060019">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3" w15:restartNumberingAfterBreak="0">
    <w:nsid w:val="38B7103D"/>
    <w:multiLevelType w:val="hybridMultilevel"/>
    <w:tmpl w:val="5CE4FA92"/>
    <w:lvl w:ilvl="0" w:tplc="FFFFFFFF">
      <w:start w:val="1"/>
      <w:numFmt w:val="upperLetter"/>
      <w:lvlText w:val="(%1)"/>
      <w:lvlJc w:val="left"/>
      <w:pPr>
        <w:ind w:left="1182" w:hanging="360"/>
      </w:pPr>
      <w:rPr>
        <w:rFonts w:hint="default"/>
      </w:rPr>
    </w:lvl>
    <w:lvl w:ilvl="1" w:tplc="FFFFFFFF">
      <w:start w:val="1"/>
      <w:numFmt w:val="decimal"/>
      <w:lvlText w:val="%2."/>
      <w:lvlJc w:val="left"/>
      <w:pPr>
        <w:ind w:left="1902" w:hanging="360"/>
      </w:pPr>
    </w:lvl>
    <w:lvl w:ilvl="2" w:tplc="FFFFFFFF" w:tentative="1">
      <w:start w:val="1"/>
      <w:numFmt w:val="lowerRoman"/>
      <w:lvlText w:val="%3."/>
      <w:lvlJc w:val="right"/>
      <w:pPr>
        <w:ind w:left="2622" w:hanging="180"/>
      </w:pPr>
    </w:lvl>
    <w:lvl w:ilvl="3" w:tplc="FFFFFFFF" w:tentative="1">
      <w:start w:val="1"/>
      <w:numFmt w:val="decimal"/>
      <w:lvlText w:val="%4."/>
      <w:lvlJc w:val="left"/>
      <w:pPr>
        <w:ind w:left="3342" w:hanging="360"/>
      </w:pPr>
    </w:lvl>
    <w:lvl w:ilvl="4" w:tplc="FFFFFFFF" w:tentative="1">
      <w:start w:val="1"/>
      <w:numFmt w:val="lowerLetter"/>
      <w:lvlText w:val="%5."/>
      <w:lvlJc w:val="left"/>
      <w:pPr>
        <w:ind w:left="4062" w:hanging="360"/>
      </w:pPr>
    </w:lvl>
    <w:lvl w:ilvl="5" w:tplc="FFFFFFFF" w:tentative="1">
      <w:start w:val="1"/>
      <w:numFmt w:val="lowerRoman"/>
      <w:lvlText w:val="%6."/>
      <w:lvlJc w:val="right"/>
      <w:pPr>
        <w:ind w:left="4782" w:hanging="180"/>
      </w:pPr>
    </w:lvl>
    <w:lvl w:ilvl="6" w:tplc="FFFFFFFF" w:tentative="1">
      <w:start w:val="1"/>
      <w:numFmt w:val="decimal"/>
      <w:lvlText w:val="%7."/>
      <w:lvlJc w:val="left"/>
      <w:pPr>
        <w:ind w:left="5502" w:hanging="360"/>
      </w:pPr>
    </w:lvl>
    <w:lvl w:ilvl="7" w:tplc="FFFFFFFF" w:tentative="1">
      <w:start w:val="1"/>
      <w:numFmt w:val="lowerLetter"/>
      <w:lvlText w:val="%8."/>
      <w:lvlJc w:val="left"/>
      <w:pPr>
        <w:ind w:left="6222" w:hanging="360"/>
      </w:pPr>
    </w:lvl>
    <w:lvl w:ilvl="8" w:tplc="FFFFFFFF" w:tentative="1">
      <w:start w:val="1"/>
      <w:numFmt w:val="lowerRoman"/>
      <w:lvlText w:val="%9."/>
      <w:lvlJc w:val="right"/>
      <w:pPr>
        <w:ind w:left="6942" w:hanging="180"/>
      </w:pPr>
    </w:lvl>
  </w:abstractNum>
  <w:abstractNum w:abstractNumId="24"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27" w15:restartNumberingAfterBreak="0">
    <w:nsid w:val="49C54687"/>
    <w:multiLevelType w:val="multilevel"/>
    <w:tmpl w:val="17022B1E"/>
    <w:lvl w:ilvl="0">
      <w:start w:val="1"/>
      <w:numFmt w:val="decimal"/>
      <w:pStyle w:val="DSBodyTextNumbered1"/>
      <w:lvlText w:val="%1"/>
      <w:lvlJc w:val="left"/>
      <w:pPr>
        <w:tabs>
          <w:tab w:val="num" w:pos="709"/>
        </w:tabs>
        <w:ind w:left="709" w:hanging="709"/>
      </w:pPr>
      <w:rPr>
        <w:rFonts w:hint="default"/>
      </w:rPr>
    </w:lvl>
    <w:lvl w:ilvl="1">
      <w:start w:val="1"/>
      <w:numFmt w:val="decimal"/>
      <w:pStyle w:val="DSBodyTextNumbered2"/>
      <w:lvlText w:val="%2.%1"/>
      <w:lvlJc w:val="left"/>
      <w:pPr>
        <w:tabs>
          <w:tab w:val="num" w:pos="709"/>
        </w:tabs>
        <w:ind w:left="709" w:hanging="709"/>
      </w:pPr>
      <w:rPr>
        <w:rFonts w:hint="default"/>
      </w:rPr>
    </w:lvl>
    <w:lvl w:ilvl="2">
      <w:start w:val="1"/>
      <w:numFmt w:val="decimal"/>
      <w:pStyle w:val="DSBodyTextNumbered3"/>
      <w:lvlText w:val="%1.%2.%3"/>
      <w:lvlJc w:val="left"/>
      <w:pPr>
        <w:tabs>
          <w:tab w:val="num" w:pos="709"/>
        </w:tabs>
        <w:ind w:left="709" w:hanging="709"/>
      </w:pPr>
      <w:rPr>
        <w:rFonts w:hint="default"/>
      </w:rPr>
    </w:lvl>
    <w:lvl w:ilvl="3">
      <w:start w:val="1"/>
      <w:numFmt w:val="decimal"/>
      <w:pStyle w:val="DSBodyTextNumbered4"/>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28" w15:restartNumberingAfterBreak="0">
    <w:nsid w:val="4DC721E6"/>
    <w:multiLevelType w:val="hybridMultilevel"/>
    <w:tmpl w:val="93A83FC6"/>
    <w:lvl w:ilvl="0" w:tplc="9134E550">
      <w:start w:val="1"/>
      <w:numFmt w:val="upperLetter"/>
      <w:lvlText w:val="(%1)"/>
      <w:lvlJc w:val="left"/>
      <w:pPr>
        <w:ind w:left="1182" w:hanging="360"/>
      </w:pPr>
    </w:lvl>
    <w:lvl w:ilvl="1" w:tplc="0406000F">
      <w:start w:val="1"/>
      <w:numFmt w:val="decimal"/>
      <w:lvlText w:val="%2."/>
      <w:lvlJc w:val="left"/>
      <w:pPr>
        <w:ind w:left="1902" w:hanging="360"/>
      </w:pPr>
    </w:lvl>
    <w:lvl w:ilvl="2" w:tplc="0406001B">
      <w:start w:val="1"/>
      <w:numFmt w:val="lowerRoman"/>
      <w:lvlText w:val="%3."/>
      <w:lvlJc w:val="right"/>
      <w:pPr>
        <w:ind w:left="2622" w:hanging="180"/>
      </w:pPr>
    </w:lvl>
    <w:lvl w:ilvl="3" w:tplc="0406000F">
      <w:start w:val="1"/>
      <w:numFmt w:val="decimal"/>
      <w:lvlText w:val="%4."/>
      <w:lvlJc w:val="left"/>
      <w:pPr>
        <w:ind w:left="3342" w:hanging="360"/>
      </w:pPr>
    </w:lvl>
    <w:lvl w:ilvl="4" w:tplc="04060019">
      <w:start w:val="1"/>
      <w:numFmt w:val="lowerLetter"/>
      <w:lvlText w:val="%5."/>
      <w:lvlJc w:val="left"/>
      <w:pPr>
        <w:ind w:left="4062" w:hanging="360"/>
      </w:pPr>
    </w:lvl>
    <w:lvl w:ilvl="5" w:tplc="0406001B">
      <w:start w:val="1"/>
      <w:numFmt w:val="lowerRoman"/>
      <w:lvlText w:val="%6."/>
      <w:lvlJc w:val="right"/>
      <w:pPr>
        <w:ind w:left="4782" w:hanging="180"/>
      </w:pPr>
    </w:lvl>
    <w:lvl w:ilvl="6" w:tplc="0406000F">
      <w:start w:val="1"/>
      <w:numFmt w:val="decimal"/>
      <w:lvlText w:val="%7."/>
      <w:lvlJc w:val="left"/>
      <w:pPr>
        <w:ind w:left="5502" w:hanging="360"/>
      </w:pPr>
    </w:lvl>
    <w:lvl w:ilvl="7" w:tplc="04060019">
      <w:start w:val="1"/>
      <w:numFmt w:val="lowerLetter"/>
      <w:lvlText w:val="%8."/>
      <w:lvlJc w:val="left"/>
      <w:pPr>
        <w:ind w:left="6222" w:hanging="360"/>
      </w:pPr>
    </w:lvl>
    <w:lvl w:ilvl="8" w:tplc="0406001B">
      <w:start w:val="1"/>
      <w:numFmt w:val="lowerRoman"/>
      <w:lvlText w:val="%9."/>
      <w:lvlJc w:val="right"/>
      <w:pPr>
        <w:ind w:left="6942" w:hanging="180"/>
      </w:pPr>
    </w:lvl>
  </w:abstractNum>
  <w:abstractNum w:abstractNumId="29" w15:restartNumberingAfterBreak="0">
    <w:nsid w:val="55AA15DE"/>
    <w:multiLevelType w:val="hybridMultilevel"/>
    <w:tmpl w:val="1E1C69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59224EAF"/>
    <w:multiLevelType w:val="hybridMultilevel"/>
    <w:tmpl w:val="FFFFFFFF"/>
    <w:lvl w:ilvl="0" w:tplc="65FE19E6">
      <w:start w:val="1"/>
      <w:numFmt w:val="bullet"/>
      <w:lvlText w:val="·"/>
      <w:lvlJc w:val="left"/>
      <w:pPr>
        <w:ind w:left="720" w:hanging="360"/>
      </w:pPr>
      <w:rPr>
        <w:rFonts w:ascii="Symbol" w:hAnsi="Symbol" w:hint="default"/>
      </w:rPr>
    </w:lvl>
    <w:lvl w:ilvl="1" w:tplc="E2E8A176">
      <w:start w:val="1"/>
      <w:numFmt w:val="bullet"/>
      <w:lvlText w:val="o"/>
      <w:lvlJc w:val="left"/>
      <w:pPr>
        <w:ind w:left="1440" w:hanging="360"/>
      </w:pPr>
      <w:rPr>
        <w:rFonts w:ascii="Symbol" w:hAnsi="Symbol" w:hint="default"/>
      </w:rPr>
    </w:lvl>
    <w:lvl w:ilvl="2" w:tplc="9DD8F34A">
      <w:start w:val="1"/>
      <w:numFmt w:val="bullet"/>
      <w:lvlText w:val=""/>
      <w:lvlJc w:val="left"/>
      <w:pPr>
        <w:ind w:left="2160" w:hanging="360"/>
      </w:pPr>
      <w:rPr>
        <w:rFonts w:ascii="Wingdings" w:hAnsi="Wingdings" w:hint="default"/>
      </w:rPr>
    </w:lvl>
    <w:lvl w:ilvl="3" w:tplc="130E7064">
      <w:start w:val="1"/>
      <w:numFmt w:val="bullet"/>
      <w:lvlText w:val=""/>
      <w:lvlJc w:val="left"/>
      <w:pPr>
        <w:ind w:left="2880" w:hanging="360"/>
      </w:pPr>
      <w:rPr>
        <w:rFonts w:ascii="Symbol" w:hAnsi="Symbol" w:hint="default"/>
      </w:rPr>
    </w:lvl>
    <w:lvl w:ilvl="4" w:tplc="1B32C9E6">
      <w:start w:val="1"/>
      <w:numFmt w:val="bullet"/>
      <w:lvlText w:val="o"/>
      <w:lvlJc w:val="left"/>
      <w:pPr>
        <w:ind w:left="3600" w:hanging="360"/>
      </w:pPr>
      <w:rPr>
        <w:rFonts w:ascii="Courier New" w:hAnsi="Courier New" w:hint="default"/>
      </w:rPr>
    </w:lvl>
    <w:lvl w:ilvl="5" w:tplc="F1527E62">
      <w:start w:val="1"/>
      <w:numFmt w:val="bullet"/>
      <w:lvlText w:val=""/>
      <w:lvlJc w:val="left"/>
      <w:pPr>
        <w:ind w:left="4320" w:hanging="360"/>
      </w:pPr>
      <w:rPr>
        <w:rFonts w:ascii="Wingdings" w:hAnsi="Wingdings" w:hint="default"/>
      </w:rPr>
    </w:lvl>
    <w:lvl w:ilvl="6" w:tplc="1CF6550E">
      <w:start w:val="1"/>
      <w:numFmt w:val="bullet"/>
      <w:lvlText w:val=""/>
      <w:lvlJc w:val="left"/>
      <w:pPr>
        <w:ind w:left="5040" w:hanging="360"/>
      </w:pPr>
      <w:rPr>
        <w:rFonts w:ascii="Symbol" w:hAnsi="Symbol" w:hint="default"/>
      </w:rPr>
    </w:lvl>
    <w:lvl w:ilvl="7" w:tplc="5FFEEEC2">
      <w:start w:val="1"/>
      <w:numFmt w:val="bullet"/>
      <w:lvlText w:val="o"/>
      <w:lvlJc w:val="left"/>
      <w:pPr>
        <w:ind w:left="5760" w:hanging="360"/>
      </w:pPr>
      <w:rPr>
        <w:rFonts w:ascii="Courier New" w:hAnsi="Courier New" w:hint="default"/>
      </w:rPr>
    </w:lvl>
    <w:lvl w:ilvl="8" w:tplc="2A7A073C">
      <w:start w:val="1"/>
      <w:numFmt w:val="bullet"/>
      <w:lvlText w:val=""/>
      <w:lvlJc w:val="left"/>
      <w:pPr>
        <w:ind w:left="6480" w:hanging="360"/>
      </w:pPr>
      <w:rPr>
        <w:rFonts w:ascii="Wingdings" w:hAnsi="Wingdings" w:hint="default"/>
      </w:rPr>
    </w:lvl>
  </w:abstractNum>
  <w:abstractNum w:abstractNumId="31"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33"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34" w15:restartNumberingAfterBreak="0">
    <w:nsid w:val="64764038"/>
    <w:multiLevelType w:val="multilevel"/>
    <w:tmpl w:val="A826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36" w15:restartNumberingAfterBreak="0">
    <w:nsid w:val="69064CB5"/>
    <w:multiLevelType w:val="hybridMultilevel"/>
    <w:tmpl w:val="36D04520"/>
    <w:lvl w:ilvl="0" w:tplc="04060015">
      <w:start w:val="1"/>
      <w:numFmt w:val="upperLetter"/>
      <w:lvlText w:val="%1."/>
      <w:lvlJc w:val="left"/>
      <w:pPr>
        <w:ind w:left="1571" w:hanging="360"/>
      </w:pPr>
    </w:lvl>
    <w:lvl w:ilvl="1" w:tplc="0406000F">
      <w:start w:val="1"/>
      <w:numFmt w:val="decimal"/>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37" w15:restartNumberingAfterBreak="0">
    <w:nsid w:val="70D272AE"/>
    <w:multiLevelType w:val="multilevel"/>
    <w:tmpl w:val="2A902E4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38"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abstractNum w:abstractNumId="39" w15:restartNumberingAfterBreak="0">
    <w:nsid w:val="74CB4E23"/>
    <w:multiLevelType w:val="multilevel"/>
    <w:tmpl w:val="8818AB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ind w:left="567" w:hanging="567"/>
      </w:pPr>
      <w:rPr>
        <w:rFonts w:hint="default"/>
      </w:rPr>
    </w:lvl>
    <w:lvl w:ilvl="5">
      <w:start w:val="1"/>
      <w:numFmt w:val="lowerLetter"/>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tabs>
          <w:tab w:val="num" w:pos="567"/>
        </w:tabs>
        <w:ind w:left="567" w:hanging="567"/>
      </w:pPr>
      <w:rPr>
        <w:rFonts w:hint="default"/>
      </w:rPr>
    </w:lvl>
    <w:lvl w:ilvl="8">
      <w:start w:val="1"/>
      <w:numFmt w:val="lowerRoman"/>
      <w:pStyle w:val="Opstillingmedi"/>
      <w:lvlText w:val="(%9)"/>
      <w:lvlJc w:val="left"/>
      <w:pPr>
        <w:tabs>
          <w:tab w:val="num" w:pos="1418"/>
        </w:tabs>
        <w:ind w:left="1418" w:hanging="567"/>
      </w:pPr>
      <w:rPr>
        <w:rFonts w:hint="default"/>
      </w:rPr>
    </w:lvl>
  </w:abstractNum>
  <w:num w:numId="1" w16cid:durableId="1002591108">
    <w:abstractNumId w:val="1"/>
  </w:num>
  <w:num w:numId="2" w16cid:durableId="1019284096">
    <w:abstractNumId w:val="18"/>
  </w:num>
  <w:num w:numId="3" w16cid:durableId="1206214147">
    <w:abstractNumId w:val="24"/>
  </w:num>
  <w:num w:numId="4" w16cid:durableId="1098870384">
    <w:abstractNumId w:val="37"/>
  </w:num>
  <w:num w:numId="5" w16cid:durableId="190806274">
    <w:abstractNumId w:val="4"/>
  </w:num>
  <w:num w:numId="6" w16cid:durableId="1523588904">
    <w:abstractNumId w:val="15"/>
  </w:num>
  <w:num w:numId="7" w16cid:durableId="1098872869">
    <w:abstractNumId w:val="33"/>
  </w:num>
  <w:num w:numId="8" w16cid:durableId="1159612653">
    <w:abstractNumId w:val="14"/>
  </w:num>
  <w:num w:numId="9" w16cid:durableId="1601645728">
    <w:abstractNumId w:val="21"/>
  </w:num>
  <w:num w:numId="10" w16cid:durableId="1892303749">
    <w:abstractNumId w:val="27"/>
  </w:num>
  <w:num w:numId="11" w16cid:durableId="2103793137">
    <w:abstractNumId w:val="35"/>
  </w:num>
  <w:num w:numId="12" w16cid:durableId="847716528">
    <w:abstractNumId w:val="32"/>
  </w:num>
  <w:num w:numId="13" w16cid:durableId="1879731289">
    <w:abstractNumId w:val="3"/>
  </w:num>
  <w:num w:numId="14" w16cid:durableId="1593662345">
    <w:abstractNumId w:val="10"/>
  </w:num>
  <w:num w:numId="15" w16cid:durableId="1170027169">
    <w:abstractNumId w:val="16"/>
  </w:num>
  <w:num w:numId="16" w16cid:durableId="420371953">
    <w:abstractNumId w:val="25"/>
  </w:num>
  <w:num w:numId="17" w16cid:durableId="1910730170">
    <w:abstractNumId w:val="9"/>
  </w:num>
  <w:num w:numId="18" w16cid:durableId="1758015420">
    <w:abstractNumId w:val="26"/>
  </w:num>
  <w:num w:numId="19" w16cid:durableId="499582308">
    <w:abstractNumId w:val="38"/>
  </w:num>
  <w:num w:numId="20" w16cid:durableId="88738821">
    <w:abstractNumId w:val="31"/>
  </w:num>
  <w:num w:numId="21" w16cid:durableId="158928502">
    <w:abstractNumId w:val="26"/>
  </w:num>
  <w:num w:numId="22" w16cid:durableId="248974593">
    <w:abstractNumId w:val="12"/>
  </w:num>
  <w:num w:numId="23" w16cid:durableId="236523947">
    <w:abstractNumId w:val="13"/>
  </w:num>
  <w:num w:numId="24" w16cid:durableId="1996838338">
    <w:abstractNumId w:val="17"/>
  </w:num>
  <w:num w:numId="25" w16cid:durableId="17850044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6008059">
    <w:abstractNumId w:val="22"/>
  </w:num>
  <w:num w:numId="27" w16cid:durableId="1010570910">
    <w:abstractNumId w:val="6"/>
  </w:num>
  <w:num w:numId="28" w16cid:durableId="774792473">
    <w:abstractNumId w:val="20"/>
  </w:num>
  <w:num w:numId="29" w16cid:durableId="608004685">
    <w:abstractNumId w:val="19"/>
  </w:num>
  <w:num w:numId="30" w16cid:durableId="353457991">
    <w:abstractNumId w:val="39"/>
  </w:num>
  <w:num w:numId="31" w16cid:durableId="6707191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980962">
    <w:abstractNumId w:val="30"/>
  </w:num>
  <w:num w:numId="33" w16cid:durableId="895359670">
    <w:abstractNumId w:val="37"/>
  </w:num>
  <w:num w:numId="34" w16cid:durableId="1750498288">
    <w:abstractNumId w:val="9"/>
  </w:num>
  <w:num w:numId="35" w16cid:durableId="1737781077">
    <w:abstractNumId w:val="9"/>
  </w:num>
  <w:num w:numId="36" w16cid:durableId="2003266749">
    <w:abstractNumId w:val="9"/>
  </w:num>
  <w:num w:numId="37" w16cid:durableId="2017339461">
    <w:abstractNumId w:val="2"/>
  </w:num>
  <w:num w:numId="38" w16cid:durableId="563680610">
    <w:abstractNumId w:val="8"/>
  </w:num>
  <w:num w:numId="39" w16cid:durableId="347022672">
    <w:abstractNumId w:val="23"/>
  </w:num>
  <w:num w:numId="40" w16cid:durableId="872813357">
    <w:abstractNumId w:val="36"/>
  </w:num>
  <w:num w:numId="41" w16cid:durableId="1039473423">
    <w:abstractNumId w:val="9"/>
  </w:num>
  <w:num w:numId="42" w16cid:durableId="157578725">
    <w:abstractNumId w:val="0"/>
  </w:num>
  <w:num w:numId="43" w16cid:durableId="2034455809">
    <w:abstractNumId w:val="37"/>
  </w:num>
  <w:num w:numId="44" w16cid:durableId="1343439391">
    <w:abstractNumId w:val="34"/>
  </w:num>
  <w:num w:numId="45" w16cid:durableId="371197761">
    <w:abstractNumId w:val="37"/>
  </w:num>
  <w:num w:numId="46" w16cid:durableId="1294143170">
    <w:abstractNumId w:val="29"/>
  </w:num>
  <w:num w:numId="47" w16cid:durableId="957029904">
    <w:abstractNumId w:val="5"/>
  </w:num>
  <w:num w:numId="48" w16cid:durableId="1376394104">
    <w:abstractNumId w:val="7"/>
  </w:num>
  <w:num w:numId="49" w16cid:durableId="1801654860">
    <w:abstractNumId w:val="11"/>
  </w:num>
  <w:num w:numId="50" w16cid:durableId="369577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D1"/>
    <w:rsid w:val="00000132"/>
    <w:rsid w:val="00000706"/>
    <w:rsid w:val="00000A34"/>
    <w:rsid w:val="00000E0A"/>
    <w:rsid w:val="0000131E"/>
    <w:rsid w:val="00001909"/>
    <w:rsid w:val="00001DD6"/>
    <w:rsid w:val="00002073"/>
    <w:rsid w:val="0000256F"/>
    <w:rsid w:val="00003249"/>
    <w:rsid w:val="00004865"/>
    <w:rsid w:val="00005CE1"/>
    <w:rsid w:val="00005DBD"/>
    <w:rsid w:val="00006572"/>
    <w:rsid w:val="000069A2"/>
    <w:rsid w:val="00006C19"/>
    <w:rsid w:val="0000788E"/>
    <w:rsid w:val="00010B30"/>
    <w:rsid w:val="0001148C"/>
    <w:rsid w:val="00012833"/>
    <w:rsid w:val="0001303A"/>
    <w:rsid w:val="0001362D"/>
    <w:rsid w:val="00013914"/>
    <w:rsid w:val="000139A9"/>
    <w:rsid w:val="0001470C"/>
    <w:rsid w:val="00014A79"/>
    <w:rsid w:val="00015157"/>
    <w:rsid w:val="00017E4B"/>
    <w:rsid w:val="000205D2"/>
    <w:rsid w:val="00021401"/>
    <w:rsid w:val="00022459"/>
    <w:rsid w:val="0002245B"/>
    <w:rsid w:val="00022DB1"/>
    <w:rsid w:val="00023A47"/>
    <w:rsid w:val="000259B9"/>
    <w:rsid w:val="000262DD"/>
    <w:rsid w:val="000268A4"/>
    <w:rsid w:val="00027049"/>
    <w:rsid w:val="00027275"/>
    <w:rsid w:val="00027774"/>
    <w:rsid w:val="000301A8"/>
    <w:rsid w:val="000310A4"/>
    <w:rsid w:val="00031ABB"/>
    <w:rsid w:val="000359D5"/>
    <w:rsid w:val="000360F1"/>
    <w:rsid w:val="000361D2"/>
    <w:rsid w:val="00036472"/>
    <w:rsid w:val="00036DEF"/>
    <w:rsid w:val="000375C5"/>
    <w:rsid w:val="000376D1"/>
    <w:rsid w:val="00037EF8"/>
    <w:rsid w:val="00042FCB"/>
    <w:rsid w:val="00043026"/>
    <w:rsid w:val="0004537D"/>
    <w:rsid w:val="00045F39"/>
    <w:rsid w:val="000460E9"/>
    <w:rsid w:val="0004633F"/>
    <w:rsid w:val="00046A57"/>
    <w:rsid w:val="00046FA8"/>
    <w:rsid w:val="00050293"/>
    <w:rsid w:val="00050791"/>
    <w:rsid w:val="00050D31"/>
    <w:rsid w:val="0005132C"/>
    <w:rsid w:val="00051C0F"/>
    <w:rsid w:val="0005219F"/>
    <w:rsid w:val="00052509"/>
    <w:rsid w:val="00052648"/>
    <w:rsid w:val="00053A35"/>
    <w:rsid w:val="000544E5"/>
    <w:rsid w:val="00056513"/>
    <w:rsid w:val="00056980"/>
    <w:rsid w:val="00057A6A"/>
    <w:rsid w:val="00060331"/>
    <w:rsid w:val="00060FC3"/>
    <w:rsid w:val="00061081"/>
    <w:rsid w:val="000611E8"/>
    <w:rsid w:val="00061AD2"/>
    <w:rsid w:val="00061F73"/>
    <w:rsid w:val="000629D4"/>
    <w:rsid w:val="00062E8D"/>
    <w:rsid w:val="00063568"/>
    <w:rsid w:val="00063B8E"/>
    <w:rsid w:val="00063E66"/>
    <w:rsid w:val="00064A13"/>
    <w:rsid w:val="00066925"/>
    <w:rsid w:val="00066AD5"/>
    <w:rsid w:val="0006728C"/>
    <w:rsid w:val="0007088F"/>
    <w:rsid w:val="000708BB"/>
    <w:rsid w:val="00070BB8"/>
    <w:rsid w:val="00071BA0"/>
    <w:rsid w:val="000720BA"/>
    <w:rsid w:val="000722BD"/>
    <w:rsid w:val="00074712"/>
    <w:rsid w:val="00074BFA"/>
    <w:rsid w:val="00075827"/>
    <w:rsid w:val="00075A80"/>
    <w:rsid w:val="000772D4"/>
    <w:rsid w:val="00080764"/>
    <w:rsid w:val="0008172D"/>
    <w:rsid w:val="00081AA4"/>
    <w:rsid w:val="00082130"/>
    <w:rsid w:val="0008275A"/>
    <w:rsid w:val="00082D36"/>
    <w:rsid w:val="000832DA"/>
    <w:rsid w:val="00083719"/>
    <w:rsid w:val="000838D1"/>
    <w:rsid w:val="00083A05"/>
    <w:rsid w:val="00084778"/>
    <w:rsid w:val="0008629A"/>
    <w:rsid w:val="00086312"/>
    <w:rsid w:val="000865D6"/>
    <w:rsid w:val="000868E0"/>
    <w:rsid w:val="00086EF0"/>
    <w:rsid w:val="000908EC"/>
    <w:rsid w:val="000917FE"/>
    <w:rsid w:val="00091D6B"/>
    <w:rsid w:val="00092308"/>
    <w:rsid w:val="00093771"/>
    <w:rsid w:val="0009393B"/>
    <w:rsid w:val="00093EF8"/>
    <w:rsid w:val="00094167"/>
    <w:rsid w:val="000946F3"/>
    <w:rsid w:val="00094984"/>
    <w:rsid w:val="00094ABD"/>
    <w:rsid w:val="000952CE"/>
    <w:rsid w:val="00095A1A"/>
    <w:rsid w:val="000960B7"/>
    <w:rsid w:val="00097319"/>
    <w:rsid w:val="000A029C"/>
    <w:rsid w:val="000A0604"/>
    <w:rsid w:val="000A0B9F"/>
    <w:rsid w:val="000A0BFC"/>
    <w:rsid w:val="000A11DF"/>
    <w:rsid w:val="000A1432"/>
    <w:rsid w:val="000A148F"/>
    <w:rsid w:val="000A1C63"/>
    <w:rsid w:val="000A1CB2"/>
    <w:rsid w:val="000A2BF7"/>
    <w:rsid w:val="000A308C"/>
    <w:rsid w:val="000A35F4"/>
    <w:rsid w:val="000A380A"/>
    <w:rsid w:val="000A3A3A"/>
    <w:rsid w:val="000A3AC9"/>
    <w:rsid w:val="000A4360"/>
    <w:rsid w:val="000A45FC"/>
    <w:rsid w:val="000A4D55"/>
    <w:rsid w:val="000A5D8C"/>
    <w:rsid w:val="000A6F34"/>
    <w:rsid w:val="000A6F41"/>
    <w:rsid w:val="000A70D0"/>
    <w:rsid w:val="000A73FC"/>
    <w:rsid w:val="000A753E"/>
    <w:rsid w:val="000A7A94"/>
    <w:rsid w:val="000A7AAF"/>
    <w:rsid w:val="000B068A"/>
    <w:rsid w:val="000B0865"/>
    <w:rsid w:val="000B0AFC"/>
    <w:rsid w:val="000B18B2"/>
    <w:rsid w:val="000B2261"/>
    <w:rsid w:val="000B3195"/>
    <w:rsid w:val="000B3DC1"/>
    <w:rsid w:val="000B4AF1"/>
    <w:rsid w:val="000B4BA3"/>
    <w:rsid w:val="000B51B6"/>
    <w:rsid w:val="000B5BBE"/>
    <w:rsid w:val="000B6DA8"/>
    <w:rsid w:val="000B70D0"/>
    <w:rsid w:val="000B71B9"/>
    <w:rsid w:val="000C1635"/>
    <w:rsid w:val="000C2951"/>
    <w:rsid w:val="000C2DEA"/>
    <w:rsid w:val="000C3A64"/>
    <w:rsid w:val="000C405C"/>
    <w:rsid w:val="000C45D9"/>
    <w:rsid w:val="000C4D69"/>
    <w:rsid w:val="000C5297"/>
    <w:rsid w:val="000C61A0"/>
    <w:rsid w:val="000C61B1"/>
    <w:rsid w:val="000C6F65"/>
    <w:rsid w:val="000C6F72"/>
    <w:rsid w:val="000C7437"/>
    <w:rsid w:val="000C7555"/>
    <w:rsid w:val="000C7863"/>
    <w:rsid w:val="000C7AA7"/>
    <w:rsid w:val="000D0D6C"/>
    <w:rsid w:val="000D1ADF"/>
    <w:rsid w:val="000D2A3F"/>
    <w:rsid w:val="000D38A4"/>
    <w:rsid w:val="000D4881"/>
    <w:rsid w:val="000D4D8D"/>
    <w:rsid w:val="000D536F"/>
    <w:rsid w:val="000D6CE2"/>
    <w:rsid w:val="000D6F50"/>
    <w:rsid w:val="000D753B"/>
    <w:rsid w:val="000D7787"/>
    <w:rsid w:val="000D78C6"/>
    <w:rsid w:val="000D7C6D"/>
    <w:rsid w:val="000D7FBE"/>
    <w:rsid w:val="000E074D"/>
    <w:rsid w:val="000E1D24"/>
    <w:rsid w:val="000E2A0A"/>
    <w:rsid w:val="000E2F11"/>
    <w:rsid w:val="000E40B6"/>
    <w:rsid w:val="000E5876"/>
    <w:rsid w:val="000E5C4A"/>
    <w:rsid w:val="000E5F81"/>
    <w:rsid w:val="000E6850"/>
    <w:rsid w:val="000E71A3"/>
    <w:rsid w:val="000E7B7D"/>
    <w:rsid w:val="000F06BB"/>
    <w:rsid w:val="000F12ED"/>
    <w:rsid w:val="000F1980"/>
    <w:rsid w:val="000F23E6"/>
    <w:rsid w:val="000F27E4"/>
    <w:rsid w:val="000F30B2"/>
    <w:rsid w:val="000F3CF5"/>
    <w:rsid w:val="000F3F9F"/>
    <w:rsid w:val="000F4193"/>
    <w:rsid w:val="000F467E"/>
    <w:rsid w:val="000F47FC"/>
    <w:rsid w:val="000F582E"/>
    <w:rsid w:val="000F5BD7"/>
    <w:rsid w:val="000F620F"/>
    <w:rsid w:val="000F65A2"/>
    <w:rsid w:val="000F6A6B"/>
    <w:rsid w:val="000F6A97"/>
    <w:rsid w:val="000F6CF3"/>
    <w:rsid w:val="000F770A"/>
    <w:rsid w:val="00100824"/>
    <w:rsid w:val="00100844"/>
    <w:rsid w:val="00100AA9"/>
    <w:rsid w:val="00102298"/>
    <w:rsid w:val="00102CCD"/>
    <w:rsid w:val="00102D87"/>
    <w:rsid w:val="00103A00"/>
    <w:rsid w:val="001044D3"/>
    <w:rsid w:val="001045C0"/>
    <w:rsid w:val="00104742"/>
    <w:rsid w:val="00104CE1"/>
    <w:rsid w:val="00104E42"/>
    <w:rsid w:val="001056D0"/>
    <w:rsid w:val="00106321"/>
    <w:rsid w:val="001063F0"/>
    <w:rsid w:val="0010683F"/>
    <w:rsid w:val="001075D1"/>
    <w:rsid w:val="00107613"/>
    <w:rsid w:val="0010794E"/>
    <w:rsid w:val="00110397"/>
    <w:rsid w:val="0011070B"/>
    <w:rsid w:val="00111552"/>
    <w:rsid w:val="001116AF"/>
    <w:rsid w:val="00111AE2"/>
    <w:rsid w:val="00111B28"/>
    <w:rsid w:val="00111EF3"/>
    <w:rsid w:val="00112083"/>
    <w:rsid w:val="00112820"/>
    <w:rsid w:val="0011291D"/>
    <w:rsid w:val="001129E8"/>
    <w:rsid w:val="001129E9"/>
    <w:rsid w:val="00113316"/>
    <w:rsid w:val="001135CA"/>
    <w:rsid w:val="001137D0"/>
    <w:rsid w:val="00114480"/>
    <w:rsid w:val="00115E62"/>
    <w:rsid w:val="001160E9"/>
    <w:rsid w:val="00117121"/>
    <w:rsid w:val="00117765"/>
    <w:rsid w:val="00117A66"/>
    <w:rsid w:val="00117EBD"/>
    <w:rsid w:val="00120C26"/>
    <w:rsid w:val="00120C31"/>
    <w:rsid w:val="0012148F"/>
    <w:rsid w:val="00122C5C"/>
    <w:rsid w:val="0012325A"/>
    <w:rsid w:val="00123274"/>
    <w:rsid w:val="001239DE"/>
    <w:rsid w:val="00123BC6"/>
    <w:rsid w:val="00123BFF"/>
    <w:rsid w:val="00123D5D"/>
    <w:rsid w:val="001249A4"/>
    <w:rsid w:val="00125077"/>
    <w:rsid w:val="001301C3"/>
    <w:rsid w:val="00130965"/>
    <w:rsid w:val="00130BD8"/>
    <w:rsid w:val="00130E3F"/>
    <w:rsid w:val="00131057"/>
    <w:rsid w:val="001319EE"/>
    <w:rsid w:val="00131EED"/>
    <w:rsid w:val="0013244F"/>
    <w:rsid w:val="001325B1"/>
    <w:rsid w:val="001335C4"/>
    <w:rsid w:val="001346A7"/>
    <w:rsid w:val="00134779"/>
    <w:rsid w:val="00134CA9"/>
    <w:rsid w:val="00135E5E"/>
    <w:rsid w:val="001365B6"/>
    <w:rsid w:val="00136E38"/>
    <w:rsid w:val="001370D7"/>
    <w:rsid w:val="00137749"/>
    <w:rsid w:val="001423D8"/>
    <w:rsid w:val="00142AAB"/>
    <w:rsid w:val="001433EA"/>
    <w:rsid w:val="00143675"/>
    <w:rsid w:val="00143A5C"/>
    <w:rsid w:val="00143AD8"/>
    <w:rsid w:val="00143F1A"/>
    <w:rsid w:val="001444E9"/>
    <w:rsid w:val="00144677"/>
    <w:rsid w:val="00144B41"/>
    <w:rsid w:val="00145867"/>
    <w:rsid w:val="0014799A"/>
    <w:rsid w:val="00147BFC"/>
    <w:rsid w:val="001504D8"/>
    <w:rsid w:val="00150559"/>
    <w:rsid w:val="00151665"/>
    <w:rsid w:val="00152126"/>
    <w:rsid w:val="00154946"/>
    <w:rsid w:val="00155643"/>
    <w:rsid w:val="001557B6"/>
    <w:rsid w:val="00156A2E"/>
    <w:rsid w:val="00156D34"/>
    <w:rsid w:val="0015719D"/>
    <w:rsid w:val="00157745"/>
    <w:rsid w:val="00157CB1"/>
    <w:rsid w:val="00160683"/>
    <w:rsid w:val="001606F2"/>
    <w:rsid w:val="00160D82"/>
    <w:rsid w:val="00160F43"/>
    <w:rsid w:val="00160FC7"/>
    <w:rsid w:val="00161D02"/>
    <w:rsid w:val="00162601"/>
    <w:rsid w:val="001629B2"/>
    <w:rsid w:val="00164434"/>
    <w:rsid w:val="00164444"/>
    <w:rsid w:val="00164A27"/>
    <w:rsid w:val="00165009"/>
    <w:rsid w:val="00165535"/>
    <w:rsid w:val="001675FA"/>
    <w:rsid w:val="00167B5F"/>
    <w:rsid w:val="00167F3F"/>
    <w:rsid w:val="0017107B"/>
    <w:rsid w:val="00171151"/>
    <w:rsid w:val="0017179E"/>
    <w:rsid w:val="00171E62"/>
    <w:rsid w:val="00171FF6"/>
    <w:rsid w:val="001725CC"/>
    <w:rsid w:val="00172DA4"/>
    <w:rsid w:val="001730C6"/>
    <w:rsid w:val="001744F1"/>
    <w:rsid w:val="00174E34"/>
    <w:rsid w:val="00175D72"/>
    <w:rsid w:val="001763D7"/>
    <w:rsid w:val="00177A2B"/>
    <w:rsid w:val="00177ED6"/>
    <w:rsid w:val="0018013E"/>
    <w:rsid w:val="0018110A"/>
    <w:rsid w:val="0018131F"/>
    <w:rsid w:val="00181F50"/>
    <w:rsid w:val="00182651"/>
    <w:rsid w:val="00182B49"/>
    <w:rsid w:val="00184024"/>
    <w:rsid w:val="00184810"/>
    <w:rsid w:val="00184CA3"/>
    <w:rsid w:val="001851CB"/>
    <w:rsid w:val="001857A3"/>
    <w:rsid w:val="00185B3C"/>
    <w:rsid w:val="001863BF"/>
    <w:rsid w:val="001869AA"/>
    <w:rsid w:val="00186BA3"/>
    <w:rsid w:val="00186DD1"/>
    <w:rsid w:val="00187242"/>
    <w:rsid w:val="00190193"/>
    <w:rsid w:val="001904F8"/>
    <w:rsid w:val="00190891"/>
    <w:rsid w:val="00190C17"/>
    <w:rsid w:val="00190E4C"/>
    <w:rsid w:val="0019109F"/>
    <w:rsid w:val="0019180C"/>
    <w:rsid w:val="001919CE"/>
    <w:rsid w:val="001920DF"/>
    <w:rsid w:val="00192459"/>
    <w:rsid w:val="0019276C"/>
    <w:rsid w:val="0019291E"/>
    <w:rsid w:val="00193D79"/>
    <w:rsid w:val="00195927"/>
    <w:rsid w:val="00195C84"/>
    <w:rsid w:val="0019616B"/>
    <w:rsid w:val="00196857"/>
    <w:rsid w:val="00196C6A"/>
    <w:rsid w:val="00196C88"/>
    <w:rsid w:val="001978A4"/>
    <w:rsid w:val="00197962"/>
    <w:rsid w:val="001A0380"/>
    <w:rsid w:val="001A08A6"/>
    <w:rsid w:val="001A095A"/>
    <w:rsid w:val="001A0E1E"/>
    <w:rsid w:val="001A0ED5"/>
    <w:rsid w:val="001A13BC"/>
    <w:rsid w:val="001A1554"/>
    <w:rsid w:val="001A166B"/>
    <w:rsid w:val="001A20AF"/>
    <w:rsid w:val="001A213F"/>
    <w:rsid w:val="001A2430"/>
    <w:rsid w:val="001A3CDC"/>
    <w:rsid w:val="001A3EE1"/>
    <w:rsid w:val="001A47AB"/>
    <w:rsid w:val="001A4ED5"/>
    <w:rsid w:val="001A6E49"/>
    <w:rsid w:val="001A726A"/>
    <w:rsid w:val="001A7B72"/>
    <w:rsid w:val="001B07BC"/>
    <w:rsid w:val="001B080F"/>
    <w:rsid w:val="001B143E"/>
    <w:rsid w:val="001B1567"/>
    <w:rsid w:val="001B194B"/>
    <w:rsid w:val="001B2356"/>
    <w:rsid w:val="001B23C8"/>
    <w:rsid w:val="001B3801"/>
    <w:rsid w:val="001B457E"/>
    <w:rsid w:val="001B478D"/>
    <w:rsid w:val="001B557B"/>
    <w:rsid w:val="001B57EB"/>
    <w:rsid w:val="001B6523"/>
    <w:rsid w:val="001B6E16"/>
    <w:rsid w:val="001B72B3"/>
    <w:rsid w:val="001B7B78"/>
    <w:rsid w:val="001B7F5C"/>
    <w:rsid w:val="001C0B0F"/>
    <w:rsid w:val="001C16D8"/>
    <w:rsid w:val="001C1748"/>
    <w:rsid w:val="001C1ECE"/>
    <w:rsid w:val="001C295C"/>
    <w:rsid w:val="001C2AD1"/>
    <w:rsid w:val="001C3162"/>
    <w:rsid w:val="001C3184"/>
    <w:rsid w:val="001C370B"/>
    <w:rsid w:val="001C46EC"/>
    <w:rsid w:val="001C52D9"/>
    <w:rsid w:val="001C5619"/>
    <w:rsid w:val="001C6819"/>
    <w:rsid w:val="001C7B04"/>
    <w:rsid w:val="001D03EE"/>
    <w:rsid w:val="001D1248"/>
    <w:rsid w:val="001D15B1"/>
    <w:rsid w:val="001D2FF4"/>
    <w:rsid w:val="001D3012"/>
    <w:rsid w:val="001D452F"/>
    <w:rsid w:val="001D4C32"/>
    <w:rsid w:val="001D57F4"/>
    <w:rsid w:val="001D59ED"/>
    <w:rsid w:val="001D6A2A"/>
    <w:rsid w:val="001D6C21"/>
    <w:rsid w:val="001D6CBA"/>
    <w:rsid w:val="001D6E2A"/>
    <w:rsid w:val="001D7F33"/>
    <w:rsid w:val="001E0732"/>
    <w:rsid w:val="001E0E65"/>
    <w:rsid w:val="001E1851"/>
    <w:rsid w:val="001E28BC"/>
    <w:rsid w:val="001E4267"/>
    <w:rsid w:val="001E4CDB"/>
    <w:rsid w:val="001E5F93"/>
    <w:rsid w:val="001E6319"/>
    <w:rsid w:val="001E7A3C"/>
    <w:rsid w:val="001E7DEC"/>
    <w:rsid w:val="001F013A"/>
    <w:rsid w:val="001F1087"/>
    <w:rsid w:val="001F1812"/>
    <w:rsid w:val="001F1D60"/>
    <w:rsid w:val="001F3AC3"/>
    <w:rsid w:val="001F487D"/>
    <w:rsid w:val="001F5AC1"/>
    <w:rsid w:val="001F5FEE"/>
    <w:rsid w:val="001F7315"/>
    <w:rsid w:val="001F75C3"/>
    <w:rsid w:val="001F7978"/>
    <w:rsid w:val="002018F7"/>
    <w:rsid w:val="00202521"/>
    <w:rsid w:val="00202769"/>
    <w:rsid w:val="00202DA0"/>
    <w:rsid w:val="00203BF6"/>
    <w:rsid w:val="002041B4"/>
    <w:rsid w:val="002046C1"/>
    <w:rsid w:val="00205114"/>
    <w:rsid w:val="0020527A"/>
    <w:rsid w:val="0020633F"/>
    <w:rsid w:val="0020794A"/>
    <w:rsid w:val="002107C8"/>
    <w:rsid w:val="00211D48"/>
    <w:rsid w:val="00212396"/>
    <w:rsid w:val="002125F2"/>
    <w:rsid w:val="002126AB"/>
    <w:rsid w:val="002127E5"/>
    <w:rsid w:val="00212AD5"/>
    <w:rsid w:val="00214F93"/>
    <w:rsid w:val="002152C3"/>
    <w:rsid w:val="00217FBC"/>
    <w:rsid w:val="00221BBA"/>
    <w:rsid w:val="002227B4"/>
    <w:rsid w:val="00222931"/>
    <w:rsid w:val="00222AA4"/>
    <w:rsid w:val="00222D97"/>
    <w:rsid w:val="00223132"/>
    <w:rsid w:val="00223715"/>
    <w:rsid w:val="00223FE3"/>
    <w:rsid w:val="002252B2"/>
    <w:rsid w:val="002255FD"/>
    <w:rsid w:val="002257D2"/>
    <w:rsid w:val="00225933"/>
    <w:rsid w:val="0022783E"/>
    <w:rsid w:val="00230CF5"/>
    <w:rsid w:val="00231121"/>
    <w:rsid w:val="0023135A"/>
    <w:rsid w:val="00231713"/>
    <w:rsid w:val="00232192"/>
    <w:rsid w:val="00232747"/>
    <w:rsid w:val="00232F77"/>
    <w:rsid w:val="002333D5"/>
    <w:rsid w:val="00233529"/>
    <w:rsid w:val="00233CE6"/>
    <w:rsid w:val="00236474"/>
    <w:rsid w:val="00236521"/>
    <w:rsid w:val="00236702"/>
    <w:rsid w:val="00236D7B"/>
    <w:rsid w:val="00236EB6"/>
    <w:rsid w:val="00237283"/>
    <w:rsid w:val="002379EC"/>
    <w:rsid w:val="002400A0"/>
    <w:rsid w:val="00240358"/>
    <w:rsid w:val="00240A67"/>
    <w:rsid w:val="00240E87"/>
    <w:rsid w:val="00241410"/>
    <w:rsid w:val="00241CDE"/>
    <w:rsid w:val="00242B3B"/>
    <w:rsid w:val="002433E6"/>
    <w:rsid w:val="00243D25"/>
    <w:rsid w:val="00243FC5"/>
    <w:rsid w:val="00244D70"/>
    <w:rsid w:val="002457AD"/>
    <w:rsid w:val="002462C6"/>
    <w:rsid w:val="002471F1"/>
    <w:rsid w:val="00247401"/>
    <w:rsid w:val="002479C7"/>
    <w:rsid w:val="00251097"/>
    <w:rsid w:val="00251601"/>
    <w:rsid w:val="00251858"/>
    <w:rsid w:val="00252D50"/>
    <w:rsid w:val="00252F3E"/>
    <w:rsid w:val="002534DA"/>
    <w:rsid w:val="00253DA4"/>
    <w:rsid w:val="00254315"/>
    <w:rsid w:val="00254C0F"/>
    <w:rsid w:val="00255F7C"/>
    <w:rsid w:val="00256293"/>
    <w:rsid w:val="0025653E"/>
    <w:rsid w:val="002568D2"/>
    <w:rsid w:val="00256DBF"/>
    <w:rsid w:val="00256E51"/>
    <w:rsid w:val="002575F0"/>
    <w:rsid w:val="00257743"/>
    <w:rsid w:val="00257BBD"/>
    <w:rsid w:val="00260433"/>
    <w:rsid w:val="002604DB"/>
    <w:rsid w:val="00260C00"/>
    <w:rsid w:val="00261B19"/>
    <w:rsid w:val="00261C45"/>
    <w:rsid w:val="0026368D"/>
    <w:rsid w:val="00263A35"/>
    <w:rsid w:val="00264D76"/>
    <w:rsid w:val="002650E3"/>
    <w:rsid w:val="0026546E"/>
    <w:rsid w:val="00265F2A"/>
    <w:rsid w:val="002668AC"/>
    <w:rsid w:val="0026767F"/>
    <w:rsid w:val="0026785A"/>
    <w:rsid w:val="0026788B"/>
    <w:rsid w:val="002701EB"/>
    <w:rsid w:val="002708CE"/>
    <w:rsid w:val="00270D31"/>
    <w:rsid w:val="00270D68"/>
    <w:rsid w:val="00271C0E"/>
    <w:rsid w:val="00272233"/>
    <w:rsid w:val="00273CB6"/>
    <w:rsid w:val="00273F05"/>
    <w:rsid w:val="00274C47"/>
    <w:rsid w:val="00276DA2"/>
    <w:rsid w:val="00277240"/>
    <w:rsid w:val="00280CCA"/>
    <w:rsid w:val="002824FE"/>
    <w:rsid w:val="002835AC"/>
    <w:rsid w:val="00283D64"/>
    <w:rsid w:val="00284074"/>
    <w:rsid w:val="002841B2"/>
    <w:rsid w:val="00284DD3"/>
    <w:rsid w:val="00284E3C"/>
    <w:rsid w:val="00285200"/>
    <w:rsid w:val="00285E8D"/>
    <w:rsid w:val="002869E8"/>
    <w:rsid w:val="00286AC7"/>
    <w:rsid w:val="00287975"/>
    <w:rsid w:val="00291B5D"/>
    <w:rsid w:val="00292C28"/>
    <w:rsid w:val="002935B0"/>
    <w:rsid w:val="002935ED"/>
    <w:rsid w:val="002939EB"/>
    <w:rsid w:val="00294830"/>
    <w:rsid w:val="00294E3E"/>
    <w:rsid w:val="00294E43"/>
    <w:rsid w:val="00295ECF"/>
    <w:rsid w:val="00296202"/>
    <w:rsid w:val="00296A15"/>
    <w:rsid w:val="0029799F"/>
    <w:rsid w:val="00297DA4"/>
    <w:rsid w:val="002A022B"/>
    <w:rsid w:val="002A124F"/>
    <w:rsid w:val="002A2874"/>
    <w:rsid w:val="002A441E"/>
    <w:rsid w:val="002A4EA1"/>
    <w:rsid w:val="002A59E6"/>
    <w:rsid w:val="002A70D5"/>
    <w:rsid w:val="002B0121"/>
    <w:rsid w:val="002B0CF3"/>
    <w:rsid w:val="002B248D"/>
    <w:rsid w:val="002B2D1D"/>
    <w:rsid w:val="002B34D5"/>
    <w:rsid w:val="002B3F85"/>
    <w:rsid w:val="002B5A2A"/>
    <w:rsid w:val="002B5A8C"/>
    <w:rsid w:val="002B681F"/>
    <w:rsid w:val="002B74ED"/>
    <w:rsid w:val="002B7D7F"/>
    <w:rsid w:val="002B7FBF"/>
    <w:rsid w:val="002C0434"/>
    <w:rsid w:val="002C04E1"/>
    <w:rsid w:val="002C2404"/>
    <w:rsid w:val="002C26B4"/>
    <w:rsid w:val="002C2EA7"/>
    <w:rsid w:val="002C5A85"/>
    <w:rsid w:val="002C5F76"/>
    <w:rsid w:val="002C6357"/>
    <w:rsid w:val="002C6768"/>
    <w:rsid w:val="002D028A"/>
    <w:rsid w:val="002D0431"/>
    <w:rsid w:val="002D1E08"/>
    <w:rsid w:val="002D24DA"/>
    <w:rsid w:val="002D37FC"/>
    <w:rsid w:val="002D3A3A"/>
    <w:rsid w:val="002D4591"/>
    <w:rsid w:val="002D5A55"/>
    <w:rsid w:val="002D5AE9"/>
    <w:rsid w:val="002E066C"/>
    <w:rsid w:val="002E0A9F"/>
    <w:rsid w:val="002E13CE"/>
    <w:rsid w:val="002E194D"/>
    <w:rsid w:val="002E1DD0"/>
    <w:rsid w:val="002E1F33"/>
    <w:rsid w:val="002E21DF"/>
    <w:rsid w:val="002E27C4"/>
    <w:rsid w:val="002E3542"/>
    <w:rsid w:val="002E3753"/>
    <w:rsid w:val="002E38C0"/>
    <w:rsid w:val="002E3958"/>
    <w:rsid w:val="002E490A"/>
    <w:rsid w:val="002E55B7"/>
    <w:rsid w:val="002E60C5"/>
    <w:rsid w:val="002E6290"/>
    <w:rsid w:val="002E72E3"/>
    <w:rsid w:val="002E74A4"/>
    <w:rsid w:val="002F021D"/>
    <w:rsid w:val="002F073E"/>
    <w:rsid w:val="002F10C6"/>
    <w:rsid w:val="002F12D7"/>
    <w:rsid w:val="002F1545"/>
    <w:rsid w:val="002F4EBD"/>
    <w:rsid w:val="002F5985"/>
    <w:rsid w:val="002F59D1"/>
    <w:rsid w:val="002F643F"/>
    <w:rsid w:val="002F6CA9"/>
    <w:rsid w:val="002F6E6D"/>
    <w:rsid w:val="002F7ABA"/>
    <w:rsid w:val="003008E7"/>
    <w:rsid w:val="00300B3E"/>
    <w:rsid w:val="00300B8F"/>
    <w:rsid w:val="00301430"/>
    <w:rsid w:val="00302180"/>
    <w:rsid w:val="003026D2"/>
    <w:rsid w:val="00302BF9"/>
    <w:rsid w:val="00302D94"/>
    <w:rsid w:val="003037BF"/>
    <w:rsid w:val="00303E8A"/>
    <w:rsid w:val="003049F1"/>
    <w:rsid w:val="00305063"/>
    <w:rsid w:val="00305AA1"/>
    <w:rsid w:val="003061C3"/>
    <w:rsid w:val="00306DEE"/>
    <w:rsid w:val="00311289"/>
    <w:rsid w:val="0031210D"/>
    <w:rsid w:val="00312669"/>
    <w:rsid w:val="00313050"/>
    <w:rsid w:val="00315242"/>
    <w:rsid w:val="00315584"/>
    <w:rsid w:val="00316A27"/>
    <w:rsid w:val="00317AE4"/>
    <w:rsid w:val="00317F3C"/>
    <w:rsid w:val="0032046E"/>
    <w:rsid w:val="00320BB5"/>
    <w:rsid w:val="0032129C"/>
    <w:rsid w:val="0032148C"/>
    <w:rsid w:val="00321660"/>
    <w:rsid w:val="00321CBB"/>
    <w:rsid w:val="003227CC"/>
    <w:rsid w:val="003233B0"/>
    <w:rsid w:val="00323565"/>
    <w:rsid w:val="003235A0"/>
    <w:rsid w:val="003241E8"/>
    <w:rsid w:val="00325536"/>
    <w:rsid w:val="0032611B"/>
    <w:rsid w:val="00326496"/>
    <w:rsid w:val="00327FDB"/>
    <w:rsid w:val="003302BA"/>
    <w:rsid w:val="00330574"/>
    <w:rsid w:val="0033116C"/>
    <w:rsid w:val="003317B8"/>
    <w:rsid w:val="00331B1E"/>
    <w:rsid w:val="00332089"/>
    <w:rsid w:val="003320E2"/>
    <w:rsid w:val="00332858"/>
    <w:rsid w:val="00333338"/>
    <w:rsid w:val="00333EED"/>
    <w:rsid w:val="0033436E"/>
    <w:rsid w:val="003352A8"/>
    <w:rsid w:val="00335826"/>
    <w:rsid w:val="00335C8E"/>
    <w:rsid w:val="00335FD9"/>
    <w:rsid w:val="003361A7"/>
    <w:rsid w:val="00336860"/>
    <w:rsid w:val="0033687B"/>
    <w:rsid w:val="0033689C"/>
    <w:rsid w:val="00336F74"/>
    <w:rsid w:val="00340F19"/>
    <w:rsid w:val="003417EE"/>
    <w:rsid w:val="00342DFF"/>
    <w:rsid w:val="003437FA"/>
    <w:rsid w:val="00344162"/>
    <w:rsid w:val="00344614"/>
    <w:rsid w:val="003454D5"/>
    <w:rsid w:val="00345703"/>
    <w:rsid w:val="003458E7"/>
    <w:rsid w:val="00346968"/>
    <w:rsid w:val="00346DBE"/>
    <w:rsid w:val="00347260"/>
    <w:rsid w:val="003474A6"/>
    <w:rsid w:val="00350AC9"/>
    <w:rsid w:val="00350CF0"/>
    <w:rsid w:val="00350D09"/>
    <w:rsid w:val="00352347"/>
    <w:rsid w:val="00352A7B"/>
    <w:rsid w:val="00352DC2"/>
    <w:rsid w:val="00352DEC"/>
    <w:rsid w:val="00352F8D"/>
    <w:rsid w:val="00353C95"/>
    <w:rsid w:val="00354130"/>
    <w:rsid w:val="0035498A"/>
    <w:rsid w:val="00354ABD"/>
    <w:rsid w:val="00354C53"/>
    <w:rsid w:val="003560F5"/>
    <w:rsid w:val="00356A6C"/>
    <w:rsid w:val="00356C42"/>
    <w:rsid w:val="00356FFA"/>
    <w:rsid w:val="00357ADC"/>
    <w:rsid w:val="00360296"/>
    <w:rsid w:val="00360EA7"/>
    <w:rsid w:val="0036113B"/>
    <w:rsid w:val="00361392"/>
    <w:rsid w:val="003622E7"/>
    <w:rsid w:val="00362C40"/>
    <w:rsid w:val="00362CF8"/>
    <w:rsid w:val="003636D1"/>
    <w:rsid w:val="00363C76"/>
    <w:rsid w:val="0036437F"/>
    <w:rsid w:val="00364B27"/>
    <w:rsid w:val="003656FA"/>
    <w:rsid w:val="00365A56"/>
    <w:rsid w:val="003661CC"/>
    <w:rsid w:val="00367E5C"/>
    <w:rsid w:val="00367FEE"/>
    <w:rsid w:val="00370F3B"/>
    <w:rsid w:val="003714B9"/>
    <w:rsid w:val="003722DD"/>
    <w:rsid w:val="00372C39"/>
    <w:rsid w:val="00373499"/>
    <w:rsid w:val="00373568"/>
    <w:rsid w:val="00373944"/>
    <w:rsid w:val="003746A6"/>
    <w:rsid w:val="003746E8"/>
    <w:rsid w:val="003752E5"/>
    <w:rsid w:val="00375570"/>
    <w:rsid w:val="0037561C"/>
    <w:rsid w:val="00375699"/>
    <w:rsid w:val="00375A08"/>
    <w:rsid w:val="00377055"/>
    <w:rsid w:val="00377C84"/>
    <w:rsid w:val="00380647"/>
    <w:rsid w:val="00380CD7"/>
    <w:rsid w:val="00380E71"/>
    <w:rsid w:val="003811A6"/>
    <w:rsid w:val="003825CC"/>
    <w:rsid w:val="003829FA"/>
    <w:rsid w:val="00384425"/>
    <w:rsid w:val="0038444C"/>
    <w:rsid w:val="0038478C"/>
    <w:rsid w:val="00384BCA"/>
    <w:rsid w:val="00384C0F"/>
    <w:rsid w:val="00385A4C"/>
    <w:rsid w:val="00385D34"/>
    <w:rsid w:val="00385FB8"/>
    <w:rsid w:val="003866BF"/>
    <w:rsid w:val="003875E2"/>
    <w:rsid w:val="0038786E"/>
    <w:rsid w:val="00394535"/>
    <w:rsid w:val="00394F83"/>
    <w:rsid w:val="00395721"/>
    <w:rsid w:val="00395BEE"/>
    <w:rsid w:val="00395BEF"/>
    <w:rsid w:val="00395E6C"/>
    <w:rsid w:val="00396249"/>
    <w:rsid w:val="003964D8"/>
    <w:rsid w:val="00396502"/>
    <w:rsid w:val="003966BB"/>
    <w:rsid w:val="00397DF5"/>
    <w:rsid w:val="003A08C0"/>
    <w:rsid w:val="003A18FC"/>
    <w:rsid w:val="003A1C58"/>
    <w:rsid w:val="003A1E91"/>
    <w:rsid w:val="003A2789"/>
    <w:rsid w:val="003A2A23"/>
    <w:rsid w:val="003A393C"/>
    <w:rsid w:val="003A44DD"/>
    <w:rsid w:val="003A4536"/>
    <w:rsid w:val="003A4643"/>
    <w:rsid w:val="003A4F55"/>
    <w:rsid w:val="003A515D"/>
    <w:rsid w:val="003A5533"/>
    <w:rsid w:val="003A582C"/>
    <w:rsid w:val="003A766A"/>
    <w:rsid w:val="003A7C39"/>
    <w:rsid w:val="003A7CD6"/>
    <w:rsid w:val="003A7F0F"/>
    <w:rsid w:val="003B09CC"/>
    <w:rsid w:val="003B0E0E"/>
    <w:rsid w:val="003B12AF"/>
    <w:rsid w:val="003B18E7"/>
    <w:rsid w:val="003B19BF"/>
    <w:rsid w:val="003B2813"/>
    <w:rsid w:val="003B28B4"/>
    <w:rsid w:val="003B320A"/>
    <w:rsid w:val="003B35B0"/>
    <w:rsid w:val="003B3BE4"/>
    <w:rsid w:val="003B45CC"/>
    <w:rsid w:val="003B47B9"/>
    <w:rsid w:val="003B5345"/>
    <w:rsid w:val="003B5675"/>
    <w:rsid w:val="003B5FB8"/>
    <w:rsid w:val="003B6FAA"/>
    <w:rsid w:val="003B74E0"/>
    <w:rsid w:val="003C2434"/>
    <w:rsid w:val="003C30A4"/>
    <w:rsid w:val="003C30C1"/>
    <w:rsid w:val="003C3A34"/>
    <w:rsid w:val="003C3EC3"/>
    <w:rsid w:val="003C4182"/>
    <w:rsid w:val="003C4D4F"/>
    <w:rsid w:val="003C4E2D"/>
    <w:rsid w:val="003C4F9F"/>
    <w:rsid w:val="003C595B"/>
    <w:rsid w:val="003C60F1"/>
    <w:rsid w:val="003C6228"/>
    <w:rsid w:val="003C6CF9"/>
    <w:rsid w:val="003C720F"/>
    <w:rsid w:val="003C7A55"/>
    <w:rsid w:val="003D131A"/>
    <w:rsid w:val="003D1434"/>
    <w:rsid w:val="003D1594"/>
    <w:rsid w:val="003D19CD"/>
    <w:rsid w:val="003D1B5C"/>
    <w:rsid w:val="003D3415"/>
    <w:rsid w:val="003D379A"/>
    <w:rsid w:val="003D511F"/>
    <w:rsid w:val="003D5834"/>
    <w:rsid w:val="003D6114"/>
    <w:rsid w:val="003D6617"/>
    <w:rsid w:val="003D795F"/>
    <w:rsid w:val="003D7CB8"/>
    <w:rsid w:val="003D7EA6"/>
    <w:rsid w:val="003E029F"/>
    <w:rsid w:val="003E0632"/>
    <w:rsid w:val="003E0DD3"/>
    <w:rsid w:val="003E3612"/>
    <w:rsid w:val="003E3C63"/>
    <w:rsid w:val="003E53A4"/>
    <w:rsid w:val="003E5B36"/>
    <w:rsid w:val="003E5DB8"/>
    <w:rsid w:val="003E601B"/>
    <w:rsid w:val="003E68D2"/>
    <w:rsid w:val="003E6B5A"/>
    <w:rsid w:val="003E7798"/>
    <w:rsid w:val="003F0973"/>
    <w:rsid w:val="003F0A6F"/>
    <w:rsid w:val="003F0ADC"/>
    <w:rsid w:val="003F0CB2"/>
    <w:rsid w:val="003F0FAF"/>
    <w:rsid w:val="003F10DE"/>
    <w:rsid w:val="003F150E"/>
    <w:rsid w:val="003F1C74"/>
    <w:rsid w:val="003F22B3"/>
    <w:rsid w:val="003F27BD"/>
    <w:rsid w:val="003F2F04"/>
    <w:rsid w:val="003F3836"/>
    <w:rsid w:val="003F3E26"/>
    <w:rsid w:val="003F44C7"/>
    <w:rsid w:val="003F58FF"/>
    <w:rsid w:val="003F631B"/>
    <w:rsid w:val="003F641D"/>
    <w:rsid w:val="003F73A2"/>
    <w:rsid w:val="003F7823"/>
    <w:rsid w:val="003F7875"/>
    <w:rsid w:val="003F7DC0"/>
    <w:rsid w:val="0040107F"/>
    <w:rsid w:val="00401586"/>
    <w:rsid w:val="0040162D"/>
    <w:rsid w:val="00401687"/>
    <w:rsid w:val="00401962"/>
    <w:rsid w:val="00401F41"/>
    <w:rsid w:val="00402DB2"/>
    <w:rsid w:val="00403FD8"/>
    <w:rsid w:val="00404047"/>
    <w:rsid w:val="00404230"/>
    <w:rsid w:val="00404B65"/>
    <w:rsid w:val="00406802"/>
    <w:rsid w:val="00407272"/>
    <w:rsid w:val="0040739A"/>
    <w:rsid w:val="00410022"/>
    <w:rsid w:val="00410519"/>
    <w:rsid w:val="00411015"/>
    <w:rsid w:val="00411532"/>
    <w:rsid w:val="00411B1D"/>
    <w:rsid w:val="00411DDB"/>
    <w:rsid w:val="0041259C"/>
    <w:rsid w:val="00413D69"/>
    <w:rsid w:val="00415806"/>
    <w:rsid w:val="00415A14"/>
    <w:rsid w:val="00416BB4"/>
    <w:rsid w:val="00417381"/>
    <w:rsid w:val="004173A9"/>
    <w:rsid w:val="004178EF"/>
    <w:rsid w:val="00420A00"/>
    <w:rsid w:val="00422358"/>
    <w:rsid w:val="00422DB9"/>
    <w:rsid w:val="00423546"/>
    <w:rsid w:val="0042407A"/>
    <w:rsid w:val="0042419F"/>
    <w:rsid w:val="004241C3"/>
    <w:rsid w:val="00424709"/>
    <w:rsid w:val="00424AD9"/>
    <w:rsid w:val="0042575F"/>
    <w:rsid w:val="00425C48"/>
    <w:rsid w:val="00426307"/>
    <w:rsid w:val="00426423"/>
    <w:rsid w:val="00426584"/>
    <w:rsid w:val="00426DC7"/>
    <w:rsid w:val="00430208"/>
    <w:rsid w:val="004306E4"/>
    <w:rsid w:val="00430708"/>
    <w:rsid w:val="00432989"/>
    <w:rsid w:val="004329A2"/>
    <w:rsid w:val="00432A49"/>
    <w:rsid w:val="00432A8A"/>
    <w:rsid w:val="00432DF8"/>
    <w:rsid w:val="00433016"/>
    <w:rsid w:val="0043317E"/>
    <w:rsid w:val="00433DA1"/>
    <w:rsid w:val="00433DF7"/>
    <w:rsid w:val="00434638"/>
    <w:rsid w:val="00435C54"/>
    <w:rsid w:val="00436213"/>
    <w:rsid w:val="00436423"/>
    <w:rsid w:val="00436CB9"/>
    <w:rsid w:val="004402B6"/>
    <w:rsid w:val="004408CD"/>
    <w:rsid w:val="004418B5"/>
    <w:rsid w:val="00441995"/>
    <w:rsid w:val="00441AF8"/>
    <w:rsid w:val="00442BC8"/>
    <w:rsid w:val="004430E5"/>
    <w:rsid w:val="00443986"/>
    <w:rsid w:val="00443A2D"/>
    <w:rsid w:val="00443BA2"/>
    <w:rsid w:val="00444CEF"/>
    <w:rsid w:val="00445F6A"/>
    <w:rsid w:val="004464F6"/>
    <w:rsid w:val="00446DFE"/>
    <w:rsid w:val="00447EDE"/>
    <w:rsid w:val="004512A3"/>
    <w:rsid w:val="00451968"/>
    <w:rsid w:val="0045215E"/>
    <w:rsid w:val="00452CB6"/>
    <w:rsid w:val="00452E43"/>
    <w:rsid w:val="0045421A"/>
    <w:rsid w:val="004561A3"/>
    <w:rsid w:val="00456458"/>
    <w:rsid w:val="00456512"/>
    <w:rsid w:val="00457423"/>
    <w:rsid w:val="0045798D"/>
    <w:rsid w:val="004605E1"/>
    <w:rsid w:val="004606DD"/>
    <w:rsid w:val="004612E1"/>
    <w:rsid w:val="00461C94"/>
    <w:rsid w:val="00461FDA"/>
    <w:rsid w:val="00462280"/>
    <w:rsid w:val="004628CB"/>
    <w:rsid w:val="00462F1D"/>
    <w:rsid w:val="004637A0"/>
    <w:rsid w:val="00463A83"/>
    <w:rsid w:val="00464214"/>
    <w:rsid w:val="0046560E"/>
    <w:rsid w:val="004659BB"/>
    <w:rsid w:val="0046649A"/>
    <w:rsid w:val="004703EC"/>
    <w:rsid w:val="00470743"/>
    <w:rsid w:val="00471025"/>
    <w:rsid w:val="00471848"/>
    <w:rsid w:val="004738F5"/>
    <w:rsid w:val="0047406A"/>
    <w:rsid w:val="0047421A"/>
    <w:rsid w:val="00474492"/>
    <w:rsid w:val="00474530"/>
    <w:rsid w:val="00474B4C"/>
    <w:rsid w:val="00474DE4"/>
    <w:rsid w:val="00475A8A"/>
    <w:rsid w:val="0047619C"/>
    <w:rsid w:val="00476C2F"/>
    <w:rsid w:val="00476F38"/>
    <w:rsid w:val="00476F55"/>
    <w:rsid w:val="004771CC"/>
    <w:rsid w:val="00477467"/>
    <w:rsid w:val="004806CB"/>
    <w:rsid w:val="00481001"/>
    <w:rsid w:val="004816D3"/>
    <w:rsid w:val="00483FFA"/>
    <w:rsid w:val="004843C1"/>
    <w:rsid w:val="0048587E"/>
    <w:rsid w:val="00486AD0"/>
    <w:rsid w:val="00486DE8"/>
    <w:rsid w:val="00486F31"/>
    <w:rsid w:val="00491EF0"/>
    <w:rsid w:val="00492431"/>
    <w:rsid w:val="004928D5"/>
    <w:rsid w:val="00492AF8"/>
    <w:rsid w:val="00493C2C"/>
    <w:rsid w:val="00494B07"/>
    <w:rsid w:val="0049528E"/>
    <w:rsid w:val="00495A38"/>
    <w:rsid w:val="00495B15"/>
    <w:rsid w:val="00495B2E"/>
    <w:rsid w:val="00496539"/>
    <w:rsid w:val="004966F2"/>
    <w:rsid w:val="00496722"/>
    <w:rsid w:val="00496C77"/>
    <w:rsid w:val="00497278"/>
    <w:rsid w:val="00497AEE"/>
    <w:rsid w:val="004A0028"/>
    <w:rsid w:val="004A006F"/>
    <w:rsid w:val="004A1CB3"/>
    <w:rsid w:val="004A1F41"/>
    <w:rsid w:val="004A2763"/>
    <w:rsid w:val="004A3252"/>
    <w:rsid w:val="004A39C2"/>
    <w:rsid w:val="004A4901"/>
    <w:rsid w:val="004A625C"/>
    <w:rsid w:val="004A63A7"/>
    <w:rsid w:val="004A6F6A"/>
    <w:rsid w:val="004A7653"/>
    <w:rsid w:val="004B0688"/>
    <w:rsid w:val="004B0793"/>
    <w:rsid w:val="004B0C46"/>
    <w:rsid w:val="004B170B"/>
    <w:rsid w:val="004B1D6A"/>
    <w:rsid w:val="004B20F0"/>
    <w:rsid w:val="004B236F"/>
    <w:rsid w:val="004B444E"/>
    <w:rsid w:val="004B4D44"/>
    <w:rsid w:val="004B5615"/>
    <w:rsid w:val="004B61EA"/>
    <w:rsid w:val="004B7189"/>
    <w:rsid w:val="004B7DA7"/>
    <w:rsid w:val="004B7DFE"/>
    <w:rsid w:val="004C01B2"/>
    <w:rsid w:val="004C0FBB"/>
    <w:rsid w:val="004C237F"/>
    <w:rsid w:val="004C2BAE"/>
    <w:rsid w:val="004C4F9B"/>
    <w:rsid w:val="004C5090"/>
    <w:rsid w:val="004C5ABC"/>
    <w:rsid w:val="004C60A1"/>
    <w:rsid w:val="004C6406"/>
    <w:rsid w:val="004C6B0C"/>
    <w:rsid w:val="004C7ABC"/>
    <w:rsid w:val="004D1C22"/>
    <w:rsid w:val="004D210A"/>
    <w:rsid w:val="004D43F4"/>
    <w:rsid w:val="004D4CE3"/>
    <w:rsid w:val="004D4D53"/>
    <w:rsid w:val="004D6C36"/>
    <w:rsid w:val="004E02CE"/>
    <w:rsid w:val="004E0F5A"/>
    <w:rsid w:val="004E14D7"/>
    <w:rsid w:val="004E16D0"/>
    <w:rsid w:val="004E26E1"/>
    <w:rsid w:val="004E2A9B"/>
    <w:rsid w:val="004E2CEB"/>
    <w:rsid w:val="004E3630"/>
    <w:rsid w:val="004E3CEB"/>
    <w:rsid w:val="004E4A22"/>
    <w:rsid w:val="004E6D3A"/>
    <w:rsid w:val="004E6EB7"/>
    <w:rsid w:val="004F01C9"/>
    <w:rsid w:val="004F0557"/>
    <w:rsid w:val="004F057B"/>
    <w:rsid w:val="004F0B2E"/>
    <w:rsid w:val="004F10FE"/>
    <w:rsid w:val="004F2A42"/>
    <w:rsid w:val="004F382C"/>
    <w:rsid w:val="004F3B68"/>
    <w:rsid w:val="004F3B82"/>
    <w:rsid w:val="004F3F28"/>
    <w:rsid w:val="004F5CE6"/>
    <w:rsid w:val="004F63A3"/>
    <w:rsid w:val="004F675B"/>
    <w:rsid w:val="004F6967"/>
    <w:rsid w:val="004F755F"/>
    <w:rsid w:val="004F75BD"/>
    <w:rsid w:val="004F79CF"/>
    <w:rsid w:val="005000BC"/>
    <w:rsid w:val="00500F88"/>
    <w:rsid w:val="005018A6"/>
    <w:rsid w:val="005024E5"/>
    <w:rsid w:val="0050314F"/>
    <w:rsid w:val="00503826"/>
    <w:rsid w:val="00503D34"/>
    <w:rsid w:val="0050440E"/>
    <w:rsid w:val="0050485B"/>
    <w:rsid w:val="0050498C"/>
    <w:rsid w:val="00504D95"/>
    <w:rsid w:val="005051FB"/>
    <w:rsid w:val="00505FA3"/>
    <w:rsid w:val="0050620A"/>
    <w:rsid w:val="00506447"/>
    <w:rsid w:val="00506DEA"/>
    <w:rsid w:val="00507E14"/>
    <w:rsid w:val="00507E91"/>
    <w:rsid w:val="0051011A"/>
    <w:rsid w:val="00510650"/>
    <w:rsid w:val="00510A7A"/>
    <w:rsid w:val="00511191"/>
    <w:rsid w:val="00512977"/>
    <w:rsid w:val="00513310"/>
    <w:rsid w:val="005135FD"/>
    <w:rsid w:val="00513C07"/>
    <w:rsid w:val="00513CD3"/>
    <w:rsid w:val="00513D09"/>
    <w:rsid w:val="00514FFB"/>
    <w:rsid w:val="0051510E"/>
    <w:rsid w:val="005155DD"/>
    <w:rsid w:val="00515874"/>
    <w:rsid w:val="00515CB3"/>
    <w:rsid w:val="005163B5"/>
    <w:rsid w:val="00516DB7"/>
    <w:rsid w:val="00516FAF"/>
    <w:rsid w:val="005173FD"/>
    <w:rsid w:val="0051763B"/>
    <w:rsid w:val="00517991"/>
    <w:rsid w:val="005202F5"/>
    <w:rsid w:val="005203FC"/>
    <w:rsid w:val="00520409"/>
    <w:rsid w:val="00524188"/>
    <w:rsid w:val="00524853"/>
    <w:rsid w:val="00525BF0"/>
    <w:rsid w:val="00530F3F"/>
    <w:rsid w:val="00531054"/>
    <w:rsid w:val="0053117F"/>
    <w:rsid w:val="005311C3"/>
    <w:rsid w:val="005312EB"/>
    <w:rsid w:val="00531374"/>
    <w:rsid w:val="00531498"/>
    <w:rsid w:val="005319EC"/>
    <w:rsid w:val="00533F0F"/>
    <w:rsid w:val="0053572F"/>
    <w:rsid w:val="005359E5"/>
    <w:rsid w:val="00535BEE"/>
    <w:rsid w:val="00535C56"/>
    <w:rsid w:val="00535C73"/>
    <w:rsid w:val="005363EC"/>
    <w:rsid w:val="0053691E"/>
    <w:rsid w:val="00536A58"/>
    <w:rsid w:val="00536FAB"/>
    <w:rsid w:val="005377E7"/>
    <w:rsid w:val="00540376"/>
    <w:rsid w:val="00541030"/>
    <w:rsid w:val="0054125C"/>
    <w:rsid w:val="00541880"/>
    <w:rsid w:val="00541D91"/>
    <w:rsid w:val="00542414"/>
    <w:rsid w:val="00542BE1"/>
    <w:rsid w:val="0054475B"/>
    <w:rsid w:val="00544DCB"/>
    <w:rsid w:val="0054662E"/>
    <w:rsid w:val="00547E78"/>
    <w:rsid w:val="005502BE"/>
    <w:rsid w:val="00551643"/>
    <w:rsid w:val="00551657"/>
    <w:rsid w:val="005519EB"/>
    <w:rsid w:val="00552E5F"/>
    <w:rsid w:val="00552FEB"/>
    <w:rsid w:val="00553BD9"/>
    <w:rsid w:val="005547C3"/>
    <w:rsid w:val="0055482A"/>
    <w:rsid w:val="00555318"/>
    <w:rsid w:val="0055541E"/>
    <w:rsid w:val="00556179"/>
    <w:rsid w:val="00556E0E"/>
    <w:rsid w:val="00556F7E"/>
    <w:rsid w:val="0055713A"/>
    <w:rsid w:val="00557D32"/>
    <w:rsid w:val="00560754"/>
    <w:rsid w:val="00561022"/>
    <w:rsid w:val="00561468"/>
    <w:rsid w:val="00561B42"/>
    <w:rsid w:val="0056255B"/>
    <w:rsid w:val="00563C18"/>
    <w:rsid w:val="00563D59"/>
    <w:rsid w:val="005640CA"/>
    <w:rsid w:val="00564AEB"/>
    <w:rsid w:val="00565720"/>
    <w:rsid w:val="005659D4"/>
    <w:rsid w:val="0056608C"/>
    <w:rsid w:val="0056645C"/>
    <w:rsid w:val="005709BF"/>
    <w:rsid w:val="00571925"/>
    <w:rsid w:val="0057248C"/>
    <w:rsid w:val="00572612"/>
    <w:rsid w:val="00572FDF"/>
    <w:rsid w:val="005733E8"/>
    <w:rsid w:val="00573C41"/>
    <w:rsid w:val="0057413D"/>
    <w:rsid w:val="005748AA"/>
    <w:rsid w:val="00574956"/>
    <w:rsid w:val="0057531E"/>
    <w:rsid w:val="005761DC"/>
    <w:rsid w:val="0057727E"/>
    <w:rsid w:val="0057737D"/>
    <w:rsid w:val="0057740D"/>
    <w:rsid w:val="005775A4"/>
    <w:rsid w:val="005777E8"/>
    <w:rsid w:val="00580B84"/>
    <w:rsid w:val="00582FB2"/>
    <w:rsid w:val="00583CA5"/>
    <w:rsid w:val="00583CA6"/>
    <w:rsid w:val="0058450F"/>
    <w:rsid w:val="00584601"/>
    <w:rsid w:val="0058482D"/>
    <w:rsid w:val="00584DF5"/>
    <w:rsid w:val="005850D6"/>
    <w:rsid w:val="00585323"/>
    <w:rsid w:val="00585646"/>
    <w:rsid w:val="00586D28"/>
    <w:rsid w:val="00586F55"/>
    <w:rsid w:val="00586F62"/>
    <w:rsid w:val="00587C87"/>
    <w:rsid w:val="00587E0C"/>
    <w:rsid w:val="005901DF"/>
    <w:rsid w:val="00590BCE"/>
    <w:rsid w:val="00591501"/>
    <w:rsid w:val="0059172E"/>
    <w:rsid w:val="00591A57"/>
    <w:rsid w:val="005920B3"/>
    <w:rsid w:val="00592B35"/>
    <w:rsid w:val="005937B4"/>
    <w:rsid w:val="00594165"/>
    <w:rsid w:val="00595546"/>
    <w:rsid w:val="00595E29"/>
    <w:rsid w:val="0059627A"/>
    <w:rsid w:val="00596A0B"/>
    <w:rsid w:val="00596B3C"/>
    <w:rsid w:val="00596F81"/>
    <w:rsid w:val="005A05A7"/>
    <w:rsid w:val="005A095C"/>
    <w:rsid w:val="005A1454"/>
    <w:rsid w:val="005A1A59"/>
    <w:rsid w:val="005A1C2A"/>
    <w:rsid w:val="005A1C56"/>
    <w:rsid w:val="005A24D1"/>
    <w:rsid w:val="005A2605"/>
    <w:rsid w:val="005A26E2"/>
    <w:rsid w:val="005A28D4"/>
    <w:rsid w:val="005A3420"/>
    <w:rsid w:val="005A3AE9"/>
    <w:rsid w:val="005A4AF8"/>
    <w:rsid w:val="005A64F0"/>
    <w:rsid w:val="005A66AA"/>
    <w:rsid w:val="005A71BC"/>
    <w:rsid w:val="005A77EC"/>
    <w:rsid w:val="005A7EF2"/>
    <w:rsid w:val="005B096D"/>
    <w:rsid w:val="005B26D3"/>
    <w:rsid w:val="005B4201"/>
    <w:rsid w:val="005B47EF"/>
    <w:rsid w:val="005B4DF0"/>
    <w:rsid w:val="005B4FD1"/>
    <w:rsid w:val="005B52C9"/>
    <w:rsid w:val="005B58CA"/>
    <w:rsid w:val="005B62BD"/>
    <w:rsid w:val="005B6A95"/>
    <w:rsid w:val="005B6D68"/>
    <w:rsid w:val="005B78D1"/>
    <w:rsid w:val="005B79F4"/>
    <w:rsid w:val="005B7B6A"/>
    <w:rsid w:val="005C0001"/>
    <w:rsid w:val="005C1194"/>
    <w:rsid w:val="005C1648"/>
    <w:rsid w:val="005C27AA"/>
    <w:rsid w:val="005C33DA"/>
    <w:rsid w:val="005C425E"/>
    <w:rsid w:val="005C4573"/>
    <w:rsid w:val="005C4BD7"/>
    <w:rsid w:val="005C4F26"/>
    <w:rsid w:val="005C502F"/>
    <w:rsid w:val="005C570A"/>
    <w:rsid w:val="005C5F97"/>
    <w:rsid w:val="005C6BAA"/>
    <w:rsid w:val="005C710F"/>
    <w:rsid w:val="005C76E2"/>
    <w:rsid w:val="005C7CC7"/>
    <w:rsid w:val="005D0162"/>
    <w:rsid w:val="005D02BD"/>
    <w:rsid w:val="005D0ACE"/>
    <w:rsid w:val="005D1404"/>
    <w:rsid w:val="005D1514"/>
    <w:rsid w:val="005D1B2F"/>
    <w:rsid w:val="005D1D11"/>
    <w:rsid w:val="005D24C1"/>
    <w:rsid w:val="005D4020"/>
    <w:rsid w:val="005D58E7"/>
    <w:rsid w:val="005D6870"/>
    <w:rsid w:val="005D6F3D"/>
    <w:rsid w:val="005E07A1"/>
    <w:rsid w:val="005E0A17"/>
    <w:rsid w:val="005E132B"/>
    <w:rsid w:val="005E2A6E"/>
    <w:rsid w:val="005E361A"/>
    <w:rsid w:val="005E3AF9"/>
    <w:rsid w:val="005E3B42"/>
    <w:rsid w:val="005E4049"/>
    <w:rsid w:val="005E4315"/>
    <w:rsid w:val="005E43CC"/>
    <w:rsid w:val="005E4495"/>
    <w:rsid w:val="005E5B1B"/>
    <w:rsid w:val="005E5E68"/>
    <w:rsid w:val="005E6253"/>
    <w:rsid w:val="005E6710"/>
    <w:rsid w:val="005E6842"/>
    <w:rsid w:val="005E6BBE"/>
    <w:rsid w:val="005E7397"/>
    <w:rsid w:val="005E7917"/>
    <w:rsid w:val="005F11DE"/>
    <w:rsid w:val="005F1580"/>
    <w:rsid w:val="005F182A"/>
    <w:rsid w:val="005F1F4B"/>
    <w:rsid w:val="005F3618"/>
    <w:rsid w:val="005F3D74"/>
    <w:rsid w:val="005F3ED8"/>
    <w:rsid w:val="005F4238"/>
    <w:rsid w:val="005F53AB"/>
    <w:rsid w:val="005F5EBA"/>
    <w:rsid w:val="005F733B"/>
    <w:rsid w:val="005F7456"/>
    <w:rsid w:val="005F7E18"/>
    <w:rsid w:val="006001DE"/>
    <w:rsid w:val="006001E7"/>
    <w:rsid w:val="006002B8"/>
    <w:rsid w:val="006003DC"/>
    <w:rsid w:val="0060042E"/>
    <w:rsid w:val="00601A9A"/>
    <w:rsid w:val="00602BA6"/>
    <w:rsid w:val="00603008"/>
    <w:rsid w:val="006033D2"/>
    <w:rsid w:val="00603481"/>
    <w:rsid w:val="00603C34"/>
    <w:rsid w:val="006043EF"/>
    <w:rsid w:val="00604731"/>
    <w:rsid w:val="00604BB3"/>
    <w:rsid w:val="00605426"/>
    <w:rsid w:val="00606B49"/>
    <w:rsid w:val="006071C4"/>
    <w:rsid w:val="00607573"/>
    <w:rsid w:val="006077F5"/>
    <w:rsid w:val="00607B95"/>
    <w:rsid w:val="0061149B"/>
    <w:rsid w:val="00611720"/>
    <w:rsid w:val="006119E2"/>
    <w:rsid w:val="00612057"/>
    <w:rsid w:val="00612942"/>
    <w:rsid w:val="00613EE3"/>
    <w:rsid w:val="00613F70"/>
    <w:rsid w:val="006140EF"/>
    <w:rsid w:val="006141E0"/>
    <w:rsid w:val="00614342"/>
    <w:rsid w:val="00615395"/>
    <w:rsid w:val="00616399"/>
    <w:rsid w:val="00616481"/>
    <w:rsid w:val="00617655"/>
    <w:rsid w:val="006176A6"/>
    <w:rsid w:val="006178D8"/>
    <w:rsid w:val="00617E8E"/>
    <w:rsid w:val="00620C53"/>
    <w:rsid w:val="006211B5"/>
    <w:rsid w:val="00622513"/>
    <w:rsid w:val="006227EA"/>
    <w:rsid w:val="006235C4"/>
    <w:rsid w:val="006235E2"/>
    <w:rsid w:val="00624173"/>
    <w:rsid w:val="0062520A"/>
    <w:rsid w:val="00625463"/>
    <w:rsid w:val="00625791"/>
    <w:rsid w:val="0062646E"/>
    <w:rsid w:val="0062748D"/>
    <w:rsid w:val="00627ACB"/>
    <w:rsid w:val="00630788"/>
    <w:rsid w:val="006316E2"/>
    <w:rsid w:val="006322B4"/>
    <w:rsid w:val="00632A4C"/>
    <w:rsid w:val="00632EED"/>
    <w:rsid w:val="00633732"/>
    <w:rsid w:val="00633792"/>
    <w:rsid w:val="00633856"/>
    <w:rsid w:val="00633891"/>
    <w:rsid w:val="00634020"/>
    <w:rsid w:val="00634455"/>
    <w:rsid w:val="00636D80"/>
    <w:rsid w:val="00637AC7"/>
    <w:rsid w:val="00640353"/>
    <w:rsid w:val="00640858"/>
    <w:rsid w:val="00640C97"/>
    <w:rsid w:val="00640EFA"/>
    <w:rsid w:val="006413A1"/>
    <w:rsid w:val="00641AD9"/>
    <w:rsid w:val="00642516"/>
    <w:rsid w:val="006441D2"/>
    <w:rsid w:val="00644673"/>
    <w:rsid w:val="00645052"/>
    <w:rsid w:val="006466A9"/>
    <w:rsid w:val="0065110D"/>
    <w:rsid w:val="00652B13"/>
    <w:rsid w:val="00653A8F"/>
    <w:rsid w:val="00655422"/>
    <w:rsid w:val="00655B49"/>
    <w:rsid w:val="00656595"/>
    <w:rsid w:val="00656B1A"/>
    <w:rsid w:val="00660671"/>
    <w:rsid w:val="00661089"/>
    <w:rsid w:val="00661289"/>
    <w:rsid w:val="0066274F"/>
    <w:rsid w:val="00662780"/>
    <w:rsid w:val="00662B14"/>
    <w:rsid w:val="006639AD"/>
    <w:rsid w:val="00663CCD"/>
    <w:rsid w:val="00664093"/>
    <w:rsid w:val="006648F1"/>
    <w:rsid w:val="006649C7"/>
    <w:rsid w:val="0066581E"/>
    <w:rsid w:val="00665DC6"/>
    <w:rsid w:val="0066703D"/>
    <w:rsid w:val="006678AA"/>
    <w:rsid w:val="00667C40"/>
    <w:rsid w:val="00667D81"/>
    <w:rsid w:val="00670232"/>
    <w:rsid w:val="00671046"/>
    <w:rsid w:val="0067233E"/>
    <w:rsid w:val="00672DA4"/>
    <w:rsid w:val="006736BF"/>
    <w:rsid w:val="0067456B"/>
    <w:rsid w:val="00674FF4"/>
    <w:rsid w:val="00675753"/>
    <w:rsid w:val="00675B58"/>
    <w:rsid w:val="00675FE2"/>
    <w:rsid w:val="00676F72"/>
    <w:rsid w:val="0067738F"/>
    <w:rsid w:val="006773E0"/>
    <w:rsid w:val="00677FE9"/>
    <w:rsid w:val="00680B98"/>
    <w:rsid w:val="006813C8"/>
    <w:rsid w:val="006817D6"/>
    <w:rsid w:val="00681D5C"/>
    <w:rsid w:val="00681D83"/>
    <w:rsid w:val="00681E3B"/>
    <w:rsid w:val="00682265"/>
    <w:rsid w:val="00682816"/>
    <w:rsid w:val="00682D83"/>
    <w:rsid w:val="00682DD1"/>
    <w:rsid w:val="00682ED5"/>
    <w:rsid w:val="00682FC6"/>
    <w:rsid w:val="00683F6D"/>
    <w:rsid w:val="00683FB7"/>
    <w:rsid w:val="00684BBE"/>
    <w:rsid w:val="006854C8"/>
    <w:rsid w:val="00685AF3"/>
    <w:rsid w:val="0068600E"/>
    <w:rsid w:val="006860D4"/>
    <w:rsid w:val="00687E53"/>
    <w:rsid w:val="006900C2"/>
    <w:rsid w:val="00690272"/>
    <w:rsid w:val="006906A1"/>
    <w:rsid w:val="006906C3"/>
    <w:rsid w:val="0069099D"/>
    <w:rsid w:val="00690AAD"/>
    <w:rsid w:val="006916BD"/>
    <w:rsid w:val="00691D43"/>
    <w:rsid w:val="006928EA"/>
    <w:rsid w:val="00693196"/>
    <w:rsid w:val="00694D88"/>
    <w:rsid w:val="00694E02"/>
    <w:rsid w:val="006959E5"/>
    <w:rsid w:val="00696A50"/>
    <w:rsid w:val="006A0C38"/>
    <w:rsid w:val="006A0F80"/>
    <w:rsid w:val="006A1830"/>
    <w:rsid w:val="006A2115"/>
    <w:rsid w:val="006A2206"/>
    <w:rsid w:val="006A27E1"/>
    <w:rsid w:val="006A3389"/>
    <w:rsid w:val="006A3721"/>
    <w:rsid w:val="006A3934"/>
    <w:rsid w:val="006A4CDA"/>
    <w:rsid w:val="006A55F1"/>
    <w:rsid w:val="006A5CAD"/>
    <w:rsid w:val="006A5EE1"/>
    <w:rsid w:val="006A623C"/>
    <w:rsid w:val="006A62D3"/>
    <w:rsid w:val="006A687C"/>
    <w:rsid w:val="006A7F1F"/>
    <w:rsid w:val="006B025C"/>
    <w:rsid w:val="006B13A8"/>
    <w:rsid w:val="006B16D9"/>
    <w:rsid w:val="006B26F8"/>
    <w:rsid w:val="006B2F39"/>
    <w:rsid w:val="006B30A9"/>
    <w:rsid w:val="006B3328"/>
    <w:rsid w:val="006B36E4"/>
    <w:rsid w:val="006B3E91"/>
    <w:rsid w:val="006B4372"/>
    <w:rsid w:val="006B45A0"/>
    <w:rsid w:val="006B4D39"/>
    <w:rsid w:val="006B4FD7"/>
    <w:rsid w:val="006B5004"/>
    <w:rsid w:val="006B7884"/>
    <w:rsid w:val="006B7D77"/>
    <w:rsid w:val="006B7F20"/>
    <w:rsid w:val="006B7F9E"/>
    <w:rsid w:val="006C0B88"/>
    <w:rsid w:val="006C1774"/>
    <w:rsid w:val="006C1B80"/>
    <w:rsid w:val="006C1C1F"/>
    <w:rsid w:val="006C29A3"/>
    <w:rsid w:val="006C30A2"/>
    <w:rsid w:val="006C3990"/>
    <w:rsid w:val="006C3A1F"/>
    <w:rsid w:val="006C422A"/>
    <w:rsid w:val="006C49DF"/>
    <w:rsid w:val="006C4CB3"/>
    <w:rsid w:val="006C5504"/>
    <w:rsid w:val="006C6805"/>
    <w:rsid w:val="006C6E72"/>
    <w:rsid w:val="006C710A"/>
    <w:rsid w:val="006D01A8"/>
    <w:rsid w:val="006D04E9"/>
    <w:rsid w:val="006D05F9"/>
    <w:rsid w:val="006D0D9F"/>
    <w:rsid w:val="006D11E9"/>
    <w:rsid w:val="006D1322"/>
    <w:rsid w:val="006D15EF"/>
    <w:rsid w:val="006D2173"/>
    <w:rsid w:val="006D2AEA"/>
    <w:rsid w:val="006D304D"/>
    <w:rsid w:val="006D363B"/>
    <w:rsid w:val="006D3DC3"/>
    <w:rsid w:val="006D4E42"/>
    <w:rsid w:val="006D5106"/>
    <w:rsid w:val="006D5E4B"/>
    <w:rsid w:val="006D6FE8"/>
    <w:rsid w:val="006D70D7"/>
    <w:rsid w:val="006D7798"/>
    <w:rsid w:val="006E0C12"/>
    <w:rsid w:val="006E1482"/>
    <w:rsid w:val="006E1487"/>
    <w:rsid w:val="006E19B1"/>
    <w:rsid w:val="006E1ABE"/>
    <w:rsid w:val="006E1CB6"/>
    <w:rsid w:val="006E2634"/>
    <w:rsid w:val="006E27E5"/>
    <w:rsid w:val="006E3A43"/>
    <w:rsid w:val="006E3EE7"/>
    <w:rsid w:val="006E5176"/>
    <w:rsid w:val="006E52A3"/>
    <w:rsid w:val="006E66B3"/>
    <w:rsid w:val="006E6805"/>
    <w:rsid w:val="006E6CF2"/>
    <w:rsid w:val="006E7348"/>
    <w:rsid w:val="006E756D"/>
    <w:rsid w:val="006E7775"/>
    <w:rsid w:val="006F006F"/>
    <w:rsid w:val="006F0302"/>
    <w:rsid w:val="006F0BEA"/>
    <w:rsid w:val="006F0DD3"/>
    <w:rsid w:val="006F15DD"/>
    <w:rsid w:val="006F1B28"/>
    <w:rsid w:val="006F1C72"/>
    <w:rsid w:val="006F292B"/>
    <w:rsid w:val="006F32B9"/>
    <w:rsid w:val="006F3F69"/>
    <w:rsid w:val="006F73E7"/>
    <w:rsid w:val="006F77ED"/>
    <w:rsid w:val="006F7E20"/>
    <w:rsid w:val="00700360"/>
    <w:rsid w:val="0070156E"/>
    <w:rsid w:val="00701EF0"/>
    <w:rsid w:val="00702163"/>
    <w:rsid w:val="0070267E"/>
    <w:rsid w:val="007030FE"/>
    <w:rsid w:val="00703120"/>
    <w:rsid w:val="007039B1"/>
    <w:rsid w:val="00703B80"/>
    <w:rsid w:val="00704265"/>
    <w:rsid w:val="00705B11"/>
    <w:rsid w:val="00705C6F"/>
    <w:rsid w:val="00706AFB"/>
    <w:rsid w:val="00706E32"/>
    <w:rsid w:val="00707541"/>
    <w:rsid w:val="00707717"/>
    <w:rsid w:val="0071099A"/>
    <w:rsid w:val="00710A06"/>
    <w:rsid w:val="00710C38"/>
    <w:rsid w:val="00711709"/>
    <w:rsid w:val="00711E72"/>
    <w:rsid w:val="007125F2"/>
    <w:rsid w:val="00712639"/>
    <w:rsid w:val="00712FE8"/>
    <w:rsid w:val="00713273"/>
    <w:rsid w:val="00713B51"/>
    <w:rsid w:val="0071478E"/>
    <w:rsid w:val="00714A81"/>
    <w:rsid w:val="00714B56"/>
    <w:rsid w:val="00714C88"/>
    <w:rsid w:val="00716207"/>
    <w:rsid w:val="00717463"/>
    <w:rsid w:val="00717879"/>
    <w:rsid w:val="00717B1B"/>
    <w:rsid w:val="0072060E"/>
    <w:rsid w:val="0072180A"/>
    <w:rsid w:val="0072237E"/>
    <w:rsid w:val="0072278F"/>
    <w:rsid w:val="007232AC"/>
    <w:rsid w:val="00724DD3"/>
    <w:rsid w:val="00725D1E"/>
    <w:rsid w:val="007261C2"/>
    <w:rsid w:val="00726BCF"/>
    <w:rsid w:val="00726C12"/>
    <w:rsid w:val="00726D51"/>
    <w:rsid w:val="00730105"/>
    <w:rsid w:val="00730230"/>
    <w:rsid w:val="00731AC6"/>
    <w:rsid w:val="00731D8E"/>
    <w:rsid w:val="00731E14"/>
    <w:rsid w:val="00731EA7"/>
    <w:rsid w:val="007324C3"/>
    <w:rsid w:val="007328B6"/>
    <w:rsid w:val="00733628"/>
    <w:rsid w:val="00733849"/>
    <w:rsid w:val="00733F26"/>
    <w:rsid w:val="007353E5"/>
    <w:rsid w:val="0073776B"/>
    <w:rsid w:val="00743168"/>
    <w:rsid w:val="00743404"/>
    <w:rsid w:val="0074378D"/>
    <w:rsid w:val="00744F5C"/>
    <w:rsid w:val="00744F5D"/>
    <w:rsid w:val="00745546"/>
    <w:rsid w:val="00745CA9"/>
    <w:rsid w:val="00745E59"/>
    <w:rsid w:val="007468E5"/>
    <w:rsid w:val="00747279"/>
    <w:rsid w:val="007510F3"/>
    <w:rsid w:val="007512D4"/>
    <w:rsid w:val="00751358"/>
    <w:rsid w:val="00751439"/>
    <w:rsid w:val="00751E29"/>
    <w:rsid w:val="0075236C"/>
    <w:rsid w:val="007529B8"/>
    <w:rsid w:val="00753E91"/>
    <w:rsid w:val="007546AF"/>
    <w:rsid w:val="0075473B"/>
    <w:rsid w:val="00755021"/>
    <w:rsid w:val="00755884"/>
    <w:rsid w:val="00756391"/>
    <w:rsid w:val="00756E96"/>
    <w:rsid w:val="00756ECC"/>
    <w:rsid w:val="00761BBA"/>
    <w:rsid w:val="007623DF"/>
    <w:rsid w:val="00762870"/>
    <w:rsid w:val="007631B7"/>
    <w:rsid w:val="0076325B"/>
    <w:rsid w:val="007638BA"/>
    <w:rsid w:val="00763A55"/>
    <w:rsid w:val="00765934"/>
    <w:rsid w:val="00765F00"/>
    <w:rsid w:val="007673B1"/>
    <w:rsid w:val="007676A1"/>
    <w:rsid w:val="00767798"/>
    <w:rsid w:val="007701D3"/>
    <w:rsid w:val="00770702"/>
    <w:rsid w:val="007720CC"/>
    <w:rsid w:val="007722E7"/>
    <w:rsid w:val="00772579"/>
    <w:rsid w:val="00772717"/>
    <w:rsid w:val="00772AD4"/>
    <w:rsid w:val="00772EF9"/>
    <w:rsid w:val="0077317B"/>
    <w:rsid w:val="007732C3"/>
    <w:rsid w:val="00773E8E"/>
    <w:rsid w:val="0077472B"/>
    <w:rsid w:val="00774BA4"/>
    <w:rsid w:val="00774D58"/>
    <w:rsid w:val="00775327"/>
    <w:rsid w:val="00775D8C"/>
    <w:rsid w:val="00775F10"/>
    <w:rsid w:val="00776245"/>
    <w:rsid w:val="00777153"/>
    <w:rsid w:val="007811D2"/>
    <w:rsid w:val="00781ACD"/>
    <w:rsid w:val="00781CFA"/>
    <w:rsid w:val="00782407"/>
    <w:rsid w:val="00782527"/>
    <w:rsid w:val="0078254F"/>
    <w:rsid w:val="00782AEB"/>
    <w:rsid w:val="00783031"/>
    <w:rsid w:val="007833AF"/>
    <w:rsid w:val="007833DE"/>
    <w:rsid w:val="007833EC"/>
    <w:rsid w:val="00783402"/>
    <w:rsid w:val="007846FF"/>
    <w:rsid w:val="00784BB2"/>
    <w:rsid w:val="0078516D"/>
    <w:rsid w:val="007851E9"/>
    <w:rsid w:val="00785F75"/>
    <w:rsid w:val="00786471"/>
    <w:rsid w:val="007867A1"/>
    <w:rsid w:val="007905A0"/>
    <w:rsid w:val="007908B3"/>
    <w:rsid w:val="00791682"/>
    <w:rsid w:val="0079205E"/>
    <w:rsid w:val="0079278B"/>
    <w:rsid w:val="0079341E"/>
    <w:rsid w:val="0079490B"/>
    <w:rsid w:val="007959F1"/>
    <w:rsid w:val="0079648F"/>
    <w:rsid w:val="00796DAA"/>
    <w:rsid w:val="0079755E"/>
    <w:rsid w:val="0079765B"/>
    <w:rsid w:val="00797EDB"/>
    <w:rsid w:val="007A0DD7"/>
    <w:rsid w:val="007A1213"/>
    <w:rsid w:val="007A14CF"/>
    <w:rsid w:val="007A1862"/>
    <w:rsid w:val="007A1AF5"/>
    <w:rsid w:val="007A1E64"/>
    <w:rsid w:val="007A2978"/>
    <w:rsid w:val="007A3FD4"/>
    <w:rsid w:val="007A4B4B"/>
    <w:rsid w:val="007A4D7E"/>
    <w:rsid w:val="007A537B"/>
    <w:rsid w:val="007A5C28"/>
    <w:rsid w:val="007A6741"/>
    <w:rsid w:val="007A6B28"/>
    <w:rsid w:val="007A708F"/>
    <w:rsid w:val="007B005B"/>
    <w:rsid w:val="007B043C"/>
    <w:rsid w:val="007B0B73"/>
    <w:rsid w:val="007B0B8F"/>
    <w:rsid w:val="007B2D48"/>
    <w:rsid w:val="007B315E"/>
    <w:rsid w:val="007B37B2"/>
    <w:rsid w:val="007B3CC1"/>
    <w:rsid w:val="007B4610"/>
    <w:rsid w:val="007B4C12"/>
    <w:rsid w:val="007B4C2A"/>
    <w:rsid w:val="007B57CB"/>
    <w:rsid w:val="007B6062"/>
    <w:rsid w:val="007B620C"/>
    <w:rsid w:val="007B6AD8"/>
    <w:rsid w:val="007B7D14"/>
    <w:rsid w:val="007B7FF9"/>
    <w:rsid w:val="007C0120"/>
    <w:rsid w:val="007C051A"/>
    <w:rsid w:val="007C1835"/>
    <w:rsid w:val="007C1F6B"/>
    <w:rsid w:val="007C3C0C"/>
    <w:rsid w:val="007C3E19"/>
    <w:rsid w:val="007C4AEB"/>
    <w:rsid w:val="007C53BF"/>
    <w:rsid w:val="007C553D"/>
    <w:rsid w:val="007C685B"/>
    <w:rsid w:val="007C7273"/>
    <w:rsid w:val="007D0452"/>
    <w:rsid w:val="007D0DE0"/>
    <w:rsid w:val="007D289F"/>
    <w:rsid w:val="007D2D33"/>
    <w:rsid w:val="007D3D6C"/>
    <w:rsid w:val="007D3ECF"/>
    <w:rsid w:val="007D42BD"/>
    <w:rsid w:val="007D43AE"/>
    <w:rsid w:val="007D43BC"/>
    <w:rsid w:val="007D5B13"/>
    <w:rsid w:val="007D67A1"/>
    <w:rsid w:val="007D7523"/>
    <w:rsid w:val="007D7906"/>
    <w:rsid w:val="007D7AFC"/>
    <w:rsid w:val="007D7C44"/>
    <w:rsid w:val="007D7EDA"/>
    <w:rsid w:val="007E0A92"/>
    <w:rsid w:val="007E12C3"/>
    <w:rsid w:val="007E1868"/>
    <w:rsid w:val="007E202B"/>
    <w:rsid w:val="007E2147"/>
    <w:rsid w:val="007E25AF"/>
    <w:rsid w:val="007E2A64"/>
    <w:rsid w:val="007E2D02"/>
    <w:rsid w:val="007E2F48"/>
    <w:rsid w:val="007E336C"/>
    <w:rsid w:val="007E3564"/>
    <w:rsid w:val="007E373C"/>
    <w:rsid w:val="007E376C"/>
    <w:rsid w:val="007E3C8D"/>
    <w:rsid w:val="007E3E9F"/>
    <w:rsid w:val="007E4162"/>
    <w:rsid w:val="007E5C68"/>
    <w:rsid w:val="007E7290"/>
    <w:rsid w:val="007E7F1F"/>
    <w:rsid w:val="007F0F58"/>
    <w:rsid w:val="007F0F9D"/>
    <w:rsid w:val="007F18C9"/>
    <w:rsid w:val="007F28BC"/>
    <w:rsid w:val="007F36F9"/>
    <w:rsid w:val="007F3EC0"/>
    <w:rsid w:val="007F417F"/>
    <w:rsid w:val="007F606A"/>
    <w:rsid w:val="007F6A15"/>
    <w:rsid w:val="007F76CB"/>
    <w:rsid w:val="007F7798"/>
    <w:rsid w:val="007F7BD3"/>
    <w:rsid w:val="008002A7"/>
    <w:rsid w:val="0080067F"/>
    <w:rsid w:val="0080071F"/>
    <w:rsid w:val="00800742"/>
    <w:rsid w:val="00800B69"/>
    <w:rsid w:val="00801E55"/>
    <w:rsid w:val="00801F22"/>
    <w:rsid w:val="008028D6"/>
    <w:rsid w:val="00802B2B"/>
    <w:rsid w:val="00802FBC"/>
    <w:rsid w:val="00803023"/>
    <w:rsid w:val="00803186"/>
    <w:rsid w:val="0080388A"/>
    <w:rsid w:val="00804204"/>
    <w:rsid w:val="00804E91"/>
    <w:rsid w:val="008051B6"/>
    <w:rsid w:val="008062E5"/>
    <w:rsid w:val="008064B7"/>
    <w:rsid w:val="00806DFD"/>
    <w:rsid w:val="0080754E"/>
    <w:rsid w:val="008109FB"/>
    <w:rsid w:val="00810A47"/>
    <w:rsid w:val="00810C72"/>
    <w:rsid w:val="00811E46"/>
    <w:rsid w:val="0081248F"/>
    <w:rsid w:val="00813AE4"/>
    <w:rsid w:val="00813D05"/>
    <w:rsid w:val="008147D7"/>
    <w:rsid w:val="008167B2"/>
    <w:rsid w:val="00816CF2"/>
    <w:rsid w:val="00817B2B"/>
    <w:rsid w:val="00820085"/>
    <w:rsid w:val="008204DF"/>
    <w:rsid w:val="00820D54"/>
    <w:rsid w:val="0082257D"/>
    <w:rsid w:val="00822DE5"/>
    <w:rsid w:val="00823474"/>
    <w:rsid w:val="00824606"/>
    <w:rsid w:val="00824C27"/>
    <w:rsid w:val="00825F5E"/>
    <w:rsid w:val="00827461"/>
    <w:rsid w:val="008276DB"/>
    <w:rsid w:val="00827986"/>
    <w:rsid w:val="008314E4"/>
    <w:rsid w:val="008318E5"/>
    <w:rsid w:val="00831C1D"/>
    <w:rsid w:val="00831D1C"/>
    <w:rsid w:val="00831F4C"/>
    <w:rsid w:val="00833346"/>
    <w:rsid w:val="008338D4"/>
    <w:rsid w:val="00833E74"/>
    <w:rsid w:val="00834446"/>
    <w:rsid w:val="008348C2"/>
    <w:rsid w:val="00834BC2"/>
    <w:rsid w:val="00834EAD"/>
    <w:rsid w:val="008355B5"/>
    <w:rsid w:val="00835688"/>
    <w:rsid w:val="00835917"/>
    <w:rsid w:val="00835D4E"/>
    <w:rsid w:val="0083603D"/>
    <w:rsid w:val="00836143"/>
    <w:rsid w:val="008370E4"/>
    <w:rsid w:val="00837E1B"/>
    <w:rsid w:val="00837E7B"/>
    <w:rsid w:val="008406E0"/>
    <w:rsid w:val="008412FE"/>
    <w:rsid w:val="00841E76"/>
    <w:rsid w:val="00841F53"/>
    <w:rsid w:val="00842CE7"/>
    <w:rsid w:val="00843559"/>
    <w:rsid w:val="0084425D"/>
    <w:rsid w:val="0084458F"/>
    <w:rsid w:val="00844FF4"/>
    <w:rsid w:val="0084609A"/>
    <w:rsid w:val="008469A4"/>
    <w:rsid w:val="00846A09"/>
    <w:rsid w:val="00847218"/>
    <w:rsid w:val="00847766"/>
    <w:rsid w:val="00847DE1"/>
    <w:rsid w:val="008509C3"/>
    <w:rsid w:val="00850A8F"/>
    <w:rsid w:val="00850C2A"/>
    <w:rsid w:val="00850F0B"/>
    <w:rsid w:val="00851E26"/>
    <w:rsid w:val="00852925"/>
    <w:rsid w:val="00852F1B"/>
    <w:rsid w:val="008536CD"/>
    <w:rsid w:val="00853CFF"/>
    <w:rsid w:val="00854FC6"/>
    <w:rsid w:val="00855984"/>
    <w:rsid w:val="0085678D"/>
    <w:rsid w:val="008578D1"/>
    <w:rsid w:val="00860034"/>
    <w:rsid w:val="00860945"/>
    <w:rsid w:val="00860B41"/>
    <w:rsid w:val="00860EA5"/>
    <w:rsid w:val="00860EB4"/>
    <w:rsid w:val="00861026"/>
    <w:rsid w:val="00861992"/>
    <w:rsid w:val="00861CC0"/>
    <w:rsid w:val="008628CB"/>
    <w:rsid w:val="00862D70"/>
    <w:rsid w:val="00862DBC"/>
    <w:rsid w:val="0086302E"/>
    <w:rsid w:val="00865263"/>
    <w:rsid w:val="0086690E"/>
    <w:rsid w:val="00866D83"/>
    <w:rsid w:val="00866F58"/>
    <w:rsid w:val="00867C36"/>
    <w:rsid w:val="00870695"/>
    <w:rsid w:val="0087081A"/>
    <w:rsid w:val="0087111F"/>
    <w:rsid w:val="00871168"/>
    <w:rsid w:val="008717BD"/>
    <w:rsid w:val="00871C84"/>
    <w:rsid w:val="00872A77"/>
    <w:rsid w:val="00872EE7"/>
    <w:rsid w:val="008732C8"/>
    <w:rsid w:val="00873DC1"/>
    <w:rsid w:val="00874E38"/>
    <w:rsid w:val="00874FC6"/>
    <w:rsid w:val="00875704"/>
    <w:rsid w:val="0087665A"/>
    <w:rsid w:val="0087783C"/>
    <w:rsid w:val="00877E97"/>
    <w:rsid w:val="008803B5"/>
    <w:rsid w:val="008806BE"/>
    <w:rsid w:val="00880AC9"/>
    <w:rsid w:val="00880E9E"/>
    <w:rsid w:val="0088104D"/>
    <w:rsid w:val="00881272"/>
    <w:rsid w:val="008813C3"/>
    <w:rsid w:val="00881F24"/>
    <w:rsid w:val="00882106"/>
    <w:rsid w:val="0088224D"/>
    <w:rsid w:val="008825C5"/>
    <w:rsid w:val="00883041"/>
    <w:rsid w:val="0088314D"/>
    <w:rsid w:val="00883210"/>
    <w:rsid w:val="00883371"/>
    <w:rsid w:val="00883AC6"/>
    <w:rsid w:val="00884682"/>
    <w:rsid w:val="00884731"/>
    <w:rsid w:val="008850CA"/>
    <w:rsid w:val="008856C6"/>
    <w:rsid w:val="008857D6"/>
    <w:rsid w:val="00885904"/>
    <w:rsid w:val="00885A7E"/>
    <w:rsid w:val="00885ABB"/>
    <w:rsid w:val="00885CF4"/>
    <w:rsid w:val="00885E34"/>
    <w:rsid w:val="00886213"/>
    <w:rsid w:val="0088622A"/>
    <w:rsid w:val="00886BA3"/>
    <w:rsid w:val="00887309"/>
    <w:rsid w:val="00887CD8"/>
    <w:rsid w:val="0089058C"/>
    <w:rsid w:val="00890C49"/>
    <w:rsid w:val="00892441"/>
    <w:rsid w:val="00892567"/>
    <w:rsid w:val="008929F9"/>
    <w:rsid w:val="00892B5D"/>
    <w:rsid w:val="00892D08"/>
    <w:rsid w:val="00893791"/>
    <w:rsid w:val="00893E1C"/>
    <w:rsid w:val="00894619"/>
    <w:rsid w:val="00895313"/>
    <w:rsid w:val="008956A6"/>
    <w:rsid w:val="008959E0"/>
    <w:rsid w:val="00895C64"/>
    <w:rsid w:val="00896327"/>
    <w:rsid w:val="008965D7"/>
    <w:rsid w:val="0089791A"/>
    <w:rsid w:val="00897981"/>
    <w:rsid w:val="008979B0"/>
    <w:rsid w:val="00897C15"/>
    <w:rsid w:val="008A0665"/>
    <w:rsid w:val="008A0903"/>
    <w:rsid w:val="008A19B3"/>
    <w:rsid w:val="008A1AFF"/>
    <w:rsid w:val="008A1FC2"/>
    <w:rsid w:val="008A2416"/>
    <w:rsid w:val="008A2784"/>
    <w:rsid w:val="008A2F20"/>
    <w:rsid w:val="008A4842"/>
    <w:rsid w:val="008A562E"/>
    <w:rsid w:val="008A57AF"/>
    <w:rsid w:val="008A57E9"/>
    <w:rsid w:val="008A61A1"/>
    <w:rsid w:val="008A6299"/>
    <w:rsid w:val="008A682B"/>
    <w:rsid w:val="008A6DE4"/>
    <w:rsid w:val="008A71FE"/>
    <w:rsid w:val="008A73C5"/>
    <w:rsid w:val="008A7D55"/>
    <w:rsid w:val="008B089F"/>
    <w:rsid w:val="008B14A0"/>
    <w:rsid w:val="008B152B"/>
    <w:rsid w:val="008B1796"/>
    <w:rsid w:val="008B185A"/>
    <w:rsid w:val="008B2814"/>
    <w:rsid w:val="008B3947"/>
    <w:rsid w:val="008B39E5"/>
    <w:rsid w:val="008B3A92"/>
    <w:rsid w:val="008B3E5D"/>
    <w:rsid w:val="008B4102"/>
    <w:rsid w:val="008B4CD9"/>
    <w:rsid w:val="008B4D50"/>
    <w:rsid w:val="008B4F49"/>
    <w:rsid w:val="008B50D3"/>
    <w:rsid w:val="008B5276"/>
    <w:rsid w:val="008B6303"/>
    <w:rsid w:val="008B6724"/>
    <w:rsid w:val="008C0666"/>
    <w:rsid w:val="008C38FC"/>
    <w:rsid w:val="008C3EBD"/>
    <w:rsid w:val="008C48ED"/>
    <w:rsid w:val="008C50FF"/>
    <w:rsid w:val="008C564A"/>
    <w:rsid w:val="008C56C4"/>
    <w:rsid w:val="008C6A5A"/>
    <w:rsid w:val="008C6A98"/>
    <w:rsid w:val="008C7681"/>
    <w:rsid w:val="008C77F0"/>
    <w:rsid w:val="008C7B4A"/>
    <w:rsid w:val="008D1BA9"/>
    <w:rsid w:val="008D2897"/>
    <w:rsid w:val="008D2954"/>
    <w:rsid w:val="008D307E"/>
    <w:rsid w:val="008D3E6B"/>
    <w:rsid w:val="008D43AD"/>
    <w:rsid w:val="008D4F3B"/>
    <w:rsid w:val="008D583A"/>
    <w:rsid w:val="008D6082"/>
    <w:rsid w:val="008D7332"/>
    <w:rsid w:val="008D7A09"/>
    <w:rsid w:val="008D7DDE"/>
    <w:rsid w:val="008E0160"/>
    <w:rsid w:val="008E0247"/>
    <w:rsid w:val="008E03F0"/>
    <w:rsid w:val="008E0973"/>
    <w:rsid w:val="008E09DD"/>
    <w:rsid w:val="008E1426"/>
    <w:rsid w:val="008E1F99"/>
    <w:rsid w:val="008E228A"/>
    <w:rsid w:val="008E3324"/>
    <w:rsid w:val="008E569E"/>
    <w:rsid w:val="008E59F5"/>
    <w:rsid w:val="008E5A6D"/>
    <w:rsid w:val="008E6078"/>
    <w:rsid w:val="008E69D1"/>
    <w:rsid w:val="008E770D"/>
    <w:rsid w:val="008F1835"/>
    <w:rsid w:val="008F1C5A"/>
    <w:rsid w:val="008F2186"/>
    <w:rsid w:val="008F222C"/>
    <w:rsid w:val="008F32DF"/>
    <w:rsid w:val="008F4C95"/>
    <w:rsid w:val="008F4D20"/>
    <w:rsid w:val="008F5696"/>
    <w:rsid w:val="008F59F2"/>
    <w:rsid w:val="008F64A8"/>
    <w:rsid w:val="008F660A"/>
    <w:rsid w:val="009006B7"/>
    <w:rsid w:val="00900BD9"/>
    <w:rsid w:val="00900C09"/>
    <w:rsid w:val="00900F61"/>
    <w:rsid w:val="00900FCE"/>
    <w:rsid w:val="00901049"/>
    <w:rsid w:val="00902FFA"/>
    <w:rsid w:val="00903088"/>
    <w:rsid w:val="00903444"/>
    <w:rsid w:val="00905119"/>
    <w:rsid w:val="00905346"/>
    <w:rsid w:val="00905449"/>
    <w:rsid w:val="009056D4"/>
    <w:rsid w:val="00905E17"/>
    <w:rsid w:val="009063D5"/>
    <w:rsid w:val="00907951"/>
    <w:rsid w:val="00907E96"/>
    <w:rsid w:val="009107AC"/>
    <w:rsid w:val="00910F2F"/>
    <w:rsid w:val="0091126C"/>
    <w:rsid w:val="009119FF"/>
    <w:rsid w:val="00911C1E"/>
    <w:rsid w:val="00912185"/>
    <w:rsid w:val="009125FE"/>
    <w:rsid w:val="00914AEB"/>
    <w:rsid w:val="00915782"/>
    <w:rsid w:val="00915A30"/>
    <w:rsid w:val="009167E5"/>
    <w:rsid w:val="00916D14"/>
    <w:rsid w:val="00917470"/>
    <w:rsid w:val="00917699"/>
    <w:rsid w:val="00917B20"/>
    <w:rsid w:val="00917D3F"/>
    <w:rsid w:val="009213C2"/>
    <w:rsid w:val="009214F0"/>
    <w:rsid w:val="0092166A"/>
    <w:rsid w:val="009219F2"/>
    <w:rsid w:val="00921D3C"/>
    <w:rsid w:val="00921F78"/>
    <w:rsid w:val="009220FC"/>
    <w:rsid w:val="0092223F"/>
    <w:rsid w:val="00922991"/>
    <w:rsid w:val="009229BF"/>
    <w:rsid w:val="009229D1"/>
    <w:rsid w:val="00922C56"/>
    <w:rsid w:val="0092325A"/>
    <w:rsid w:val="009234B3"/>
    <w:rsid w:val="00923A84"/>
    <w:rsid w:val="009242BF"/>
    <w:rsid w:val="009247BB"/>
    <w:rsid w:val="009255FD"/>
    <w:rsid w:val="00925877"/>
    <w:rsid w:val="00925E7D"/>
    <w:rsid w:val="00925F08"/>
    <w:rsid w:val="00925F68"/>
    <w:rsid w:val="0092626E"/>
    <w:rsid w:val="009264EF"/>
    <w:rsid w:val="00926830"/>
    <w:rsid w:val="00927578"/>
    <w:rsid w:val="00930171"/>
    <w:rsid w:val="0093155B"/>
    <w:rsid w:val="009320C1"/>
    <w:rsid w:val="00932D68"/>
    <w:rsid w:val="00933736"/>
    <w:rsid w:val="00933C9E"/>
    <w:rsid w:val="0093412C"/>
    <w:rsid w:val="00935B99"/>
    <w:rsid w:val="0093605F"/>
    <w:rsid w:val="00936BAD"/>
    <w:rsid w:val="00936BF6"/>
    <w:rsid w:val="009373DC"/>
    <w:rsid w:val="00937764"/>
    <w:rsid w:val="00937D47"/>
    <w:rsid w:val="00940A03"/>
    <w:rsid w:val="00941B6E"/>
    <w:rsid w:val="00942135"/>
    <w:rsid w:val="00942288"/>
    <w:rsid w:val="00942474"/>
    <w:rsid w:val="00942CBA"/>
    <w:rsid w:val="00942F39"/>
    <w:rsid w:val="00943195"/>
    <w:rsid w:val="00943C74"/>
    <w:rsid w:val="00944A39"/>
    <w:rsid w:val="00944DD9"/>
    <w:rsid w:val="00944E4A"/>
    <w:rsid w:val="00945068"/>
    <w:rsid w:val="009457D1"/>
    <w:rsid w:val="009479FF"/>
    <w:rsid w:val="009510B7"/>
    <w:rsid w:val="0095118A"/>
    <w:rsid w:val="009514C9"/>
    <w:rsid w:val="00951590"/>
    <w:rsid w:val="00951634"/>
    <w:rsid w:val="00951B25"/>
    <w:rsid w:val="00951CA8"/>
    <w:rsid w:val="0095260F"/>
    <w:rsid w:val="009536D8"/>
    <w:rsid w:val="00953971"/>
    <w:rsid w:val="009545AA"/>
    <w:rsid w:val="00954DB1"/>
    <w:rsid w:val="00955009"/>
    <w:rsid w:val="009553BC"/>
    <w:rsid w:val="009562CC"/>
    <w:rsid w:val="00960018"/>
    <w:rsid w:val="00960608"/>
    <w:rsid w:val="009645E0"/>
    <w:rsid w:val="00964C90"/>
    <w:rsid w:val="00965005"/>
    <w:rsid w:val="0096607B"/>
    <w:rsid w:val="00967E5F"/>
    <w:rsid w:val="009713AF"/>
    <w:rsid w:val="00971819"/>
    <w:rsid w:val="0097268E"/>
    <w:rsid w:val="00972AC6"/>
    <w:rsid w:val="009737E4"/>
    <w:rsid w:val="009738F5"/>
    <w:rsid w:val="0097390C"/>
    <w:rsid w:val="00974060"/>
    <w:rsid w:val="00974613"/>
    <w:rsid w:val="00974C38"/>
    <w:rsid w:val="009755F4"/>
    <w:rsid w:val="009770C8"/>
    <w:rsid w:val="00980256"/>
    <w:rsid w:val="00980685"/>
    <w:rsid w:val="00981419"/>
    <w:rsid w:val="00981A20"/>
    <w:rsid w:val="0098211A"/>
    <w:rsid w:val="0098255E"/>
    <w:rsid w:val="0098272E"/>
    <w:rsid w:val="00982E82"/>
    <w:rsid w:val="009833F0"/>
    <w:rsid w:val="009839B6"/>
    <w:rsid w:val="00983B74"/>
    <w:rsid w:val="00983FA5"/>
    <w:rsid w:val="0098652A"/>
    <w:rsid w:val="009869A0"/>
    <w:rsid w:val="00986ACA"/>
    <w:rsid w:val="0098733E"/>
    <w:rsid w:val="00990145"/>
    <w:rsid w:val="00990263"/>
    <w:rsid w:val="0099058D"/>
    <w:rsid w:val="0099093C"/>
    <w:rsid w:val="00991599"/>
    <w:rsid w:val="00991CA6"/>
    <w:rsid w:val="009922E5"/>
    <w:rsid w:val="00993598"/>
    <w:rsid w:val="00993680"/>
    <w:rsid w:val="00994C65"/>
    <w:rsid w:val="00994EC4"/>
    <w:rsid w:val="0099556A"/>
    <w:rsid w:val="00995F9A"/>
    <w:rsid w:val="00997307"/>
    <w:rsid w:val="00997A17"/>
    <w:rsid w:val="00997CA0"/>
    <w:rsid w:val="009A0034"/>
    <w:rsid w:val="009A0E56"/>
    <w:rsid w:val="009A1168"/>
    <w:rsid w:val="009A14B6"/>
    <w:rsid w:val="009A1830"/>
    <w:rsid w:val="009A26DE"/>
    <w:rsid w:val="009A33DD"/>
    <w:rsid w:val="009A36E7"/>
    <w:rsid w:val="009A4CCC"/>
    <w:rsid w:val="009A54C1"/>
    <w:rsid w:val="009A5798"/>
    <w:rsid w:val="009A6F51"/>
    <w:rsid w:val="009A75ED"/>
    <w:rsid w:val="009B0485"/>
    <w:rsid w:val="009B0914"/>
    <w:rsid w:val="009B0B38"/>
    <w:rsid w:val="009B0BAF"/>
    <w:rsid w:val="009B11AB"/>
    <w:rsid w:val="009B13D4"/>
    <w:rsid w:val="009B13F5"/>
    <w:rsid w:val="009B1980"/>
    <w:rsid w:val="009B2E99"/>
    <w:rsid w:val="009B30A1"/>
    <w:rsid w:val="009B30D3"/>
    <w:rsid w:val="009B32DF"/>
    <w:rsid w:val="009B3982"/>
    <w:rsid w:val="009B595A"/>
    <w:rsid w:val="009B7F81"/>
    <w:rsid w:val="009C0692"/>
    <w:rsid w:val="009C0703"/>
    <w:rsid w:val="009C10AD"/>
    <w:rsid w:val="009C37CF"/>
    <w:rsid w:val="009C45AA"/>
    <w:rsid w:val="009C5336"/>
    <w:rsid w:val="009C5B7A"/>
    <w:rsid w:val="009C6229"/>
    <w:rsid w:val="009C6829"/>
    <w:rsid w:val="009C6C43"/>
    <w:rsid w:val="009D00F1"/>
    <w:rsid w:val="009D0A30"/>
    <w:rsid w:val="009D1290"/>
    <w:rsid w:val="009D1599"/>
    <w:rsid w:val="009D2F14"/>
    <w:rsid w:val="009D322B"/>
    <w:rsid w:val="009D4823"/>
    <w:rsid w:val="009D4AF8"/>
    <w:rsid w:val="009D64F6"/>
    <w:rsid w:val="009D6511"/>
    <w:rsid w:val="009D6BCE"/>
    <w:rsid w:val="009D6F86"/>
    <w:rsid w:val="009D7743"/>
    <w:rsid w:val="009D7CE2"/>
    <w:rsid w:val="009E0427"/>
    <w:rsid w:val="009E0F60"/>
    <w:rsid w:val="009E1C3D"/>
    <w:rsid w:val="009E1F61"/>
    <w:rsid w:val="009E23DD"/>
    <w:rsid w:val="009E3815"/>
    <w:rsid w:val="009E3DF6"/>
    <w:rsid w:val="009E4827"/>
    <w:rsid w:val="009E4B94"/>
    <w:rsid w:val="009E524D"/>
    <w:rsid w:val="009E5305"/>
    <w:rsid w:val="009E5668"/>
    <w:rsid w:val="009E7CB7"/>
    <w:rsid w:val="009F0A68"/>
    <w:rsid w:val="009F1B1C"/>
    <w:rsid w:val="009F2498"/>
    <w:rsid w:val="009F31D6"/>
    <w:rsid w:val="009F367A"/>
    <w:rsid w:val="009F3C89"/>
    <w:rsid w:val="009F51F9"/>
    <w:rsid w:val="009F5A24"/>
    <w:rsid w:val="009F6465"/>
    <w:rsid w:val="009F68C7"/>
    <w:rsid w:val="009F6B13"/>
    <w:rsid w:val="009F7669"/>
    <w:rsid w:val="009F7B37"/>
    <w:rsid w:val="009F7D28"/>
    <w:rsid w:val="009F7EC5"/>
    <w:rsid w:val="00A00253"/>
    <w:rsid w:val="00A006B0"/>
    <w:rsid w:val="00A00B7C"/>
    <w:rsid w:val="00A00C9F"/>
    <w:rsid w:val="00A01090"/>
    <w:rsid w:val="00A01DBC"/>
    <w:rsid w:val="00A0320D"/>
    <w:rsid w:val="00A03D32"/>
    <w:rsid w:val="00A04966"/>
    <w:rsid w:val="00A05058"/>
    <w:rsid w:val="00A05205"/>
    <w:rsid w:val="00A05EDA"/>
    <w:rsid w:val="00A064AB"/>
    <w:rsid w:val="00A06682"/>
    <w:rsid w:val="00A06C6F"/>
    <w:rsid w:val="00A07350"/>
    <w:rsid w:val="00A10400"/>
    <w:rsid w:val="00A10DF1"/>
    <w:rsid w:val="00A1121C"/>
    <w:rsid w:val="00A11705"/>
    <w:rsid w:val="00A142A0"/>
    <w:rsid w:val="00A14947"/>
    <w:rsid w:val="00A149F3"/>
    <w:rsid w:val="00A15BF7"/>
    <w:rsid w:val="00A16068"/>
    <w:rsid w:val="00A16D08"/>
    <w:rsid w:val="00A1772A"/>
    <w:rsid w:val="00A17E87"/>
    <w:rsid w:val="00A200EE"/>
    <w:rsid w:val="00A20378"/>
    <w:rsid w:val="00A21290"/>
    <w:rsid w:val="00A23D9F"/>
    <w:rsid w:val="00A2433D"/>
    <w:rsid w:val="00A25A5A"/>
    <w:rsid w:val="00A25D7E"/>
    <w:rsid w:val="00A25EB6"/>
    <w:rsid w:val="00A25F62"/>
    <w:rsid w:val="00A26344"/>
    <w:rsid w:val="00A26538"/>
    <w:rsid w:val="00A2682B"/>
    <w:rsid w:val="00A27F99"/>
    <w:rsid w:val="00A30346"/>
    <w:rsid w:val="00A3111D"/>
    <w:rsid w:val="00A3215F"/>
    <w:rsid w:val="00A324A1"/>
    <w:rsid w:val="00A34AA7"/>
    <w:rsid w:val="00A353C9"/>
    <w:rsid w:val="00A353DD"/>
    <w:rsid w:val="00A35ADF"/>
    <w:rsid w:val="00A364DA"/>
    <w:rsid w:val="00A365C2"/>
    <w:rsid w:val="00A365D8"/>
    <w:rsid w:val="00A36F6F"/>
    <w:rsid w:val="00A37085"/>
    <w:rsid w:val="00A37554"/>
    <w:rsid w:val="00A375A9"/>
    <w:rsid w:val="00A37B3E"/>
    <w:rsid w:val="00A400EF"/>
    <w:rsid w:val="00A40389"/>
    <w:rsid w:val="00A40869"/>
    <w:rsid w:val="00A42803"/>
    <w:rsid w:val="00A44784"/>
    <w:rsid w:val="00A44F36"/>
    <w:rsid w:val="00A45177"/>
    <w:rsid w:val="00A470E8"/>
    <w:rsid w:val="00A47D8F"/>
    <w:rsid w:val="00A47FBC"/>
    <w:rsid w:val="00A50249"/>
    <w:rsid w:val="00A50C6D"/>
    <w:rsid w:val="00A522FB"/>
    <w:rsid w:val="00A5320D"/>
    <w:rsid w:val="00A54A1F"/>
    <w:rsid w:val="00A54AAF"/>
    <w:rsid w:val="00A54FE2"/>
    <w:rsid w:val="00A550F1"/>
    <w:rsid w:val="00A55C16"/>
    <w:rsid w:val="00A56030"/>
    <w:rsid w:val="00A56306"/>
    <w:rsid w:val="00A56C58"/>
    <w:rsid w:val="00A57C2E"/>
    <w:rsid w:val="00A57F9B"/>
    <w:rsid w:val="00A60A7D"/>
    <w:rsid w:val="00A61248"/>
    <w:rsid w:val="00A632C5"/>
    <w:rsid w:val="00A63851"/>
    <w:rsid w:val="00A64B1D"/>
    <w:rsid w:val="00A659D3"/>
    <w:rsid w:val="00A66C30"/>
    <w:rsid w:val="00A66EED"/>
    <w:rsid w:val="00A6736E"/>
    <w:rsid w:val="00A67BB6"/>
    <w:rsid w:val="00A70F73"/>
    <w:rsid w:val="00A7134F"/>
    <w:rsid w:val="00A71644"/>
    <w:rsid w:val="00A71FED"/>
    <w:rsid w:val="00A725DD"/>
    <w:rsid w:val="00A7323A"/>
    <w:rsid w:val="00A73350"/>
    <w:rsid w:val="00A73D5E"/>
    <w:rsid w:val="00A7439F"/>
    <w:rsid w:val="00A75018"/>
    <w:rsid w:val="00A75B52"/>
    <w:rsid w:val="00A75F52"/>
    <w:rsid w:val="00A7600B"/>
    <w:rsid w:val="00A7605B"/>
    <w:rsid w:val="00A76ABD"/>
    <w:rsid w:val="00A77C1D"/>
    <w:rsid w:val="00A806BA"/>
    <w:rsid w:val="00A81A65"/>
    <w:rsid w:val="00A81AE6"/>
    <w:rsid w:val="00A82767"/>
    <w:rsid w:val="00A831DB"/>
    <w:rsid w:val="00A837B8"/>
    <w:rsid w:val="00A83DD9"/>
    <w:rsid w:val="00A842FB"/>
    <w:rsid w:val="00A85038"/>
    <w:rsid w:val="00A85858"/>
    <w:rsid w:val="00A8605A"/>
    <w:rsid w:val="00A875F4"/>
    <w:rsid w:val="00A90025"/>
    <w:rsid w:val="00A90F69"/>
    <w:rsid w:val="00A91515"/>
    <w:rsid w:val="00A91A7D"/>
    <w:rsid w:val="00A92186"/>
    <w:rsid w:val="00A92C77"/>
    <w:rsid w:val="00A930CA"/>
    <w:rsid w:val="00A93347"/>
    <w:rsid w:val="00A94748"/>
    <w:rsid w:val="00A95309"/>
    <w:rsid w:val="00A954AF"/>
    <w:rsid w:val="00A96168"/>
    <w:rsid w:val="00A97FA4"/>
    <w:rsid w:val="00A97FD6"/>
    <w:rsid w:val="00AA0AAC"/>
    <w:rsid w:val="00AA138D"/>
    <w:rsid w:val="00AA1F08"/>
    <w:rsid w:val="00AA204C"/>
    <w:rsid w:val="00AA2705"/>
    <w:rsid w:val="00AA3338"/>
    <w:rsid w:val="00AA3746"/>
    <w:rsid w:val="00AA3DD4"/>
    <w:rsid w:val="00AA47D1"/>
    <w:rsid w:val="00AA5055"/>
    <w:rsid w:val="00AA5084"/>
    <w:rsid w:val="00AA530C"/>
    <w:rsid w:val="00AA617B"/>
    <w:rsid w:val="00AA734A"/>
    <w:rsid w:val="00AA7803"/>
    <w:rsid w:val="00AB010A"/>
    <w:rsid w:val="00AB2C89"/>
    <w:rsid w:val="00AB30AF"/>
    <w:rsid w:val="00AB32CB"/>
    <w:rsid w:val="00AB4582"/>
    <w:rsid w:val="00AB4859"/>
    <w:rsid w:val="00AB544E"/>
    <w:rsid w:val="00AB5749"/>
    <w:rsid w:val="00AB6346"/>
    <w:rsid w:val="00AB639F"/>
    <w:rsid w:val="00AB6785"/>
    <w:rsid w:val="00AB6BA6"/>
    <w:rsid w:val="00AB6D0D"/>
    <w:rsid w:val="00AC0194"/>
    <w:rsid w:val="00AC0526"/>
    <w:rsid w:val="00AC1393"/>
    <w:rsid w:val="00AC22F4"/>
    <w:rsid w:val="00AC2C2E"/>
    <w:rsid w:val="00AC4EA2"/>
    <w:rsid w:val="00AC6AA4"/>
    <w:rsid w:val="00AC6E83"/>
    <w:rsid w:val="00AC7A23"/>
    <w:rsid w:val="00AC7C34"/>
    <w:rsid w:val="00AC7D8B"/>
    <w:rsid w:val="00AD14B4"/>
    <w:rsid w:val="00AD2404"/>
    <w:rsid w:val="00AD2674"/>
    <w:rsid w:val="00AD340E"/>
    <w:rsid w:val="00AD3A5A"/>
    <w:rsid w:val="00AD3CB1"/>
    <w:rsid w:val="00AD407E"/>
    <w:rsid w:val="00AD4148"/>
    <w:rsid w:val="00AD431E"/>
    <w:rsid w:val="00AD43C2"/>
    <w:rsid w:val="00AD6234"/>
    <w:rsid w:val="00AD6972"/>
    <w:rsid w:val="00AD6C65"/>
    <w:rsid w:val="00AD7148"/>
    <w:rsid w:val="00AE000B"/>
    <w:rsid w:val="00AE002B"/>
    <w:rsid w:val="00AE07AD"/>
    <w:rsid w:val="00AE11D9"/>
    <w:rsid w:val="00AE1237"/>
    <w:rsid w:val="00AE157B"/>
    <w:rsid w:val="00AE1764"/>
    <w:rsid w:val="00AE194C"/>
    <w:rsid w:val="00AE1D2E"/>
    <w:rsid w:val="00AE3028"/>
    <w:rsid w:val="00AE3444"/>
    <w:rsid w:val="00AE37AB"/>
    <w:rsid w:val="00AE3A52"/>
    <w:rsid w:val="00AE4107"/>
    <w:rsid w:val="00AE5077"/>
    <w:rsid w:val="00AE512D"/>
    <w:rsid w:val="00AE5433"/>
    <w:rsid w:val="00AE5536"/>
    <w:rsid w:val="00AE66A8"/>
    <w:rsid w:val="00AE6991"/>
    <w:rsid w:val="00AE6EC3"/>
    <w:rsid w:val="00AE7771"/>
    <w:rsid w:val="00AF08E7"/>
    <w:rsid w:val="00AF0A5D"/>
    <w:rsid w:val="00AF0FD0"/>
    <w:rsid w:val="00AF1D02"/>
    <w:rsid w:val="00AF23E4"/>
    <w:rsid w:val="00AF3009"/>
    <w:rsid w:val="00AF347A"/>
    <w:rsid w:val="00AF4EDA"/>
    <w:rsid w:val="00AF6AEE"/>
    <w:rsid w:val="00AF749E"/>
    <w:rsid w:val="00AF7519"/>
    <w:rsid w:val="00AF7608"/>
    <w:rsid w:val="00AF7663"/>
    <w:rsid w:val="00AF7BFA"/>
    <w:rsid w:val="00B00D92"/>
    <w:rsid w:val="00B01FE3"/>
    <w:rsid w:val="00B02361"/>
    <w:rsid w:val="00B023C9"/>
    <w:rsid w:val="00B026D3"/>
    <w:rsid w:val="00B030D6"/>
    <w:rsid w:val="00B031FA"/>
    <w:rsid w:val="00B04987"/>
    <w:rsid w:val="00B04B62"/>
    <w:rsid w:val="00B04CBC"/>
    <w:rsid w:val="00B0657B"/>
    <w:rsid w:val="00B074E7"/>
    <w:rsid w:val="00B1212C"/>
    <w:rsid w:val="00B12224"/>
    <w:rsid w:val="00B124AE"/>
    <w:rsid w:val="00B12EE8"/>
    <w:rsid w:val="00B1335A"/>
    <w:rsid w:val="00B135A0"/>
    <w:rsid w:val="00B143F1"/>
    <w:rsid w:val="00B144B7"/>
    <w:rsid w:val="00B14848"/>
    <w:rsid w:val="00B1499C"/>
    <w:rsid w:val="00B15171"/>
    <w:rsid w:val="00B15645"/>
    <w:rsid w:val="00B15D3A"/>
    <w:rsid w:val="00B16271"/>
    <w:rsid w:val="00B16AAE"/>
    <w:rsid w:val="00B16D86"/>
    <w:rsid w:val="00B207FD"/>
    <w:rsid w:val="00B21252"/>
    <w:rsid w:val="00B212CE"/>
    <w:rsid w:val="00B21378"/>
    <w:rsid w:val="00B228C0"/>
    <w:rsid w:val="00B230F8"/>
    <w:rsid w:val="00B23143"/>
    <w:rsid w:val="00B23203"/>
    <w:rsid w:val="00B23307"/>
    <w:rsid w:val="00B24B36"/>
    <w:rsid w:val="00B24F48"/>
    <w:rsid w:val="00B25CBB"/>
    <w:rsid w:val="00B25DC5"/>
    <w:rsid w:val="00B25FC0"/>
    <w:rsid w:val="00B267E3"/>
    <w:rsid w:val="00B27CF9"/>
    <w:rsid w:val="00B305EC"/>
    <w:rsid w:val="00B310F1"/>
    <w:rsid w:val="00B313B8"/>
    <w:rsid w:val="00B31CBB"/>
    <w:rsid w:val="00B31E7E"/>
    <w:rsid w:val="00B3233D"/>
    <w:rsid w:val="00B326A1"/>
    <w:rsid w:val="00B344A3"/>
    <w:rsid w:val="00B3585D"/>
    <w:rsid w:val="00B35A4B"/>
    <w:rsid w:val="00B35F19"/>
    <w:rsid w:val="00B36048"/>
    <w:rsid w:val="00B36784"/>
    <w:rsid w:val="00B3748E"/>
    <w:rsid w:val="00B375A2"/>
    <w:rsid w:val="00B37C27"/>
    <w:rsid w:val="00B40660"/>
    <w:rsid w:val="00B4089C"/>
    <w:rsid w:val="00B42500"/>
    <w:rsid w:val="00B434DF"/>
    <w:rsid w:val="00B43719"/>
    <w:rsid w:val="00B4587A"/>
    <w:rsid w:val="00B45E3E"/>
    <w:rsid w:val="00B4620B"/>
    <w:rsid w:val="00B46466"/>
    <w:rsid w:val="00B46AD1"/>
    <w:rsid w:val="00B46FD2"/>
    <w:rsid w:val="00B50E4F"/>
    <w:rsid w:val="00B51034"/>
    <w:rsid w:val="00B52F14"/>
    <w:rsid w:val="00B5322B"/>
    <w:rsid w:val="00B54D00"/>
    <w:rsid w:val="00B55AAC"/>
    <w:rsid w:val="00B560C5"/>
    <w:rsid w:val="00B56BE4"/>
    <w:rsid w:val="00B56E23"/>
    <w:rsid w:val="00B5722B"/>
    <w:rsid w:val="00B57AD9"/>
    <w:rsid w:val="00B61B16"/>
    <w:rsid w:val="00B62BB9"/>
    <w:rsid w:val="00B6301D"/>
    <w:rsid w:val="00B63FEA"/>
    <w:rsid w:val="00B643F0"/>
    <w:rsid w:val="00B64529"/>
    <w:rsid w:val="00B650E8"/>
    <w:rsid w:val="00B6613C"/>
    <w:rsid w:val="00B6759F"/>
    <w:rsid w:val="00B700CE"/>
    <w:rsid w:val="00B70650"/>
    <w:rsid w:val="00B707B4"/>
    <w:rsid w:val="00B70E44"/>
    <w:rsid w:val="00B73994"/>
    <w:rsid w:val="00B74609"/>
    <w:rsid w:val="00B74CA9"/>
    <w:rsid w:val="00B74D8D"/>
    <w:rsid w:val="00B74E56"/>
    <w:rsid w:val="00B752B9"/>
    <w:rsid w:val="00B75474"/>
    <w:rsid w:val="00B75A04"/>
    <w:rsid w:val="00B7660A"/>
    <w:rsid w:val="00B777B0"/>
    <w:rsid w:val="00B80DD1"/>
    <w:rsid w:val="00B81467"/>
    <w:rsid w:val="00B8185C"/>
    <w:rsid w:val="00B81EB7"/>
    <w:rsid w:val="00B822BB"/>
    <w:rsid w:val="00B82AA3"/>
    <w:rsid w:val="00B83E5D"/>
    <w:rsid w:val="00B83F9A"/>
    <w:rsid w:val="00B85151"/>
    <w:rsid w:val="00B86488"/>
    <w:rsid w:val="00B9001C"/>
    <w:rsid w:val="00B908C1"/>
    <w:rsid w:val="00B91B0C"/>
    <w:rsid w:val="00B92C26"/>
    <w:rsid w:val="00B9387B"/>
    <w:rsid w:val="00B93FD0"/>
    <w:rsid w:val="00B943A6"/>
    <w:rsid w:val="00B94C4C"/>
    <w:rsid w:val="00B95329"/>
    <w:rsid w:val="00B955D3"/>
    <w:rsid w:val="00B9580F"/>
    <w:rsid w:val="00B958E4"/>
    <w:rsid w:val="00B96345"/>
    <w:rsid w:val="00B970E5"/>
    <w:rsid w:val="00BA0383"/>
    <w:rsid w:val="00BA11CB"/>
    <w:rsid w:val="00BA2033"/>
    <w:rsid w:val="00BA2FD6"/>
    <w:rsid w:val="00BA337D"/>
    <w:rsid w:val="00BA4872"/>
    <w:rsid w:val="00BA4C51"/>
    <w:rsid w:val="00BA572E"/>
    <w:rsid w:val="00BA5744"/>
    <w:rsid w:val="00BA5806"/>
    <w:rsid w:val="00BA6F35"/>
    <w:rsid w:val="00BA74AC"/>
    <w:rsid w:val="00BB029E"/>
    <w:rsid w:val="00BB08D3"/>
    <w:rsid w:val="00BB0F54"/>
    <w:rsid w:val="00BB15F7"/>
    <w:rsid w:val="00BB1F8E"/>
    <w:rsid w:val="00BB2072"/>
    <w:rsid w:val="00BB2F5C"/>
    <w:rsid w:val="00BB4255"/>
    <w:rsid w:val="00BB426A"/>
    <w:rsid w:val="00BB5BBE"/>
    <w:rsid w:val="00BB6998"/>
    <w:rsid w:val="00BB6AA3"/>
    <w:rsid w:val="00BB7841"/>
    <w:rsid w:val="00BB7DFD"/>
    <w:rsid w:val="00BB7E06"/>
    <w:rsid w:val="00BC0051"/>
    <w:rsid w:val="00BC0256"/>
    <w:rsid w:val="00BC057B"/>
    <w:rsid w:val="00BC0AA7"/>
    <w:rsid w:val="00BC12F9"/>
    <w:rsid w:val="00BC1C37"/>
    <w:rsid w:val="00BC1DA7"/>
    <w:rsid w:val="00BC2909"/>
    <w:rsid w:val="00BC3973"/>
    <w:rsid w:val="00BC3C03"/>
    <w:rsid w:val="00BC4256"/>
    <w:rsid w:val="00BC5025"/>
    <w:rsid w:val="00BC5CB3"/>
    <w:rsid w:val="00BC5E9C"/>
    <w:rsid w:val="00BC6560"/>
    <w:rsid w:val="00BC774F"/>
    <w:rsid w:val="00BC7754"/>
    <w:rsid w:val="00BD0AEA"/>
    <w:rsid w:val="00BD0FFE"/>
    <w:rsid w:val="00BD1639"/>
    <w:rsid w:val="00BD2399"/>
    <w:rsid w:val="00BD2471"/>
    <w:rsid w:val="00BD247A"/>
    <w:rsid w:val="00BD2E4A"/>
    <w:rsid w:val="00BD4ED7"/>
    <w:rsid w:val="00BD6969"/>
    <w:rsid w:val="00BD71DA"/>
    <w:rsid w:val="00BE10A3"/>
    <w:rsid w:val="00BE3D47"/>
    <w:rsid w:val="00BE4B4F"/>
    <w:rsid w:val="00BE5023"/>
    <w:rsid w:val="00BE52D9"/>
    <w:rsid w:val="00BE5403"/>
    <w:rsid w:val="00BE6B64"/>
    <w:rsid w:val="00BE6B92"/>
    <w:rsid w:val="00BE7D99"/>
    <w:rsid w:val="00BF013B"/>
    <w:rsid w:val="00BF0392"/>
    <w:rsid w:val="00BF0EAC"/>
    <w:rsid w:val="00BF1164"/>
    <w:rsid w:val="00BF17C7"/>
    <w:rsid w:val="00BF1C68"/>
    <w:rsid w:val="00BF1D94"/>
    <w:rsid w:val="00BF1DEB"/>
    <w:rsid w:val="00BF2034"/>
    <w:rsid w:val="00BF2535"/>
    <w:rsid w:val="00BF25B2"/>
    <w:rsid w:val="00BF2961"/>
    <w:rsid w:val="00BF2985"/>
    <w:rsid w:val="00BF2E52"/>
    <w:rsid w:val="00BF333F"/>
    <w:rsid w:val="00BF3B2B"/>
    <w:rsid w:val="00BF3B6E"/>
    <w:rsid w:val="00BF3DEB"/>
    <w:rsid w:val="00BF439C"/>
    <w:rsid w:val="00BF46E0"/>
    <w:rsid w:val="00BF486C"/>
    <w:rsid w:val="00BF4DF8"/>
    <w:rsid w:val="00BF4F17"/>
    <w:rsid w:val="00BF572D"/>
    <w:rsid w:val="00BF57D7"/>
    <w:rsid w:val="00BF71DB"/>
    <w:rsid w:val="00BF771F"/>
    <w:rsid w:val="00BF772D"/>
    <w:rsid w:val="00C00B93"/>
    <w:rsid w:val="00C01579"/>
    <w:rsid w:val="00C01C2C"/>
    <w:rsid w:val="00C020EF"/>
    <w:rsid w:val="00C022D7"/>
    <w:rsid w:val="00C02368"/>
    <w:rsid w:val="00C0302B"/>
    <w:rsid w:val="00C0314B"/>
    <w:rsid w:val="00C03C53"/>
    <w:rsid w:val="00C03DA0"/>
    <w:rsid w:val="00C042FB"/>
    <w:rsid w:val="00C04422"/>
    <w:rsid w:val="00C04871"/>
    <w:rsid w:val="00C04893"/>
    <w:rsid w:val="00C056A9"/>
    <w:rsid w:val="00C05758"/>
    <w:rsid w:val="00C07EDD"/>
    <w:rsid w:val="00C102AE"/>
    <w:rsid w:val="00C103DC"/>
    <w:rsid w:val="00C10787"/>
    <w:rsid w:val="00C107A0"/>
    <w:rsid w:val="00C107B8"/>
    <w:rsid w:val="00C108F8"/>
    <w:rsid w:val="00C1112F"/>
    <w:rsid w:val="00C111CF"/>
    <w:rsid w:val="00C11381"/>
    <w:rsid w:val="00C1198D"/>
    <w:rsid w:val="00C11C55"/>
    <w:rsid w:val="00C12036"/>
    <w:rsid w:val="00C120E1"/>
    <w:rsid w:val="00C12B98"/>
    <w:rsid w:val="00C12F5F"/>
    <w:rsid w:val="00C13163"/>
    <w:rsid w:val="00C13203"/>
    <w:rsid w:val="00C13751"/>
    <w:rsid w:val="00C13B0B"/>
    <w:rsid w:val="00C13B7A"/>
    <w:rsid w:val="00C142FB"/>
    <w:rsid w:val="00C146B7"/>
    <w:rsid w:val="00C15483"/>
    <w:rsid w:val="00C1594D"/>
    <w:rsid w:val="00C20C6C"/>
    <w:rsid w:val="00C2136A"/>
    <w:rsid w:val="00C2184E"/>
    <w:rsid w:val="00C2190C"/>
    <w:rsid w:val="00C22D35"/>
    <w:rsid w:val="00C23D0B"/>
    <w:rsid w:val="00C23D76"/>
    <w:rsid w:val="00C23DF2"/>
    <w:rsid w:val="00C248B8"/>
    <w:rsid w:val="00C24C5F"/>
    <w:rsid w:val="00C2519C"/>
    <w:rsid w:val="00C25591"/>
    <w:rsid w:val="00C25AA7"/>
    <w:rsid w:val="00C25AE3"/>
    <w:rsid w:val="00C26145"/>
    <w:rsid w:val="00C26577"/>
    <w:rsid w:val="00C2696D"/>
    <w:rsid w:val="00C30E07"/>
    <w:rsid w:val="00C30E2E"/>
    <w:rsid w:val="00C313F0"/>
    <w:rsid w:val="00C31726"/>
    <w:rsid w:val="00C31A64"/>
    <w:rsid w:val="00C31B4B"/>
    <w:rsid w:val="00C32D68"/>
    <w:rsid w:val="00C32E4F"/>
    <w:rsid w:val="00C33644"/>
    <w:rsid w:val="00C338DB"/>
    <w:rsid w:val="00C344DD"/>
    <w:rsid w:val="00C356FF"/>
    <w:rsid w:val="00C357EF"/>
    <w:rsid w:val="00C360AC"/>
    <w:rsid w:val="00C367F8"/>
    <w:rsid w:val="00C36EDA"/>
    <w:rsid w:val="00C37013"/>
    <w:rsid w:val="00C37EA9"/>
    <w:rsid w:val="00C409C4"/>
    <w:rsid w:val="00C409D1"/>
    <w:rsid w:val="00C410CD"/>
    <w:rsid w:val="00C42299"/>
    <w:rsid w:val="00C43B88"/>
    <w:rsid w:val="00C43C7E"/>
    <w:rsid w:val="00C43E62"/>
    <w:rsid w:val="00C47528"/>
    <w:rsid w:val="00C47AA7"/>
    <w:rsid w:val="00C50661"/>
    <w:rsid w:val="00C50F32"/>
    <w:rsid w:val="00C5135F"/>
    <w:rsid w:val="00C53B1B"/>
    <w:rsid w:val="00C54282"/>
    <w:rsid w:val="00C5468A"/>
    <w:rsid w:val="00C54A96"/>
    <w:rsid w:val="00C57394"/>
    <w:rsid w:val="00C6000B"/>
    <w:rsid w:val="00C604C1"/>
    <w:rsid w:val="00C605F8"/>
    <w:rsid w:val="00C60EB7"/>
    <w:rsid w:val="00C61881"/>
    <w:rsid w:val="00C61CDF"/>
    <w:rsid w:val="00C620D7"/>
    <w:rsid w:val="00C621AA"/>
    <w:rsid w:val="00C62749"/>
    <w:rsid w:val="00C62B6E"/>
    <w:rsid w:val="00C631E0"/>
    <w:rsid w:val="00C6343A"/>
    <w:rsid w:val="00C6525F"/>
    <w:rsid w:val="00C65857"/>
    <w:rsid w:val="00C665B3"/>
    <w:rsid w:val="00C66B8E"/>
    <w:rsid w:val="00C675FE"/>
    <w:rsid w:val="00C67D2C"/>
    <w:rsid w:val="00C70046"/>
    <w:rsid w:val="00C711FF"/>
    <w:rsid w:val="00C7142D"/>
    <w:rsid w:val="00C71910"/>
    <w:rsid w:val="00C7241B"/>
    <w:rsid w:val="00C73195"/>
    <w:rsid w:val="00C73D7B"/>
    <w:rsid w:val="00C74CC5"/>
    <w:rsid w:val="00C75B16"/>
    <w:rsid w:val="00C75BF6"/>
    <w:rsid w:val="00C80034"/>
    <w:rsid w:val="00C80ED0"/>
    <w:rsid w:val="00C81506"/>
    <w:rsid w:val="00C821BC"/>
    <w:rsid w:val="00C828B2"/>
    <w:rsid w:val="00C830B1"/>
    <w:rsid w:val="00C838A0"/>
    <w:rsid w:val="00C84588"/>
    <w:rsid w:val="00C856E0"/>
    <w:rsid w:val="00C85B3C"/>
    <w:rsid w:val="00C86133"/>
    <w:rsid w:val="00C86F00"/>
    <w:rsid w:val="00C87080"/>
    <w:rsid w:val="00C872CA"/>
    <w:rsid w:val="00C876DD"/>
    <w:rsid w:val="00C8792D"/>
    <w:rsid w:val="00C90443"/>
    <w:rsid w:val="00C9079D"/>
    <w:rsid w:val="00C924E1"/>
    <w:rsid w:val="00C92C2D"/>
    <w:rsid w:val="00C95B07"/>
    <w:rsid w:val="00C96024"/>
    <w:rsid w:val="00C96448"/>
    <w:rsid w:val="00C96BCB"/>
    <w:rsid w:val="00C9742F"/>
    <w:rsid w:val="00C97430"/>
    <w:rsid w:val="00CA119E"/>
    <w:rsid w:val="00CA1484"/>
    <w:rsid w:val="00CA2DEB"/>
    <w:rsid w:val="00CA331E"/>
    <w:rsid w:val="00CA341A"/>
    <w:rsid w:val="00CA345A"/>
    <w:rsid w:val="00CA47CC"/>
    <w:rsid w:val="00CA4DCB"/>
    <w:rsid w:val="00CA506A"/>
    <w:rsid w:val="00CA54B0"/>
    <w:rsid w:val="00CA5C7E"/>
    <w:rsid w:val="00CA65E9"/>
    <w:rsid w:val="00CA6B62"/>
    <w:rsid w:val="00CA7618"/>
    <w:rsid w:val="00CA7DC5"/>
    <w:rsid w:val="00CB0923"/>
    <w:rsid w:val="00CB0A0B"/>
    <w:rsid w:val="00CB11A8"/>
    <w:rsid w:val="00CB211E"/>
    <w:rsid w:val="00CB2613"/>
    <w:rsid w:val="00CB2725"/>
    <w:rsid w:val="00CB278A"/>
    <w:rsid w:val="00CB33B7"/>
    <w:rsid w:val="00CB3B0B"/>
    <w:rsid w:val="00CB3CF8"/>
    <w:rsid w:val="00CB3FD4"/>
    <w:rsid w:val="00CB50E5"/>
    <w:rsid w:val="00CB5279"/>
    <w:rsid w:val="00CB5E58"/>
    <w:rsid w:val="00CB5FAE"/>
    <w:rsid w:val="00CB5FE7"/>
    <w:rsid w:val="00CB70AF"/>
    <w:rsid w:val="00CB7234"/>
    <w:rsid w:val="00CB72CD"/>
    <w:rsid w:val="00CB7984"/>
    <w:rsid w:val="00CB7F87"/>
    <w:rsid w:val="00CC0325"/>
    <w:rsid w:val="00CC03DA"/>
    <w:rsid w:val="00CC0434"/>
    <w:rsid w:val="00CC08AB"/>
    <w:rsid w:val="00CC0C35"/>
    <w:rsid w:val="00CC0F47"/>
    <w:rsid w:val="00CC113F"/>
    <w:rsid w:val="00CC1617"/>
    <w:rsid w:val="00CC18A0"/>
    <w:rsid w:val="00CC32C9"/>
    <w:rsid w:val="00CC35D2"/>
    <w:rsid w:val="00CC37BB"/>
    <w:rsid w:val="00CC4D5B"/>
    <w:rsid w:val="00CC4F90"/>
    <w:rsid w:val="00CC5388"/>
    <w:rsid w:val="00CC5EDD"/>
    <w:rsid w:val="00CC6322"/>
    <w:rsid w:val="00CC7AEE"/>
    <w:rsid w:val="00CC7C0A"/>
    <w:rsid w:val="00CD00EF"/>
    <w:rsid w:val="00CD03DC"/>
    <w:rsid w:val="00CD068A"/>
    <w:rsid w:val="00CD07EE"/>
    <w:rsid w:val="00CD09A1"/>
    <w:rsid w:val="00CD105C"/>
    <w:rsid w:val="00CD11F8"/>
    <w:rsid w:val="00CD12F9"/>
    <w:rsid w:val="00CD2E18"/>
    <w:rsid w:val="00CD31BA"/>
    <w:rsid w:val="00CD321A"/>
    <w:rsid w:val="00CD3736"/>
    <w:rsid w:val="00CD40A6"/>
    <w:rsid w:val="00CD49B5"/>
    <w:rsid w:val="00CD4EB8"/>
    <w:rsid w:val="00CD546E"/>
    <w:rsid w:val="00CD60A0"/>
    <w:rsid w:val="00CE0F4F"/>
    <w:rsid w:val="00CE1115"/>
    <w:rsid w:val="00CE1228"/>
    <w:rsid w:val="00CE1238"/>
    <w:rsid w:val="00CE1BF0"/>
    <w:rsid w:val="00CE2935"/>
    <w:rsid w:val="00CE375E"/>
    <w:rsid w:val="00CE38D9"/>
    <w:rsid w:val="00CE3C7A"/>
    <w:rsid w:val="00CE4105"/>
    <w:rsid w:val="00CE4A02"/>
    <w:rsid w:val="00CE4CCE"/>
    <w:rsid w:val="00CE59C4"/>
    <w:rsid w:val="00CE6156"/>
    <w:rsid w:val="00CE66B1"/>
    <w:rsid w:val="00CE6FB3"/>
    <w:rsid w:val="00CE7F0D"/>
    <w:rsid w:val="00CF1787"/>
    <w:rsid w:val="00CF1D83"/>
    <w:rsid w:val="00CF207B"/>
    <w:rsid w:val="00CF2743"/>
    <w:rsid w:val="00CF3A04"/>
    <w:rsid w:val="00CF63E7"/>
    <w:rsid w:val="00CF675D"/>
    <w:rsid w:val="00CF75A7"/>
    <w:rsid w:val="00D00560"/>
    <w:rsid w:val="00D01084"/>
    <w:rsid w:val="00D0111A"/>
    <w:rsid w:val="00D0192F"/>
    <w:rsid w:val="00D022A2"/>
    <w:rsid w:val="00D02588"/>
    <w:rsid w:val="00D03A25"/>
    <w:rsid w:val="00D03C12"/>
    <w:rsid w:val="00D05116"/>
    <w:rsid w:val="00D06293"/>
    <w:rsid w:val="00D06C1A"/>
    <w:rsid w:val="00D07FDA"/>
    <w:rsid w:val="00D10488"/>
    <w:rsid w:val="00D10E95"/>
    <w:rsid w:val="00D11A84"/>
    <w:rsid w:val="00D1490E"/>
    <w:rsid w:val="00D15128"/>
    <w:rsid w:val="00D151AA"/>
    <w:rsid w:val="00D15811"/>
    <w:rsid w:val="00D15B82"/>
    <w:rsid w:val="00D1635E"/>
    <w:rsid w:val="00D20222"/>
    <w:rsid w:val="00D20930"/>
    <w:rsid w:val="00D209F1"/>
    <w:rsid w:val="00D21513"/>
    <w:rsid w:val="00D2165E"/>
    <w:rsid w:val="00D225F8"/>
    <w:rsid w:val="00D23DF9"/>
    <w:rsid w:val="00D244D1"/>
    <w:rsid w:val="00D26211"/>
    <w:rsid w:val="00D263C0"/>
    <w:rsid w:val="00D269CF"/>
    <w:rsid w:val="00D277CB"/>
    <w:rsid w:val="00D27CC5"/>
    <w:rsid w:val="00D27D0E"/>
    <w:rsid w:val="00D27F02"/>
    <w:rsid w:val="00D31136"/>
    <w:rsid w:val="00D321F2"/>
    <w:rsid w:val="00D335F6"/>
    <w:rsid w:val="00D338C4"/>
    <w:rsid w:val="00D345DC"/>
    <w:rsid w:val="00D349FA"/>
    <w:rsid w:val="00D36020"/>
    <w:rsid w:val="00D367DE"/>
    <w:rsid w:val="00D3752F"/>
    <w:rsid w:val="00D3771D"/>
    <w:rsid w:val="00D377F3"/>
    <w:rsid w:val="00D405DC"/>
    <w:rsid w:val="00D4068E"/>
    <w:rsid w:val="00D40727"/>
    <w:rsid w:val="00D4079E"/>
    <w:rsid w:val="00D42B44"/>
    <w:rsid w:val="00D439C9"/>
    <w:rsid w:val="00D44BA1"/>
    <w:rsid w:val="00D4569C"/>
    <w:rsid w:val="00D458BB"/>
    <w:rsid w:val="00D4620F"/>
    <w:rsid w:val="00D47370"/>
    <w:rsid w:val="00D50C75"/>
    <w:rsid w:val="00D513E8"/>
    <w:rsid w:val="00D51DF0"/>
    <w:rsid w:val="00D51FD1"/>
    <w:rsid w:val="00D520F3"/>
    <w:rsid w:val="00D52107"/>
    <w:rsid w:val="00D53699"/>
    <w:rsid w:val="00D54752"/>
    <w:rsid w:val="00D548DA"/>
    <w:rsid w:val="00D55010"/>
    <w:rsid w:val="00D552FF"/>
    <w:rsid w:val="00D555DA"/>
    <w:rsid w:val="00D55DF4"/>
    <w:rsid w:val="00D562C5"/>
    <w:rsid w:val="00D56602"/>
    <w:rsid w:val="00D5708C"/>
    <w:rsid w:val="00D60348"/>
    <w:rsid w:val="00D60858"/>
    <w:rsid w:val="00D60D5A"/>
    <w:rsid w:val="00D610B8"/>
    <w:rsid w:val="00D61643"/>
    <w:rsid w:val="00D6169C"/>
    <w:rsid w:val="00D61A8C"/>
    <w:rsid w:val="00D62100"/>
    <w:rsid w:val="00D6299E"/>
    <w:rsid w:val="00D62B9A"/>
    <w:rsid w:val="00D63028"/>
    <w:rsid w:val="00D64C73"/>
    <w:rsid w:val="00D64E82"/>
    <w:rsid w:val="00D65728"/>
    <w:rsid w:val="00D6671D"/>
    <w:rsid w:val="00D66E3C"/>
    <w:rsid w:val="00D67861"/>
    <w:rsid w:val="00D67951"/>
    <w:rsid w:val="00D70EB8"/>
    <w:rsid w:val="00D71946"/>
    <w:rsid w:val="00D71DAA"/>
    <w:rsid w:val="00D72DFD"/>
    <w:rsid w:val="00D73C59"/>
    <w:rsid w:val="00D74E1C"/>
    <w:rsid w:val="00D75422"/>
    <w:rsid w:val="00D76999"/>
    <w:rsid w:val="00D77DE3"/>
    <w:rsid w:val="00D80210"/>
    <w:rsid w:val="00D8039E"/>
    <w:rsid w:val="00D8173A"/>
    <w:rsid w:val="00D817A0"/>
    <w:rsid w:val="00D81E34"/>
    <w:rsid w:val="00D82349"/>
    <w:rsid w:val="00D83C53"/>
    <w:rsid w:val="00D83E52"/>
    <w:rsid w:val="00D84AF7"/>
    <w:rsid w:val="00D85557"/>
    <w:rsid w:val="00D856B1"/>
    <w:rsid w:val="00D85FF0"/>
    <w:rsid w:val="00D87133"/>
    <w:rsid w:val="00D902AA"/>
    <w:rsid w:val="00D91D8F"/>
    <w:rsid w:val="00D92B75"/>
    <w:rsid w:val="00D937A6"/>
    <w:rsid w:val="00D93979"/>
    <w:rsid w:val="00D96141"/>
    <w:rsid w:val="00D96453"/>
    <w:rsid w:val="00D96822"/>
    <w:rsid w:val="00D96EA7"/>
    <w:rsid w:val="00D97355"/>
    <w:rsid w:val="00D97564"/>
    <w:rsid w:val="00D97E06"/>
    <w:rsid w:val="00DA03B1"/>
    <w:rsid w:val="00DA0D6D"/>
    <w:rsid w:val="00DA177D"/>
    <w:rsid w:val="00DA1D81"/>
    <w:rsid w:val="00DA3151"/>
    <w:rsid w:val="00DA341F"/>
    <w:rsid w:val="00DA383F"/>
    <w:rsid w:val="00DA394A"/>
    <w:rsid w:val="00DA3A8C"/>
    <w:rsid w:val="00DA3DBD"/>
    <w:rsid w:val="00DA3FCC"/>
    <w:rsid w:val="00DA4C45"/>
    <w:rsid w:val="00DA5EC8"/>
    <w:rsid w:val="00DA608F"/>
    <w:rsid w:val="00DB0365"/>
    <w:rsid w:val="00DB1262"/>
    <w:rsid w:val="00DB19CE"/>
    <w:rsid w:val="00DB2356"/>
    <w:rsid w:val="00DB2A39"/>
    <w:rsid w:val="00DB2CEF"/>
    <w:rsid w:val="00DB31AF"/>
    <w:rsid w:val="00DB3624"/>
    <w:rsid w:val="00DB36EA"/>
    <w:rsid w:val="00DB391D"/>
    <w:rsid w:val="00DB40BD"/>
    <w:rsid w:val="00DB44D5"/>
    <w:rsid w:val="00DB4A4B"/>
    <w:rsid w:val="00DB522B"/>
    <w:rsid w:val="00DB5E18"/>
    <w:rsid w:val="00DB632D"/>
    <w:rsid w:val="00DB7CDB"/>
    <w:rsid w:val="00DB7D10"/>
    <w:rsid w:val="00DB7E45"/>
    <w:rsid w:val="00DC05FF"/>
    <w:rsid w:val="00DC1868"/>
    <w:rsid w:val="00DC2956"/>
    <w:rsid w:val="00DC317A"/>
    <w:rsid w:val="00DC3C93"/>
    <w:rsid w:val="00DC3D88"/>
    <w:rsid w:val="00DC4277"/>
    <w:rsid w:val="00DC42C7"/>
    <w:rsid w:val="00DC42E3"/>
    <w:rsid w:val="00DC4944"/>
    <w:rsid w:val="00DC4E89"/>
    <w:rsid w:val="00DC506F"/>
    <w:rsid w:val="00DC531F"/>
    <w:rsid w:val="00DC53D0"/>
    <w:rsid w:val="00DC5AB4"/>
    <w:rsid w:val="00DC61BD"/>
    <w:rsid w:val="00DC6345"/>
    <w:rsid w:val="00DC690C"/>
    <w:rsid w:val="00DC6B5E"/>
    <w:rsid w:val="00DC7434"/>
    <w:rsid w:val="00DD0922"/>
    <w:rsid w:val="00DD09BC"/>
    <w:rsid w:val="00DD0E7B"/>
    <w:rsid w:val="00DD20FD"/>
    <w:rsid w:val="00DD2DEC"/>
    <w:rsid w:val="00DD4062"/>
    <w:rsid w:val="00DD4A44"/>
    <w:rsid w:val="00DD4DAF"/>
    <w:rsid w:val="00DD587A"/>
    <w:rsid w:val="00DD5BF7"/>
    <w:rsid w:val="00DD6135"/>
    <w:rsid w:val="00DD638F"/>
    <w:rsid w:val="00DD6B70"/>
    <w:rsid w:val="00DD737D"/>
    <w:rsid w:val="00DE008C"/>
    <w:rsid w:val="00DE0FBE"/>
    <w:rsid w:val="00DE108D"/>
    <w:rsid w:val="00DE1574"/>
    <w:rsid w:val="00DE1AC8"/>
    <w:rsid w:val="00DE1BFB"/>
    <w:rsid w:val="00DE22C8"/>
    <w:rsid w:val="00DE240E"/>
    <w:rsid w:val="00DE2B28"/>
    <w:rsid w:val="00DE2B32"/>
    <w:rsid w:val="00DE2B93"/>
    <w:rsid w:val="00DE2BBE"/>
    <w:rsid w:val="00DE3B3F"/>
    <w:rsid w:val="00DE3ED0"/>
    <w:rsid w:val="00DE3EFB"/>
    <w:rsid w:val="00DE408D"/>
    <w:rsid w:val="00DE45C4"/>
    <w:rsid w:val="00DE4CD9"/>
    <w:rsid w:val="00DE6DB8"/>
    <w:rsid w:val="00DE7240"/>
    <w:rsid w:val="00DF0C3C"/>
    <w:rsid w:val="00DF0F94"/>
    <w:rsid w:val="00DF38DD"/>
    <w:rsid w:val="00DF3D45"/>
    <w:rsid w:val="00DF429A"/>
    <w:rsid w:val="00DF4581"/>
    <w:rsid w:val="00DF4FFD"/>
    <w:rsid w:val="00DF5401"/>
    <w:rsid w:val="00DF7701"/>
    <w:rsid w:val="00E01377"/>
    <w:rsid w:val="00E019A3"/>
    <w:rsid w:val="00E0267A"/>
    <w:rsid w:val="00E02C82"/>
    <w:rsid w:val="00E03852"/>
    <w:rsid w:val="00E053E4"/>
    <w:rsid w:val="00E05E92"/>
    <w:rsid w:val="00E06A98"/>
    <w:rsid w:val="00E071C7"/>
    <w:rsid w:val="00E11937"/>
    <w:rsid w:val="00E12684"/>
    <w:rsid w:val="00E12D0F"/>
    <w:rsid w:val="00E13018"/>
    <w:rsid w:val="00E134CE"/>
    <w:rsid w:val="00E14356"/>
    <w:rsid w:val="00E147CE"/>
    <w:rsid w:val="00E152A6"/>
    <w:rsid w:val="00E154A9"/>
    <w:rsid w:val="00E16273"/>
    <w:rsid w:val="00E201EA"/>
    <w:rsid w:val="00E20381"/>
    <w:rsid w:val="00E206A0"/>
    <w:rsid w:val="00E21231"/>
    <w:rsid w:val="00E21CE1"/>
    <w:rsid w:val="00E22714"/>
    <w:rsid w:val="00E2280B"/>
    <w:rsid w:val="00E22DDA"/>
    <w:rsid w:val="00E22FFD"/>
    <w:rsid w:val="00E24474"/>
    <w:rsid w:val="00E24BAE"/>
    <w:rsid w:val="00E24F6F"/>
    <w:rsid w:val="00E25BD9"/>
    <w:rsid w:val="00E2604C"/>
    <w:rsid w:val="00E2699E"/>
    <w:rsid w:val="00E2741C"/>
    <w:rsid w:val="00E3027C"/>
    <w:rsid w:val="00E30B89"/>
    <w:rsid w:val="00E319CA"/>
    <w:rsid w:val="00E32E34"/>
    <w:rsid w:val="00E3300D"/>
    <w:rsid w:val="00E33E47"/>
    <w:rsid w:val="00E3402D"/>
    <w:rsid w:val="00E34AA3"/>
    <w:rsid w:val="00E34BD1"/>
    <w:rsid w:val="00E365B1"/>
    <w:rsid w:val="00E36DD6"/>
    <w:rsid w:val="00E3764A"/>
    <w:rsid w:val="00E37830"/>
    <w:rsid w:val="00E40632"/>
    <w:rsid w:val="00E413D1"/>
    <w:rsid w:val="00E41C42"/>
    <w:rsid w:val="00E43A43"/>
    <w:rsid w:val="00E43D2C"/>
    <w:rsid w:val="00E45159"/>
    <w:rsid w:val="00E45A42"/>
    <w:rsid w:val="00E47513"/>
    <w:rsid w:val="00E4758D"/>
    <w:rsid w:val="00E47FF7"/>
    <w:rsid w:val="00E503F1"/>
    <w:rsid w:val="00E5059D"/>
    <w:rsid w:val="00E50C95"/>
    <w:rsid w:val="00E5306E"/>
    <w:rsid w:val="00E53266"/>
    <w:rsid w:val="00E535AA"/>
    <w:rsid w:val="00E535B6"/>
    <w:rsid w:val="00E54874"/>
    <w:rsid w:val="00E5534F"/>
    <w:rsid w:val="00E55F7D"/>
    <w:rsid w:val="00E56F5D"/>
    <w:rsid w:val="00E572F8"/>
    <w:rsid w:val="00E574D1"/>
    <w:rsid w:val="00E60039"/>
    <w:rsid w:val="00E616E9"/>
    <w:rsid w:val="00E635E1"/>
    <w:rsid w:val="00E645B2"/>
    <w:rsid w:val="00E64636"/>
    <w:rsid w:val="00E64DDD"/>
    <w:rsid w:val="00E65402"/>
    <w:rsid w:val="00E65F77"/>
    <w:rsid w:val="00E66984"/>
    <w:rsid w:val="00E6728D"/>
    <w:rsid w:val="00E67E26"/>
    <w:rsid w:val="00E711DE"/>
    <w:rsid w:val="00E716D9"/>
    <w:rsid w:val="00E71875"/>
    <w:rsid w:val="00E729B5"/>
    <w:rsid w:val="00E72E5C"/>
    <w:rsid w:val="00E73893"/>
    <w:rsid w:val="00E73B4C"/>
    <w:rsid w:val="00E73D03"/>
    <w:rsid w:val="00E74208"/>
    <w:rsid w:val="00E74E49"/>
    <w:rsid w:val="00E74E6A"/>
    <w:rsid w:val="00E752BE"/>
    <w:rsid w:val="00E75DAC"/>
    <w:rsid w:val="00E80955"/>
    <w:rsid w:val="00E80EB2"/>
    <w:rsid w:val="00E812A8"/>
    <w:rsid w:val="00E8239E"/>
    <w:rsid w:val="00E827CB"/>
    <w:rsid w:val="00E8288B"/>
    <w:rsid w:val="00E83476"/>
    <w:rsid w:val="00E83C28"/>
    <w:rsid w:val="00E84290"/>
    <w:rsid w:val="00E84499"/>
    <w:rsid w:val="00E85ABC"/>
    <w:rsid w:val="00E85F59"/>
    <w:rsid w:val="00E8678D"/>
    <w:rsid w:val="00E91940"/>
    <w:rsid w:val="00E92A14"/>
    <w:rsid w:val="00E93E2E"/>
    <w:rsid w:val="00E94D72"/>
    <w:rsid w:val="00E95715"/>
    <w:rsid w:val="00E9639D"/>
    <w:rsid w:val="00E97D7E"/>
    <w:rsid w:val="00EA1B24"/>
    <w:rsid w:val="00EA233C"/>
    <w:rsid w:val="00EA270B"/>
    <w:rsid w:val="00EA2B93"/>
    <w:rsid w:val="00EA3B51"/>
    <w:rsid w:val="00EA4B92"/>
    <w:rsid w:val="00EA4E56"/>
    <w:rsid w:val="00EA52B3"/>
    <w:rsid w:val="00EA5A67"/>
    <w:rsid w:val="00EA65E7"/>
    <w:rsid w:val="00EA6651"/>
    <w:rsid w:val="00EA6B4E"/>
    <w:rsid w:val="00EA6FAF"/>
    <w:rsid w:val="00EB159F"/>
    <w:rsid w:val="00EB1CE3"/>
    <w:rsid w:val="00EB4CBC"/>
    <w:rsid w:val="00EB5F4D"/>
    <w:rsid w:val="00EB6F17"/>
    <w:rsid w:val="00EB7789"/>
    <w:rsid w:val="00EB7ACA"/>
    <w:rsid w:val="00EC0743"/>
    <w:rsid w:val="00EC1095"/>
    <w:rsid w:val="00EC1E4F"/>
    <w:rsid w:val="00EC1E55"/>
    <w:rsid w:val="00EC2B2A"/>
    <w:rsid w:val="00EC2CC3"/>
    <w:rsid w:val="00EC44A2"/>
    <w:rsid w:val="00EC4848"/>
    <w:rsid w:val="00EC568B"/>
    <w:rsid w:val="00EC5FE5"/>
    <w:rsid w:val="00EC61D7"/>
    <w:rsid w:val="00EC6DF1"/>
    <w:rsid w:val="00EC78D2"/>
    <w:rsid w:val="00EC7F7A"/>
    <w:rsid w:val="00ED0411"/>
    <w:rsid w:val="00ED07B1"/>
    <w:rsid w:val="00ED1766"/>
    <w:rsid w:val="00ED2DE8"/>
    <w:rsid w:val="00ED4BA5"/>
    <w:rsid w:val="00ED4CEC"/>
    <w:rsid w:val="00ED50E9"/>
    <w:rsid w:val="00ED5235"/>
    <w:rsid w:val="00ED55A8"/>
    <w:rsid w:val="00ED574E"/>
    <w:rsid w:val="00ED680E"/>
    <w:rsid w:val="00ED6FA8"/>
    <w:rsid w:val="00ED7231"/>
    <w:rsid w:val="00ED74DB"/>
    <w:rsid w:val="00ED7A91"/>
    <w:rsid w:val="00ED7D40"/>
    <w:rsid w:val="00ED7D66"/>
    <w:rsid w:val="00EE04D1"/>
    <w:rsid w:val="00EE1A07"/>
    <w:rsid w:val="00EE266A"/>
    <w:rsid w:val="00EE3553"/>
    <w:rsid w:val="00EE5315"/>
    <w:rsid w:val="00EE584F"/>
    <w:rsid w:val="00EE6529"/>
    <w:rsid w:val="00EE704B"/>
    <w:rsid w:val="00EE7736"/>
    <w:rsid w:val="00EF0E0E"/>
    <w:rsid w:val="00EF19C8"/>
    <w:rsid w:val="00EF1BDC"/>
    <w:rsid w:val="00EF1C1D"/>
    <w:rsid w:val="00EF1DFD"/>
    <w:rsid w:val="00EF307D"/>
    <w:rsid w:val="00EF3A32"/>
    <w:rsid w:val="00EF4669"/>
    <w:rsid w:val="00EF552B"/>
    <w:rsid w:val="00EF56A8"/>
    <w:rsid w:val="00EF5D5C"/>
    <w:rsid w:val="00EF5EA3"/>
    <w:rsid w:val="00EF5F64"/>
    <w:rsid w:val="00EF6640"/>
    <w:rsid w:val="00EF6F36"/>
    <w:rsid w:val="00EF727B"/>
    <w:rsid w:val="00EF7CF9"/>
    <w:rsid w:val="00F00494"/>
    <w:rsid w:val="00F00A25"/>
    <w:rsid w:val="00F00BD5"/>
    <w:rsid w:val="00F0124E"/>
    <w:rsid w:val="00F014E7"/>
    <w:rsid w:val="00F01EB3"/>
    <w:rsid w:val="00F0201D"/>
    <w:rsid w:val="00F0322B"/>
    <w:rsid w:val="00F0428A"/>
    <w:rsid w:val="00F04476"/>
    <w:rsid w:val="00F04B25"/>
    <w:rsid w:val="00F05882"/>
    <w:rsid w:val="00F06489"/>
    <w:rsid w:val="00F07BA4"/>
    <w:rsid w:val="00F100AF"/>
    <w:rsid w:val="00F1018C"/>
    <w:rsid w:val="00F1019F"/>
    <w:rsid w:val="00F10D58"/>
    <w:rsid w:val="00F112E6"/>
    <w:rsid w:val="00F118D7"/>
    <w:rsid w:val="00F12AE5"/>
    <w:rsid w:val="00F13FED"/>
    <w:rsid w:val="00F146B1"/>
    <w:rsid w:val="00F14C9C"/>
    <w:rsid w:val="00F16A29"/>
    <w:rsid w:val="00F1703D"/>
    <w:rsid w:val="00F17BD6"/>
    <w:rsid w:val="00F17BF5"/>
    <w:rsid w:val="00F21008"/>
    <w:rsid w:val="00F21307"/>
    <w:rsid w:val="00F216B9"/>
    <w:rsid w:val="00F21F51"/>
    <w:rsid w:val="00F22512"/>
    <w:rsid w:val="00F229D4"/>
    <w:rsid w:val="00F23B9D"/>
    <w:rsid w:val="00F24830"/>
    <w:rsid w:val="00F24B6A"/>
    <w:rsid w:val="00F24D7A"/>
    <w:rsid w:val="00F25A1D"/>
    <w:rsid w:val="00F25CA9"/>
    <w:rsid w:val="00F2639B"/>
    <w:rsid w:val="00F267B8"/>
    <w:rsid w:val="00F30128"/>
    <w:rsid w:val="00F30345"/>
    <w:rsid w:val="00F306FD"/>
    <w:rsid w:val="00F314F6"/>
    <w:rsid w:val="00F31D27"/>
    <w:rsid w:val="00F320B4"/>
    <w:rsid w:val="00F326E2"/>
    <w:rsid w:val="00F32B19"/>
    <w:rsid w:val="00F3372C"/>
    <w:rsid w:val="00F33B1A"/>
    <w:rsid w:val="00F346E6"/>
    <w:rsid w:val="00F355E4"/>
    <w:rsid w:val="00F358F1"/>
    <w:rsid w:val="00F35910"/>
    <w:rsid w:val="00F360E5"/>
    <w:rsid w:val="00F36C70"/>
    <w:rsid w:val="00F3778E"/>
    <w:rsid w:val="00F4074E"/>
    <w:rsid w:val="00F418F6"/>
    <w:rsid w:val="00F421F2"/>
    <w:rsid w:val="00F430AC"/>
    <w:rsid w:val="00F450F6"/>
    <w:rsid w:val="00F45D2F"/>
    <w:rsid w:val="00F461D9"/>
    <w:rsid w:val="00F468C4"/>
    <w:rsid w:val="00F46D99"/>
    <w:rsid w:val="00F47D3A"/>
    <w:rsid w:val="00F5013D"/>
    <w:rsid w:val="00F50755"/>
    <w:rsid w:val="00F5133F"/>
    <w:rsid w:val="00F5144A"/>
    <w:rsid w:val="00F52460"/>
    <w:rsid w:val="00F5365B"/>
    <w:rsid w:val="00F539AF"/>
    <w:rsid w:val="00F53F33"/>
    <w:rsid w:val="00F546DA"/>
    <w:rsid w:val="00F547E8"/>
    <w:rsid w:val="00F553E3"/>
    <w:rsid w:val="00F55940"/>
    <w:rsid w:val="00F55AE8"/>
    <w:rsid w:val="00F56658"/>
    <w:rsid w:val="00F56BF2"/>
    <w:rsid w:val="00F56E57"/>
    <w:rsid w:val="00F5706C"/>
    <w:rsid w:val="00F60B60"/>
    <w:rsid w:val="00F6113D"/>
    <w:rsid w:val="00F620EF"/>
    <w:rsid w:val="00F62C33"/>
    <w:rsid w:val="00F63256"/>
    <w:rsid w:val="00F63262"/>
    <w:rsid w:val="00F64B7A"/>
    <w:rsid w:val="00F654AF"/>
    <w:rsid w:val="00F66DC5"/>
    <w:rsid w:val="00F66F21"/>
    <w:rsid w:val="00F67128"/>
    <w:rsid w:val="00F709A5"/>
    <w:rsid w:val="00F710A5"/>
    <w:rsid w:val="00F7298C"/>
    <w:rsid w:val="00F73045"/>
    <w:rsid w:val="00F7348D"/>
    <w:rsid w:val="00F73C78"/>
    <w:rsid w:val="00F7479C"/>
    <w:rsid w:val="00F74884"/>
    <w:rsid w:val="00F74FAA"/>
    <w:rsid w:val="00F762E0"/>
    <w:rsid w:val="00F763D4"/>
    <w:rsid w:val="00F76836"/>
    <w:rsid w:val="00F772BA"/>
    <w:rsid w:val="00F77877"/>
    <w:rsid w:val="00F82D08"/>
    <w:rsid w:val="00F83B7D"/>
    <w:rsid w:val="00F83D46"/>
    <w:rsid w:val="00F840F4"/>
    <w:rsid w:val="00F84432"/>
    <w:rsid w:val="00F84525"/>
    <w:rsid w:val="00F84F39"/>
    <w:rsid w:val="00F85823"/>
    <w:rsid w:val="00F868C4"/>
    <w:rsid w:val="00F871FB"/>
    <w:rsid w:val="00F87316"/>
    <w:rsid w:val="00F87494"/>
    <w:rsid w:val="00F90DA3"/>
    <w:rsid w:val="00F91C44"/>
    <w:rsid w:val="00F91C7A"/>
    <w:rsid w:val="00F921F3"/>
    <w:rsid w:val="00F92D17"/>
    <w:rsid w:val="00F938B5"/>
    <w:rsid w:val="00F94DAE"/>
    <w:rsid w:val="00F95A44"/>
    <w:rsid w:val="00F962B9"/>
    <w:rsid w:val="00F96D13"/>
    <w:rsid w:val="00F96EAE"/>
    <w:rsid w:val="00F975FF"/>
    <w:rsid w:val="00F97DD4"/>
    <w:rsid w:val="00FA092E"/>
    <w:rsid w:val="00FA1815"/>
    <w:rsid w:val="00FA23CE"/>
    <w:rsid w:val="00FA2734"/>
    <w:rsid w:val="00FA3062"/>
    <w:rsid w:val="00FA32E4"/>
    <w:rsid w:val="00FA363E"/>
    <w:rsid w:val="00FA38CE"/>
    <w:rsid w:val="00FA4430"/>
    <w:rsid w:val="00FA4B54"/>
    <w:rsid w:val="00FA6AD8"/>
    <w:rsid w:val="00FA723A"/>
    <w:rsid w:val="00FA72F7"/>
    <w:rsid w:val="00FA7CE5"/>
    <w:rsid w:val="00FB036C"/>
    <w:rsid w:val="00FB057E"/>
    <w:rsid w:val="00FB1536"/>
    <w:rsid w:val="00FB1A3A"/>
    <w:rsid w:val="00FB1CC9"/>
    <w:rsid w:val="00FB3863"/>
    <w:rsid w:val="00FB3AE6"/>
    <w:rsid w:val="00FB4682"/>
    <w:rsid w:val="00FB5353"/>
    <w:rsid w:val="00FB7A01"/>
    <w:rsid w:val="00FB7D53"/>
    <w:rsid w:val="00FB7FBD"/>
    <w:rsid w:val="00FC08E9"/>
    <w:rsid w:val="00FC096E"/>
    <w:rsid w:val="00FC09D0"/>
    <w:rsid w:val="00FC0B69"/>
    <w:rsid w:val="00FC0E9B"/>
    <w:rsid w:val="00FC1B8D"/>
    <w:rsid w:val="00FC1E50"/>
    <w:rsid w:val="00FC2D49"/>
    <w:rsid w:val="00FC2E02"/>
    <w:rsid w:val="00FC2EA3"/>
    <w:rsid w:val="00FC2FD8"/>
    <w:rsid w:val="00FC3DC9"/>
    <w:rsid w:val="00FC5A9C"/>
    <w:rsid w:val="00FC7215"/>
    <w:rsid w:val="00FC7D07"/>
    <w:rsid w:val="00FD00FE"/>
    <w:rsid w:val="00FD075A"/>
    <w:rsid w:val="00FD1792"/>
    <w:rsid w:val="00FD1C1D"/>
    <w:rsid w:val="00FD2A03"/>
    <w:rsid w:val="00FD2E58"/>
    <w:rsid w:val="00FD3AAF"/>
    <w:rsid w:val="00FD3B09"/>
    <w:rsid w:val="00FD3B17"/>
    <w:rsid w:val="00FD471E"/>
    <w:rsid w:val="00FD4F5D"/>
    <w:rsid w:val="00FD63C6"/>
    <w:rsid w:val="00FD79AF"/>
    <w:rsid w:val="00FD7CDE"/>
    <w:rsid w:val="00FE032F"/>
    <w:rsid w:val="00FE0546"/>
    <w:rsid w:val="00FE0785"/>
    <w:rsid w:val="00FE1003"/>
    <w:rsid w:val="00FE2468"/>
    <w:rsid w:val="00FE2552"/>
    <w:rsid w:val="00FE26C3"/>
    <w:rsid w:val="00FE28A5"/>
    <w:rsid w:val="00FE2C9C"/>
    <w:rsid w:val="00FE3135"/>
    <w:rsid w:val="00FE3C5D"/>
    <w:rsid w:val="00FE4C31"/>
    <w:rsid w:val="00FE5047"/>
    <w:rsid w:val="00FE51AB"/>
    <w:rsid w:val="00FE53A7"/>
    <w:rsid w:val="00FE59DB"/>
    <w:rsid w:val="00FE5B6F"/>
    <w:rsid w:val="00FE5D0D"/>
    <w:rsid w:val="00FE669D"/>
    <w:rsid w:val="00FE66E6"/>
    <w:rsid w:val="00FE6E35"/>
    <w:rsid w:val="00FE6F6B"/>
    <w:rsid w:val="00FE7828"/>
    <w:rsid w:val="00FE7B18"/>
    <w:rsid w:val="00FF0B18"/>
    <w:rsid w:val="00FF0C25"/>
    <w:rsid w:val="00FF12EA"/>
    <w:rsid w:val="00FF192E"/>
    <w:rsid w:val="00FF2369"/>
    <w:rsid w:val="00FF28AC"/>
    <w:rsid w:val="00FF2D97"/>
    <w:rsid w:val="00FF3C04"/>
    <w:rsid w:val="00FF4424"/>
    <w:rsid w:val="00FF4FCF"/>
    <w:rsid w:val="00FF53FB"/>
    <w:rsid w:val="00FF5BEA"/>
    <w:rsid w:val="00FF6C5F"/>
    <w:rsid w:val="00FF784C"/>
    <w:rsid w:val="00FF7F1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6569B"/>
  <w15:docId w15:val="{D879B783-36FD-496E-B560-BEC75342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unhideWhenUsed="1" w:qFormat="1"/>
    <w:lsdException w:name="heading 8" w:uiPriority="1" w:unhideWhenUsed="1" w:qFormat="1"/>
    <w:lsdException w:name="heading 9"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unhideWhenUsed="1"/>
    <w:lsdException w:name="annotation text" w:semiHidden="1" w:uiPriority="18"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iPriority="18"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8F"/>
    <w:pPr>
      <w:spacing w:after="0" w:line="260" w:lineRule="atLeast"/>
    </w:pPr>
    <w:rPr>
      <w:rFonts w:ascii="Arial" w:hAnsi="Arial"/>
      <w:sz w:val="18"/>
      <w:szCs w:val="18"/>
    </w:rPr>
  </w:style>
  <w:style w:type="paragraph" w:styleId="Heading1">
    <w:name w:val="heading 1"/>
    <w:aliases w:val="Section Heading,h1,A MAJOR/BOLD,Schedheading,Heading 1(Report Only),h1 chapter heading,H1,Attribute Heading 1,Roman 14 B Heading,Roman 14 B Heading1,Roman 14 B Heading2,Roman 14 B Heading11,new page/chapter,1st level,(Alt+1),Part,Level 1,1,H11"/>
    <w:basedOn w:val="Normal"/>
    <w:next w:val="NormalIndent"/>
    <w:link w:val="Heading1Char"/>
    <w:qFormat/>
    <w:rsid w:val="00781DB0"/>
    <w:pPr>
      <w:keepNext/>
      <w:numPr>
        <w:numId w:val="4"/>
      </w:numPr>
      <w:spacing w:before="260" w:after="130"/>
      <w:outlineLvl w:val="0"/>
    </w:pPr>
    <w:rPr>
      <w:rFonts w:asciiTheme="majorHAnsi" w:eastAsiaTheme="majorEastAsia" w:hAnsiTheme="majorHAnsi" w:cstheme="majorBidi"/>
      <w:b/>
      <w:caps/>
      <w:spacing w:val="5"/>
      <w:szCs w:val="32"/>
    </w:rPr>
  </w:style>
  <w:style w:type="paragraph" w:styleId="Heading2">
    <w:name w:val="heading 2"/>
    <w:aliases w:val="Reset numbering,h2,2,Heading B,H2,(Alt+2),Attribute Heading 2,L2,Level 2,Level Heading 2,H21,H22,H23,H211,H221,H24,H212,H222,H231,H2111,H2211,h2 (TOC),Chapter Title,hoofdstuk 1.1,headline,Level 2 Topic Heading,Paragraafkop,level2,level 2,a,b"/>
    <w:basedOn w:val="Normal"/>
    <w:next w:val="NormalIndent"/>
    <w:link w:val="Heading2Char"/>
    <w:uiPriority w:val="1"/>
    <w:qFormat/>
    <w:rsid w:val="00781DB0"/>
    <w:pPr>
      <w:keepNext/>
      <w:numPr>
        <w:ilvl w:val="1"/>
        <w:numId w:val="4"/>
      </w:numPr>
      <w:spacing w:before="260" w:after="130"/>
      <w:outlineLvl w:val="1"/>
    </w:pPr>
    <w:rPr>
      <w:rFonts w:asciiTheme="majorHAnsi" w:eastAsiaTheme="majorEastAsia" w:hAnsiTheme="majorHAnsi" w:cstheme="majorBidi"/>
      <w:b/>
      <w:color w:val="000000" w:themeColor="text1"/>
      <w:szCs w:val="26"/>
    </w:rPr>
  </w:style>
  <w:style w:type="paragraph" w:styleId="Heading3">
    <w:name w:val="heading 3"/>
    <w:aliases w:val="Level 1 - 1,Heading P,Sub-section,level3,level 3,H3,Mia,MPS Standard Sub-Sub Heading,PA Minor Section,h3,numbered indent 3,ni3,Minor,Numbered - 3,.,(Alt+3),(Alt+3)1,(Alt+3)2,(Alt+3)3,(Alt+3)4,(Alt+3)5,(Alt+3)6,(Alt+3)11,(Alt+3)21,(Alt+3)31,Lev"/>
    <w:basedOn w:val="Normal"/>
    <w:next w:val="NormalIndent"/>
    <w:link w:val="Heading3Char"/>
    <w:uiPriority w:val="1"/>
    <w:qFormat/>
    <w:rsid w:val="00B92935"/>
    <w:pPr>
      <w:keepNext/>
      <w:numPr>
        <w:ilvl w:val="2"/>
        <w:numId w:val="4"/>
      </w:numPr>
      <w:spacing w:before="260" w:after="130"/>
      <w:outlineLvl w:val="2"/>
    </w:pPr>
    <w:rPr>
      <w:rFonts w:asciiTheme="majorHAnsi" w:eastAsiaTheme="majorEastAsia" w:hAnsiTheme="majorHAnsi" w:cstheme="majorBidi"/>
      <w:b/>
      <w:szCs w:val="24"/>
    </w:rPr>
  </w:style>
  <w:style w:type="paragraph" w:styleId="Heading4">
    <w:name w:val="heading 4"/>
    <w:aliases w:val="Level 2 - a,h4,Second Level Heading HM,Subhead C,Heading Four,H4,Exhibit,Lev 4,4,Heading4,h4 sub sub heading,D Sub-Sub/Plain,Level 2 - (a),GPH Heading 4,heading 4,level4,level 4,4 dash,d,3,Su,MPS Standard Sub- Sub-Sub Heading,Sub-Minor,H,(i)"/>
    <w:basedOn w:val="Normal"/>
    <w:next w:val="NormalIndent"/>
    <w:link w:val="Heading4Char"/>
    <w:uiPriority w:val="1"/>
    <w:qFormat/>
    <w:rsid w:val="00781DB0"/>
    <w:pPr>
      <w:numPr>
        <w:ilvl w:val="3"/>
        <w:numId w:val="4"/>
      </w:numPr>
      <w:spacing w:before="260" w:after="130"/>
      <w:outlineLvl w:val="3"/>
    </w:pPr>
    <w:rPr>
      <w:rFonts w:asciiTheme="majorHAnsi" w:eastAsiaTheme="majorEastAsia" w:hAnsiTheme="majorHAnsi" w:cstheme="majorBidi"/>
      <w:b/>
      <w:iCs/>
    </w:rPr>
  </w:style>
  <w:style w:type="paragraph" w:styleId="Heading5">
    <w:name w:val="heading 5"/>
    <w:aliases w:val="Level 3 - i,Heading 5(unused),Level 3 - (i),Third Level Heading,h5,Response Type,Response Type1,Response Type2,Response Type3,Response Type4,Response Type5,Response Type6,Response Type7,Appendix A to X,Heading 5   Appendix A to X,H5,Lev 5,s,5"/>
    <w:basedOn w:val="Normal"/>
    <w:next w:val="NormalIndent"/>
    <w:link w:val="Heading5Char"/>
    <w:uiPriority w:val="1"/>
    <w:qFormat/>
    <w:rsid w:val="00781DB0"/>
    <w:pPr>
      <w:numPr>
        <w:ilvl w:val="4"/>
        <w:numId w:val="4"/>
      </w:numPr>
      <w:spacing w:before="260" w:after="130"/>
      <w:outlineLvl w:val="4"/>
    </w:pPr>
    <w:rPr>
      <w:rFonts w:asciiTheme="majorHAnsi" w:eastAsiaTheme="majorEastAsia" w:hAnsiTheme="majorHAnsi" w:cstheme="majorBidi"/>
      <w:b/>
    </w:rPr>
  </w:style>
  <w:style w:type="paragraph" w:styleId="Heading6">
    <w:name w:val="heading 6"/>
    <w:aliases w:val="Legal Level 1.,Heading 6(unused),L1 PIP,Heading 6  Appendix Y &amp; Z,Lev 6,H6 DO NOT USE,Bullet list,PA Appendix,H6,H61,PR14,6,h6,level6,level 6,ITT t6,Normal diagram,(I),Marginal,a.,dash GS,Name of Org,Body Text 5,as Char,Points in Text,as,(A"/>
    <w:basedOn w:val="Normal"/>
    <w:next w:val="Normal"/>
    <w:link w:val="Heading6Char"/>
    <w:uiPriority w:val="1"/>
    <w:qFormat/>
    <w:rsid w:val="00EB546C"/>
    <w:pPr>
      <w:keepNext/>
      <w:keepLines/>
      <w:numPr>
        <w:ilvl w:val="5"/>
        <w:numId w:val="4"/>
      </w:numPr>
      <w:spacing w:before="260" w:after="130"/>
      <w:outlineLvl w:val="5"/>
    </w:pPr>
    <w:rPr>
      <w:rFonts w:asciiTheme="majorHAnsi" w:eastAsiaTheme="majorEastAsia" w:hAnsiTheme="majorHAnsi" w:cstheme="majorBidi"/>
      <w:b/>
    </w:rPr>
  </w:style>
  <w:style w:type="paragraph" w:styleId="Heading7">
    <w:name w:val="heading 7"/>
    <w:aliases w:val="Legal Level 1.1.,Simple arabic numbers,h7,Heading 7(unused),L2 PIP,Lev 7,H7DO NOT USE,PA Appendix Major,H7,ITT t7,level1-noHeading,E1 Marginal,i.,(1),ap,square GS,level1noheading,Body Text 6,7,i.1,L7,Indented hyphen,Heading 7 Char1,Style 27"/>
    <w:basedOn w:val="Normal"/>
    <w:next w:val="Normal"/>
    <w:link w:val="Heading7Char"/>
    <w:uiPriority w:val="1"/>
    <w:qFormat/>
    <w:rsid w:val="007875B4"/>
    <w:pPr>
      <w:keepNext/>
      <w:keepLines/>
      <w:numPr>
        <w:ilvl w:val="6"/>
        <w:numId w:val="4"/>
      </w:numPr>
      <w:spacing w:before="260" w:after="130"/>
      <w:outlineLvl w:val="6"/>
    </w:pPr>
    <w:rPr>
      <w:rFonts w:asciiTheme="majorHAnsi" w:eastAsiaTheme="majorEastAsia" w:hAnsiTheme="majorHAnsi" w:cstheme="majorBidi"/>
      <w:b/>
      <w:iCs/>
    </w:rPr>
  </w:style>
  <w:style w:type="paragraph" w:styleId="Heading8">
    <w:name w:val="heading 8"/>
    <w:aliases w:val="Legal Level 1.1.1.,Lev 8,h8 DO NOT USE,PA Appendix Minor,H8,ITT t8,level2(a),E2 Marginal,h8,- Accura 1.1.1,8,Simple alpha numbers,AppendixSubHead,Legal Level 1.1.1. + Pattern: Clear (White) + Patter...,Style 52,heading style 8,Style 36,Blank 4"/>
    <w:basedOn w:val="Normal"/>
    <w:next w:val="Normal"/>
    <w:link w:val="Heading8Char"/>
    <w:uiPriority w:val="1"/>
    <w:qFormat/>
    <w:rsid w:val="007875B4"/>
    <w:pPr>
      <w:keepNext/>
      <w:keepLines/>
      <w:numPr>
        <w:ilvl w:val="7"/>
        <w:numId w:val="4"/>
      </w:numPr>
      <w:spacing w:before="260" w:after="130"/>
      <w:outlineLvl w:val="7"/>
    </w:pPr>
    <w:rPr>
      <w:rFonts w:asciiTheme="majorHAnsi" w:eastAsiaTheme="majorEastAsia" w:hAnsiTheme="majorHAnsi" w:cstheme="majorBidi"/>
      <w:b/>
      <w:szCs w:val="21"/>
    </w:rPr>
  </w:style>
  <w:style w:type="paragraph" w:styleId="Heading9">
    <w:name w:val="heading 9"/>
    <w:aliases w:val="Legal Level 1.1.1.1.,Heading 9 (defunct),Lev 9,h9 DO NOT USE,App Heading,Titre 10,App1,H9,ITT t9,level3(i),E3 Marginal,h9,9,AppendixBodyHead,Simple (sm) roman numbers,Style 53,heading style 9,Style 37,Style 71,Style 79,_hh_Heading9,Blank 5,Uve"/>
    <w:basedOn w:val="Normal"/>
    <w:next w:val="Normal"/>
    <w:link w:val="Heading9Char"/>
    <w:uiPriority w:val="1"/>
    <w:qFormat/>
    <w:rsid w:val="007875B4"/>
    <w:pPr>
      <w:keepNext/>
      <w:keepLines/>
      <w:numPr>
        <w:ilvl w:val="8"/>
        <w:numId w:val="4"/>
      </w:numPr>
      <w:spacing w:before="260" w:after="130"/>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A MAJOR/BOLD Char,Schedheading Char,Heading 1(Report Only) Char,h1 chapter heading Char,H1 Char,Attribute Heading 1 Char,Roman 14 B Heading Char,Roman 14 B Heading1 Char,Roman 14 B Heading2 Char,1st level Char"/>
    <w:basedOn w:val="DefaultParagraphFont"/>
    <w:link w:val="Heading1"/>
    <w:rsid w:val="00781DB0"/>
    <w:rPr>
      <w:rFonts w:asciiTheme="majorHAnsi" w:eastAsiaTheme="majorEastAsia" w:hAnsiTheme="majorHAnsi" w:cstheme="majorBidi"/>
      <w:b/>
      <w:caps/>
      <w:spacing w:val="5"/>
      <w:sz w:val="18"/>
      <w:szCs w:val="32"/>
    </w:rPr>
  </w:style>
  <w:style w:type="paragraph" w:styleId="NoSpacing">
    <w:name w:val="No Spacing"/>
    <w:uiPriority w:val="1"/>
    <w:qFormat/>
    <w:rsid w:val="0000009B"/>
    <w:pPr>
      <w:spacing w:after="0" w:line="240" w:lineRule="auto"/>
    </w:pPr>
    <w:rPr>
      <w:sz w:val="18"/>
      <w:lang w:val="en-GB"/>
    </w:rPr>
  </w:style>
  <w:style w:type="character" w:customStyle="1" w:styleId="Heading2Char">
    <w:name w:val="Heading 2 Char"/>
    <w:aliases w:val="Reset numbering Char,h2 Char,2 Char,Heading B Char,H2 Char,(Alt+2) Char,Attribute Heading 2 Char,L2 Char,Level 2 Char,Level Heading 2 Char,H21 Char,H22 Char,H23 Char,H211 Char,H221 Char,H24 Char,H212 Char,H222 Char,H231 Char,H2111 Char"/>
    <w:basedOn w:val="DefaultParagraphFont"/>
    <w:link w:val="Heading2"/>
    <w:rsid w:val="00781DB0"/>
    <w:rPr>
      <w:rFonts w:asciiTheme="majorHAnsi" w:eastAsiaTheme="majorEastAsia" w:hAnsiTheme="majorHAnsi" w:cstheme="majorBidi"/>
      <w:b/>
      <w:color w:val="000000" w:themeColor="text1"/>
      <w:sz w:val="18"/>
      <w:szCs w:val="26"/>
    </w:rPr>
  </w:style>
  <w:style w:type="character" w:customStyle="1" w:styleId="Heading3Char">
    <w:name w:val="Heading 3 Char"/>
    <w:aliases w:val="Level 1 - 1 Char,Heading P Char,Sub-section Char,level3 Char,level 3 Char,H3 Char,Mia Char,MPS Standard Sub-Sub Heading Char,PA Minor Section Char,h3 Char,numbered indent 3 Char,ni3 Char,Minor Char,Numbered - 3 Char,. Char,(Alt+3) Char"/>
    <w:basedOn w:val="DefaultParagraphFont"/>
    <w:link w:val="Heading3"/>
    <w:uiPriority w:val="1"/>
    <w:rsid w:val="00B92935"/>
    <w:rPr>
      <w:rFonts w:asciiTheme="majorHAnsi" w:eastAsiaTheme="majorEastAsia" w:hAnsiTheme="majorHAnsi" w:cstheme="majorBidi"/>
      <w:b/>
      <w:sz w:val="18"/>
      <w:szCs w:val="24"/>
    </w:rPr>
  </w:style>
  <w:style w:type="character" w:customStyle="1" w:styleId="Heading4Char">
    <w:name w:val="Heading 4 Char"/>
    <w:aliases w:val="Level 2 - a Char,h4 Char,Second Level Heading HM Char,Subhead C Char,Heading Four Char,H4 Char,Exhibit Char,Lev 4 Char,4 Char,Heading4 Char,h4 sub sub heading Char,D Sub-Sub/Plain Char,Level 2 - (a) Char,GPH Heading 4 Char,heading 4 Char"/>
    <w:basedOn w:val="DefaultParagraphFont"/>
    <w:link w:val="Heading4"/>
    <w:rsid w:val="00781DB0"/>
    <w:rPr>
      <w:rFonts w:asciiTheme="majorHAnsi" w:eastAsiaTheme="majorEastAsia" w:hAnsiTheme="majorHAnsi" w:cstheme="majorBidi"/>
      <w:b/>
      <w:iCs/>
      <w:sz w:val="18"/>
      <w:szCs w:val="18"/>
    </w:rPr>
  </w:style>
  <w:style w:type="character" w:customStyle="1" w:styleId="Heading5Char">
    <w:name w:val="Heading 5 Char"/>
    <w:aliases w:val="Level 3 - i Char,Heading 5(unused) Char,Level 3 - (i) Char,Third Level Heading Char,h5 Char,Response Type Char,Response Type1 Char,Response Type2 Char,Response Type3 Char,Response Type4 Char,Response Type5 Char,Response Type6 Char,H5 Char"/>
    <w:basedOn w:val="DefaultParagraphFont"/>
    <w:link w:val="Heading5"/>
    <w:rsid w:val="00781DB0"/>
    <w:rPr>
      <w:rFonts w:asciiTheme="majorHAnsi" w:eastAsiaTheme="majorEastAsia" w:hAnsiTheme="majorHAnsi" w:cstheme="majorBidi"/>
      <w:b/>
      <w:sz w:val="18"/>
      <w:szCs w:val="18"/>
    </w:rPr>
  </w:style>
  <w:style w:type="character" w:customStyle="1" w:styleId="Heading6Char">
    <w:name w:val="Heading 6 Char"/>
    <w:aliases w:val="Legal Level 1. Char,Heading 6(unused) Char,L1 PIP Char,Heading 6  Appendix Y &amp; Z Char,Lev 6 Char,H6 DO NOT USE Char,Bullet list Char,PA Appendix Char,H6 Char,H61 Char,PR14 Char,6 Char,h6 Char,level6 Char,level 6 Char,ITT t6 Char,(I) Char"/>
    <w:basedOn w:val="DefaultParagraphFont"/>
    <w:link w:val="Heading6"/>
    <w:rsid w:val="00EB546C"/>
    <w:rPr>
      <w:rFonts w:asciiTheme="majorHAnsi" w:eastAsiaTheme="majorEastAsia" w:hAnsiTheme="majorHAnsi" w:cstheme="majorBidi"/>
      <w:b/>
      <w:sz w:val="18"/>
      <w:szCs w:val="18"/>
    </w:rPr>
  </w:style>
  <w:style w:type="character" w:customStyle="1" w:styleId="Heading7Char">
    <w:name w:val="Heading 7 Char"/>
    <w:aliases w:val="Legal Level 1.1. Char,Simple arabic numbers Char,h7 Char,Heading 7(unused) Char,L2 PIP Char,Lev 7 Char,H7DO NOT USE Char,PA Appendix Major Char,H7 Char,ITT t7 Char,level1-noHeading Char,E1 Marginal Char,i. Char,(1) Char,ap Char,7 Char"/>
    <w:basedOn w:val="DefaultParagraphFont"/>
    <w:link w:val="Heading7"/>
    <w:rsid w:val="007875B4"/>
    <w:rPr>
      <w:rFonts w:asciiTheme="majorHAnsi" w:eastAsiaTheme="majorEastAsia" w:hAnsiTheme="majorHAnsi" w:cstheme="majorBidi"/>
      <w:b/>
      <w:iCs/>
      <w:sz w:val="18"/>
      <w:szCs w:val="18"/>
    </w:rPr>
  </w:style>
  <w:style w:type="character" w:customStyle="1" w:styleId="Heading8Char">
    <w:name w:val="Heading 8 Char"/>
    <w:aliases w:val="Legal Level 1.1.1. Char,Lev 8 Char,h8 DO NOT USE Char,PA Appendix Minor Char,H8 Char,ITT t8 Char,level2(a) Char,E2 Marginal Char,h8 Char,- Accura 1.1.1 Char,8 Char,Simple alpha numbers Char,AppendixSubHead Char,Style 52 Char,Style 36 Char"/>
    <w:basedOn w:val="DefaultParagraphFont"/>
    <w:link w:val="Heading8"/>
    <w:rsid w:val="007875B4"/>
    <w:rPr>
      <w:rFonts w:asciiTheme="majorHAnsi" w:eastAsiaTheme="majorEastAsia" w:hAnsiTheme="majorHAnsi" w:cstheme="majorBidi"/>
      <w:b/>
      <w:sz w:val="18"/>
      <w:szCs w:val="21"/>
    </w:rPr>
  </w:style>
  <w:style w:type="character" w:customStyle="1" w:styleId="Heading9Char">
    <w:name w:val="Heading 9 Char"/>
    <w:aliases w:val="Legal Level 1.1.1.1. Char,Heading 9 (defunct) Char,Lev 9 Char,h9 DO NOT USE Char,App Heading Char,Titre 10 Char,App1 Char,H9 Char,ITT t9 Char,level3(i) Char,E3 Marginal Char,h9 Char,9 Char,AppendixBodyHead Char,Style 53 Char,Style 37 Char"/>
    <w:basedOn w:val="DefaultParagraphFont"/>
    <w:link w:val="Heading9"/>
    <w:rsid w:val="007875B4"/>
    <w:rPr>
      <w:rFonts w:asciiTheme="majorHAnsi" w:eastAsiaTheme="majorEastAsia" w:hAnsiTheme="majorHAnsi" w:cstheme="majorBidi"/>
      <w:b/>
      <w:iCs/>
      <w:sz w:val="18"/>
      <w:szCs w:val="21"/>
    </w:rPr>
  </w:style>
  <w:style w:type="paragraph" w:styleId="TOC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TOC2">
    <w:name w:val="toc 2"/>
    <w:basedOn w:val="Normal"/>
    <w:next w:val="Normal"/>
    <w:autoRedefine/>
    <w:uiPriority w:val="39"/>
    <w:rsid w:val="00FA1ED1"/>
    <w:pPr>
      <w:tabs>
        <w:tab w:val="left" w:pos="1134"/>
        <w:tab w:val="right" w:pos="9894"/>
      </w:tabs>
      <w:ind w:left="1134" w:right="567" w:hanging="1134"/>
    </w:pPr>
    <w:rPr>
      <w:noProof/>
    </w:rPr>
  </w:style>
  <w:style w:type="paragraph" w:styleId="TOC3">
    <w:name w:val="toc 3"/>
    <w:basedOn w:val="Normal"/>
    <w:next w:val="Normal"/>
    <w:autoRedefine/>
    <w:uiPriority w:val="39"/>
    <w:rsid w:val="003F5669"/>
    <w:pPr>
      <w:tabs>
        <w:tab w:val="left" w:pos="1134"/>
        <w:tab w:val="right" w:pos="9894"/>
      </w:tabs>
      <w:ind w:left="1134" w:right="567" w:hanging="1134"/>
    </w:pPr>
    <w:rPr>
      <w:noProof/>
    </w:rPr>
  </w:style>
  <w:style w:type="paragraph" w:styleId="ListBullet">
    <w:name w:val="List Bullet"/>
    <w:basedOn w:val="Normal"/>
    <w:uiPriority w:val="10"/>
    <w:rsid w:val="00EC6AFC"/>
    <w:pPr>
      <w:spacing w:after="80"/>
      <w:ind w:left="1191" w:hanging="340"/>
    </w:pPr>
  </w:style>
  <w:style w:type="paragraph" w:styleId="Title">
    <w:name w:val="Title"/>
    <w:basedOn w:val="Normal"/>
    <w:next w:val="Normal"/>
    <w:link w:val="TitleChar"/>
    <w:uiPriority w:val="10"/>
    <w:qFormat/>
    <w:rsid w:val="002016A1"/>
    <w:pPr>
      <w:spacing w:after="300" w:line="880" w:lineRule="exact"/>
      <w:contextualSpacing/>
    </w:pPr>
    <w:rPr>
      <w:rFonts w:ascii="Times New Roman" w:eastAsiaTheme="majorEastAsia" w:hAnsi="Times New Roman" w:cstheme="majorBidi"/>
      <w:caps/>
      <w:color w:val="003C46" w:themeColor="accent1"/>
      <w:spacing w:val="5"/>
      <w:sz w:val="84"/>
      <w:szCs w:val="56"/>
    </w:rPr>
  </w:style>
  <w:style w:type="character" w:customStyle="1" w:styleId="TitleChar">
    <w:name w:val="Title Char"/>
    <w:basedOn w:val="DefaultParagraphFont"/>
    <w:link w:val="Title"/>
    <w:uiPriority w:val="10"/>
    <w:rsid w:val="002016A1"/>
    <w:rPr>
      <w:rFonts w:ascii="Times New Roman" w:eastAsiaTheme="majorEastAsia" w:hAnsi="Times New Roman" w:cstheme="majorBidi"/>
      <w:caps/>
      <w:color w:val="003C46" w:themeColor="accent1"/>
      <w:spacing w:val="5"/>
      <w:sz w:val="84"/>
      <w:szCs w:val="56"/>
    </w:rPr>
  </w:style>
  <w:style w:type="paragraph" w:styleId="Subtitle">
    <w:name w:val="Subtitle"/>
    <w:basedOn w:val="Normal"/>
    <w:next w:val="Normal"/>
    <w:link w:val="SubtitleChar"/>
    <w:uiPriority w:val="11"/>
    <w:qFormat/>
    <w:rsid w:val="005D1161"/>
    <w:pPr>
      <w:numPr>
        <w:ilvl w:val="1"/>
      </w:numPr>
      <w:spacing w:before="40" w:line="0" w:lineRule="atLeast"/>
    </w:pPr>
    <w:rPr>
      <w:rFonts w:ascii="Times New Roman" w:eastAsiaTheme="minorEastAsia" w:hAnsi="Times New Roman"/>
      <w:caps/>
      <w:color w:val="99B1B5" w:themeColor="accent3"/>
      <w:sz w:val="40"/>
    </w:rPr>
  </w:style>
  <w:style w:type="character" w:customStyle="1" w:styleId="SubtitleChar">
    <w:name w:val="Subtitle Char"/>
    <w:basedOn w:val="DefaultParagraphFont"/>
    <w:link w:val="Subtitle"/>
    <w:uiPriority w:val="11"/>
    <w:rsid w:val="005D1161"/>
    <w:rPr>
      <w:rFonts w:ascii="Times New Roman" w:eastAsiaTheme="minorEastAsia" w:hAnsi="Times New Roman"/>
      <w:caps/>
      <w:color w:val="99B1B5" w:themeColor="accent3"/>
      <w:sz w:val="40"/>
      <w:szCs w:val="18"/>
    </w:rPr>
  </w:style>
  <w:style w:type="character" w:styleId="Emphasis">
    <w:name w:val="Emphasis"/>
    <w:basedOn w:val="DefaultParagraphFont"/>
    <w:uiPriority w:val="20"/>
    <w:qFormat/>
    <w:rsid w:val="0064435B"/>
    <w:rPr>
      <w:i/>
      <w:iCs/>
    </w:rPr>
  </w:style>
  <w:style w:type="character" w:styleId="Strong">
    <w:name w:val="Strong"/>
    <w:basedOn w:val="DefaultParagraphFont"/>
    <w:uiPriority w:val="22"/>
    <w:qFormat/>
    <w:rsid w:val="0064435B"/>
    <w:rPr>
      <w:b/>
      <w:bCs/>
    </w:rPr>
  </w:style>
  <w:style w:type="paragraph" w:styleId="Quote">
    <w:name w:val="Quote"/>
    <w:basedOn w:val="Normal"/>
    <w:next w:val="Normal"/>
    <w:link w:val="QuoteChar"/>
    <w:uiPriority w:val="29"/>
    <w:qFormat/>
    <w:rsid w:val="0064435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435B"/>
    <w:rPr>
      <w:rFonts w:ascii="Arial" w:hAnsi="Arial"/>
      <w:i/>
      <w:iCs/>
      <w:color w:val="404040" w:themeColor="text1" w:themeTint="BF"/>
      <w:sz w:val="18"/>
      <w:szCs w:val="18"/>
    </w:rPr>
  </w:style>
  <w:style w:type="paragraph" w:styleId="Caption">
    <w:name w:val="caption"/>
    <w:basedOn w:val="Normal"/>
    <w:next w:val="Normal"/>
    <w:uiPriority w:val="5"/>
    <w:rsid w:val="00F46D49"/>
    <w:pPr>
      <w:spacing w:after="260" w:line="200" w:lineRule="atLeast"/>
      <w:contextualSpacing/>
    </w:pPr>
    <w:rPr>
      <w:bCs/>
      <w:i/>
      <w:color w:val="808080"/>
      <w:sz w:val="14"/>
    </w:rPr>
  </w:style>
  <w:style w:type="character" w:styleId="PageNumber">
    <w:name w:val="page number"/>
    <w:basedOn w:val="DefaultParagraphFont"/>
    <w:uiPriority w:val="99"/>
    <w:rsid w:val="0064435B"/>
  </w:style>
  <w:style w:type="character" w:styleId="FootnoteReference">
    <w:name w:val="footnote reference"/>
    <w:basedOn w:val="DefaultParagraphFont"/>
    <w:rsid w:val="0064435B"/>
    <w:rPr>
      <w:vertAlign w:val="superscript"/>
    </w:rPr>
  </w:style>
  <w:style w:type="paragraph" w:styleId="FootnoteText">
    <w:name w:val="footnote text"/>
    <w:basedOn w:val="Normal"/>
    <w:link w:val="FootnoteTextChar"/>
    <w:rsid w:val="00A41003"/>
    <w:rPr>
      <w:sz w:val="12"/>
      <w:szCs w:val="20"/>
    </w:rPr>
  </w:style>
  <w:style w:type="character" w:customStyle="1" w:styleId="FootnoteTextChar">
    <w:name w:val="Footnote Text Char"/>
    <w:basedOn w:val="DefaultParagraphFont"/>
    <w:link w:val="FootnoteText"/>
    <w:rsid w:val="00A41003"/>
    <w:rPr>
      <w:rFonts w:ascii="Arial" w:hAnsi="Arial"/>
      <w:sz w:val="12"/>
      <w:szCs w:val="20"/>
    </w:rPr>
  </w:style>
  <w:style w:type="paragraph" w:styleId="Footer">
    <w:name w:val="footer"/>
    <w:basedOn w:val="Normal"/>
    <w:link w:val="FooterChar"/>
    <w:uiPriority w:val="99"/>
    <w:rsid w:val="0064435B"/>
    <w:pPr>
      <w:tabs>
        <w:tab w:val="center" w:pos="4680"/>
        <w:tab w:val="right" w:pos="9360"/>
      </w:tabs>
      <w:spacing w:line="240" w:lineRule="auto"/>
    </w:pPr>
  </w:style>
  <w:style w:type="character" w:customStyle="1" w:styleId="FooterChar">
    <w:name w:val="Footer Char"/>
    <w:basedOn w:val="DefaultParagraphFont"/>
    <w:link w:val="Footer"/>
    <w:uiPriority w:val="99"/>
    <w:rsid w:val="0064435B"/>
    <w:rPr>
      <w:rFonts w:ascii="Arial" w:hAnsi="Arial"/>
      <w:sz w:val="18"/>
      <w:szCs w:val="18"/>
    </w:rPr>
  </w:style>
  <w:style w:type="paragraph" w:styleId="TOCHeading">
    <w:name w:val="TOC Heading"/>
    <w:basedOn w:val="Heading1"/>
    <w:next w:val="Normal"/>
    <w:uiPriority w:val="39"/>
    <w:qFormat/>
    <w:rsid w:val="003E73F1"/>
    <w:pPr>
      <w:pageBreakBefore/>
      <w:numPr>
        <w:numId w:val="0"/>
      </w:numPr>
      <w:spacing w:before="0" w:after="260"/>
      <w:outlineLvl w:val="9"/>
    </w:pPr>
  </w:style>
  <w:style w:type="character" w:styleId="Hyperlink">
    <w:name w:val="Hyperlink"/>
    <w:basedOn w:val="DefaultParagraphFont"/>
    <w:uiPriority w:val="99"/>
    <w:unhideWhenUsed/>
    <w:rsid w:val="00433CA2"/>
    <w:rPr>
      <w:color w:val="33636B" w:themeColor="hyperlink"/>
      <w:u w:val="single"/>
    </w:rPr>
  </w:style>
  <w:style w:type="paragraph" w:styleId="ListNumber">
    <w:name w:val="List Number"/>
    <w:basedOn w:val="Normal"/>
    <w:uiPriority w:val="10"/>
    <w:rsid w:val="006658AA"/>
    <w:pPr>
      <w:numPr>
        <w:numId w:val="1"/>
      </w:numPr>
      <w:contextualSpacing/>
    </w:pPr>
  </w:style>
  <w:style w:type="paragraph" w:customStyle="1" w:styleId="DSHeadingNoToc1">
    <w:name w:val="DS_Heading_NoToc_1"/>
    <w:basedOn w:val="Heading1"/>
    <w:next w:val="NormalIndent"/>
    <w:qFormat/>
    <w:rsid w:val="00A337D5"/>
    <w:pPr>
      <w:spacing w:before="130"/>
      <w:outlineLvl w:val="9"/>
    </w:pPr>
    <w:rPr>
      <w:rFonts w:asciiTheme="minorHAnsi" w:hAnsiTheme="minorHAnsi"/>
      <w:b w:val="0"/>
    </w:rPr>
  </w:style>
  <w:style w:type="paragraph" w:customStyle="1" w:styleId="DSHeadingNoToc2">
    <w:name w:val="DS_Heading_NoToc_2"/>
    <w:basedOn w:val="Heading2"/>
    <w:next w:val="NormalIndent"/>
    <w:qFormat/>
    <w:rsid w:val="000A5372"/>
    <w:pPr>
      <w:keepNext w:val="0"/>
      <w:keepLines/>
      <w:spacing w:before="130"/>
      <w:outlineLvl w:val="5"/>
    </w:pPr>
    <w:rPr>
      <w:rFonts w:asciiTheme="minorHAnsi" w:hAnsiTheme="minorHAnsi"/>
      <w:b w:val="0"/>
    </w:rPr>
  </w:style>
  <w:style w:type="paragraph" w:customStyle="1" w:styleId="DSHeadingNoToc3">
    <w:name w:val="DS_Heading_NoToc_3"/>
    <w:basedOn w:val="Heading3"/>
    <w:next w:val="NormalIndent"/>
    <w:qFormat/>
    <w:rsid w:val="005032B6"/>
    <w:pPr>
      <w:keepNext w:val="0"/>
      <w:keepLines/>
      <w:spacing w:before="130"/>
      <w:outlineLvl w:val="5"/>
    </w:pPr>
    <w:rPr>
      <w:rFonts w:asciiTheme="minorHAnsi" w:hAnsiTheme="minorHAnsi"/>
      <w:b w:val="0"/>
    </w:rPr>
  </w:style>
  <w:style w:type="paragraph" w:customStyle="1" w:styleId="DSHeadingNoToc4">
    <w:name w:val="DS_Heading_NoToc_4"/>
    <w:basedOn w:val="Heading4"/>
    <w:next w:val="NormalIndent"/>
    <w:qFormat/>
    <w:rsid w:val="000A5372"/>
    <w:pPr>
      <w:keepLines/>
      <w:spacing w:before="130"/>
      <w:ind w:left="862" w:hanging="862"/>
      <w:outlineLvl w:val="5"/>
    </w:pPr>
    <w:rPr>
      <w:rFonts w:asciiTheme="minorHAnsi" w:hAnsiTheme="minorHAnsi"/>
      <w:b w:val="0"/>
      <w:iCs w:val="0"/>
    </w:rPr>
  </w:style>
  <w:style w:type="paragraph" w:customStyle="1" w:styleId="DSHeadingNoToc5">
    <w:name w:val="DS_Heading_NoToc_5"/>
    <w:basedOn w:val="Heading5"/>
    <w:next w:val="NormalIndent"/>
    <w:qFormat/>
    <w:rsid w:val="000A5372"/>
    <w:pPr>
      <w:keepLines/>
      <w:spacing w:before="130"/>
      <w:outlineLvl w:val="5"/>
    </w:pPr>
    <w:rPr>
      <w:rFonts w:asciiTheme="minorHAnsi" w:hAnsiTheme="minorHAnsi"/>
      <w:b w:val="0"/>
    </w:rPr>
  </w:style>
  <w:style w:type="paragraph" w:customStyle="1" w:styleId="DSHeadingNoToc6">
    <w:name w:val="DS_Heading_NoToc_6"/>
    <w:basedOn w:val="Heading6"/>
    <w:next w:val="NormalIndent"/>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Heading7"/>
    <w:next w:val="NormalIndent"/>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Heading8"/>
    <w:next w:val="NormalIndent"/>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Heading9"/>
    <w:next w:val="NormalIndent"/>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NoSpacing"/>
    <w:qFormat/>
    <w:rsid w:val="00AC23F2"/>
    <w:pPr>
      <w:spacing w:line="260" w:lineRule="atLeast"/>
      <w:contextualSpacing/>
    </w:pPr>
    <w:rPr>
      <w:rFonts w:eastAsia="Times New Roman" w:cs="Times New Roman"/>
      <w:caps/>
      <w:noProof/>
      <w:color w:val="003C46"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Header">
    <w:name w:val="header"/>
    <w:basedOn w:val="Normal"/>
    <w:link w:val="HeaderChar"/>
    <w:uiPriority w:val="99"/>
    <w:unhideWhenUsed/>
    <w:rsid w:val="00C91A05"/>
    <w:pPr>
      <w:tabs>
        <w:tab w:val="center" w:pos="4680"/>
        <w:tab w:val="right" w:pos="9360"/>
      </w:tabs>
      <w:spacing w:line="240" w:lineRule="auto"/>
    </w:pPr>
  </w:style>
  <w:style w:type="character" w:customStyle="1" w:styleId="HeaderChar">
    <w:name w:val="Header Char"/>
    <w:basedOn w:val="DefaultParagraphFont"/>
    <w:link w:val="Header"/>
    <w:uiPriority w:val="99"/>
    <w:rsid w:val="00C91A05"/>
    <w:rPr>
      <w:rFonts w:ascii="Arial" w:hAnsi="Arial"/>
      <w:sz w:val="18"/>
      <w:szCs w:val="18"/>
    </w:rPr>
  </w:style>
  <w:style w:type="paragraph" w:styleId="BalloonText">
    <w:name w:val="Balloon Text"/>
    <w:basedOn w:val="Normal"/>
    <w:link w:val="BalloonTextChar"/>
    <w:uiPriority w:val="99"/>
    <w:semiHidden/>
    <w:unhideWhenUsed/>
    <w:rsid w:val="00401C6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01C65"/>
    <w:rPr>
      <w:rFonts w:ascii="Segoe UI" w:hAnsi="Segoe UI" w:cs="Segoe UI"/>
      <w:sz w:val="18"/>
      <w:szCs w:val="18"/>
      <w:lang w:val="en-GB"/>
    </w:rPr>
  </w:style>
  <w:style w:type="paragraph" w:styleId="ListParagraph">
    <w:name w:val="List Paragraph"/>
    <w:basedOn w:val="Normal"/>
    <w:uiPriority w:val="34"/>
    <w:unhideWhenUsed/>
    <w:qFormat/>
    <w:rsid w:val="000925AA"/>
    <w:pPr>
      <w:ind w:left="720"/>
      <w:contextualSpacing/>
    </w:pPr>
  </w:style>
  <w:style w:type="paragraph" w:customStyle="1" w:styleId="DSNumberedList10">
    <w:name w:val="DS_NumberedList_1"/>
    <w:basedOn w:val="Normal"/>
    <w:qFormat/>
    <w:rsid w:val="000E5549"/>
    <w:pPr>
      <w:numPr>
        <w:numId w:val="11"/>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2"/>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7"/>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3"/>
      </w:numPr>
    </w:pPr>
  </w:style>
  <w:style w:type="numbering" w:customStyle="1" w:styleId="DSNumberedlist1">
    <w:name w:val="DS_Numbered list 1."/>
    <w:uiPriority w:val="99"/>
    <w:rsid w:val="00D9698D"/>
    <w:pPr>
      <w:numPr>
        <w:numId w:val="5"/>
      </w:numPr>
    </w:pPr>
  </w:style>
  <w:style w:type="numbering" w:customStyle="1" w:styleId="DSNumberedListII">
    <w:name w:val="DS_Numbered List II"/>
    <w:uiPriority w:val="99"/>
    <w:rsid w:val="00DF4C56"/>
    <w:pPr>
      <w:numPr>
        <w:numId w:val="6"/>
      </w:numPr>
    </w:pPr>
  </w:style>
  <w:style w:type="numbering" w:customStyle="1" w:styleId="DSNumberedListA">
    <w:name w:val="DS_Numbered List A"/>
    <w:uiPriority w:val="99"/>
    <w:rsid w:val="007A5EDC"/>
    <w:pPr>
      <w:numPr>
        <w:numId w:val="8"/>
      </w:numPr>
    </w:pPr>
  </w:style>
  <w:style w:type="character" w:customStyle="1" w:styleId="DSProductions">
    <w:name w:val="DS_Productions"/>
    <w:basedOn w:val="DefaultParagraphFont"/>
    <w:uiPriority w:val="1"/>
    <w:qFormat/>
    <w:rsid w:val="00C119A8"/>
    <w:rPr>
      <w:b/>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9"/>
      </w:numPr>
    </w:pPr>
  </w:style>
  <w:style w:type="paragraph" w:customStyle="1" w:styleId="DSBodyTextNumbered1">
    <w:name w:val="DS_BodyText_Numbered_1"/>
    <w:basedOn w:val="Normal"/>
    <w:qFormat/>
    <w:rsid w:val="008D2DFD"/>
    <w:pPr>
      <w:numPr>
        <w:numId w:val="10"/>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Heading1"/>
    <w:next w:val="Normal"/>
    <w:qFormat/>
    <w:rsid w:val="00EC6AFC"/>
    <w:pPr>
      <w:numPr>
        <w:numId w:val="0"/>
      </w:numPr>
      <w:spacing w:line="260" w:lineRule="exact"/>
      <w:outlineLvl w:val="9"/>
    </w:pPr>
  </w:style>
  <w:style w:type="paragraph" w:customStyle="1" w:styleId="DSHeadingUnnumbered2">
    <w:name w:val="DS_Heading_Unnumbered_2"/>
    <w:basedOn w:val="Heading2"/>
    <w:qFormat/>
    <w:rsid w:val="00EC6AFC"/>
    <w:pPr>
      <w:numPr>
        <w:ilvl w:val="0"/>
        <w:numId w:val="0"/>
      </w:numPr>
      <w:outlineLvl w:val="9"/>
    </w:pPr>
  </w:style>
  <w:style w:type="paragraph" w:customStyle="1" w:styleId="DSHeadingUnnumbered3">
    <w:name w:val="DS_Heading_Unnumbered_3"/>
    <w:basedOn w:val="Heading3"/>
    <w:next w:val="Normal"/>
    <w:qFormat/>
    <w:rsid w:val="00EC6AFC"/>
    <w:pPr>
      <w:numPr>
        <w:ilvl w:val="0"/>
        <w:numId w:val="0"/>
      </w:numPr>
      <w:outlineLvl w:val="9"/>
    </w:pPr>
  </w:style>
  <w:style w:type="paragraph" w:customStyle="1" w:styleId="DSHeadingUnnumbered4">
    <w:name w:val="DS_Heading_Unnumbered_4"/>
    <w:basedOn w:val="Heading4"/>
    <w:next w:val="Normal"/>
    <w:qFormat/>
    <w:rsid w:val="00EC6AFC"/>
    <w:pPr>
      <w:numPr>
        <w:ilvl w:val="0"/>
        <w:numId w:val="0"/>
      </w:numPr>
      <w:outlineLvl w:val="9"/>
    </w:pPr>
  </w:style>
  <w:style w:type="paragraph" w:customStyle="1" w:styleId="DSHeadingUnnumbered5">
    <w:name w:val="DS_Heading_Unnumbered_5"/>
    <w:basedOn w:val="Heading5"/>
    <w:next w:val="Normal"/>
    <w:qFormat/>
    <w:rsid w:val="00EC6AFC"/>
    <w:pPr>
      <w:numPr>
        <w:ilvl w:val="0"/>
        <w:numId w:val="0"/>
      </w:numPr>
      <w:outlineLvl w:val="9"/>
    </w:pPr>
  </w:style>
  <w:style w:type="paragraph" w:customStyle="1" w:styleId="DSHeadingUnnumbered6">
    <w:name w:val="DS_Heading_Unnumbered_6"/>
    <w:basedOn w:val="Heading6"/>
    <w:next w:val="Normal"/>
    <w:qFormat/>
    <w:rsid w:val="00EC6AFC"/>
    <w:pPr>
      <w:numPr>
        <w:ilvl w:val="0"/>
        <w:numId w:val="0"/>
      </w:numPr>
      <w:outlineLvl w:val="9"/>
    </w:pPr>
  </w:style>
  <w:style w:type="paragraph" w:customStyle="1" w:styleId="DSHeadingUnnumbered7">
    <w:name w:val="DS_Heading_Unnumbered_7"/>
    <w:basedOn w:val="Heading7"/>
    <w:next w:val="Normal"/>
    <w:qFormat/>
    <w:rsid w:val="00EC6AFC"/>
    <w:pPr>
      <w:numPr>
        <w:ilvl w:val="0"/>
        <w:numId w:val="0"/>
      </w:numPr>
      <w:outlineLvl w:val="9"/>
    </w:pPr>
  </w:style>
  <w:style w:type="paragraph" w:customStyle="1" w:styleId="DSHeadingUnnumbered8">
    <w:name w:val="DS_Heading_Unnumbered_8"/>
    <w:basedOn w:val="Heading8"/>
    <w:next w:val="Normal"/>
    <w:qFormat/>
    <w:rsid w:val="00EC6AFC"/>
    <w:pPr>
      <w:numPr>
        <w:ilvl w:val="0"/>
        <w:numId w:val="0"/>
      </w:numPr>
      <w:outlineLvl w:val="9"/>
    </w:pPr>
  </w:style>
  <w:style w:type="paragraph" w:customStyle="1" w:styleId="DSHeadingUnnumbered9">
    <w:name w:val="DS_Heading_Unnumbered_9"/>
    <w:basedOn w:val="Heading9"/>
    <w:next w:val="Normal"/>
    <w:qFormat/>
    <w:rsid w:val="00EC6AFC"/>
    <w:pPr>
      <w:numPr>
        <w:ilvl w:val="0"/>
        <w:numId w:val="0"/>
      </w:numPr>
      <w:outlineLvl w:val="9"/>
    </w:pPr>
  </w:style>
  <w:style w:type="paragraph" w:styleId="TOC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TOC5">
    <w:name w:val="toc 5"/>
    <w:basedOn w:val="Normal"/>
    <w:next w:val="Normal"/>
    <w:autoRedefine/>
    <w:uiPriority w:val="39"/>
    <w:unhideWhenUsed/>
    <w:rsid w:val="00CA514E"/>
    <w:pPr>
      <w:tabs>
        <w:tab w:val="left" w:pos="1134"/>
        <w:tab w:val="right" w:pos="9894"/>
      </w:tabs>
      <w:ind w:left="1134" w:right="567" w:hanging="1134"/>
    </w:pPr>
  </w:style>
  <w:style w:type="paragraph" w:styleId="TOC6">
    <w:name w:val="toc 6"/>
    <w:basedOn w:val="Normal"/>
    <w:next w:val="Normal"/>
    <w:autoRedefine/>
    <w:uiPriority w:val="39"/>
    <w:unhideWhenUsed/>
    <w:rsid w:val="00CA514E"/>
    <w:pPr>
      <w:tabs>
        <w:tab w:val="left" w:pos="1134"/>
        <w:tab w:val="right" w:pos="9894"/>
      </w:tabs>
      <w:ind w:left="1134" w:right="567" w:hanging="1134"/>
    </w:pPr>
  </w:style>
  <w:style w:type="paragraph" w:styleId="TOC7">
    <w:name w:val="toc 7"/>
    <w:basedOn w:val="Normal"/>
    <w:next w:val="Normal"/>
    <w:autoRedefine/>
    <w:uiPriority w:val="39"/>
    <w:unhideWhenUsed/>
    <w:rsid w:val="00C31E44"/>
    <w:pPr>
      <w:tabs>
        <w:tab w:val="left" w:pos="1701"/>
        <w:tab w:val="right" w:leader="dot" w:pos="9394"/>
      </w:tabs>
      <w:ind w:left="851" w:right="567" w:hanging="851"/>
    </w:pPr>
  </w:style>
  <w:style w:type="paragraph" w:styleId="TOC8">
    <w:name w:val="toc 8"/>
    <w:basedOn w:val="Normal"/>
    <w:next w:val="Normal"/>
    <w:autoRedefine/>
    <w:uiPriority w:val="39"/>
    <w:unhideWhenUsed/>
    <w:rsid w:val="00C31E44"/>
    <w:pPr>
      <w:tabs>
        <w:tab w:val="left" w:pos="1701"/>
        <w:tab w:val="right" w:leader="dot" w:pos="9394"/>
      </w:tabs>
      <w:ind w:left="851" w:right="567" w:hanging="851"/>
    </w:pPr>
  </w:style>
  <w:style w:type="paragraph" w:styleId="TOC9">
    <w:name w:val="toc 9"/>
    <w:basedOn w:val="Normal"/>
    <w:next w:val="Normal"/>
    <w:autoRedefine/>
    <w:uiPriority w:val="39"/>
    <w:unhideWhenUsed/>
    <w:rsid w:val="00C31E44"/>
    <w:pPr>
      <w:tabs>
        <w:tab w:val="left" w:pos="1701"/>
        <w:tab w:val="right" w:leader="dot" w:pos="9394"/>
      </w:tabs>
      <w:ind w:left="851" w:right="567" w:hanging="851"/>
    </w:pPr>
  </w:style>
  <w:style w:type="table" w:styleId="TableGrid">
    <w:name w:val="Table Grid"/>
    <w:basedOn w:val="TableNormal"/>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le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003C46" w:themeFill="accent1"/>
      </w:tcPr>
    </w:tblStylePr>
  </w:style>
  <w:style w:type="character" w:customStyle="1" w:styleId="DSAccentColor">
    <w:name w:val="DS_AccentColor"/>
    <w:basedOn w:val="DefaultParagraphFont"/>
    <w:uiPriority w:val="1"/>
    <w:qFormat/>
    <w:rsid w:val="00A4691D"/>
    <w:rPr>
      <w:color w:val="003C46" w:themeColor="accent1"/>
    </w:rPr>
  </w:style>
  <w:style w:type="paragraph" w:customStyle="1" w:styleId="DSExhibits">
    <w:name w:val="DS_Exhibits"/>
    <w:basedOn w:val="Heading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003C46" w:themeColor="accent1"/>
      <w:spacing w:val="3"/>
      <w:sz w:val="12"/>
    </w:rPr>
  </w:style>
  <w:style w:type="table" w:customStyle="1" w:styleId="TableGrid1">
    <w:name w:val="Table Grid1"/>
    <w:basedOn w:val="TableNormal"/>
    <w:next w:val="TableGrid"/>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DefaultParagraphFont"/>
    <w:uiPriority w:val="1"/>
    <w:qFormat/>
    <w:rsid w:val="00A91224"/>
    <w:rPr>
      <w:rFonts w:ascii="Wingdings" w:hAnsi="Wingdings"/>
      <w:color w:val="000000" w:themeColor="text1"/>
      <w:sz w:val="14"/>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IntenseEmphasis">
    <w:name w:val="Intense Emphasis"/>
    <w:basedOn w:val="DefaultParagraphFont"/>
    <w:uiPriority w:val="21"/>
    <w:qFormat/>
    <w:rsid w:val="00826D11"/>
    <w:rPr>
      <w:i/>
      <w:iCs/>
      <w:color w:val="003C46" w:themeColor="accent1"/>
    </w:rPr>
  </w:style>
  <w:style w:type="paragraph" w:styleId="ListBullet2">
    <w:name w:val="List Bullet 2"/>
    <w:basedOn w:val="Normal"/>
    <w:uiPriority w:val="99"/>
    <w:rsid w:val="00EC6AFC"/>
    <w:pPr>
      <w:numPr>
        <w:ilvl w:val="1"/>
        <w:numId w:val="41"/>
      </w:numPr>
    </w:pPr>
  </w:style>
  <w:style w:type="paragraph" w:styleId="ListBullet3">
    <w:name w:val="List Bullet 3"/>
    <w:basedOn w:val="Normal"/>
    <w:uiPriority w:val="99"/>
    <w:rsid w:val="00EC6AFC"/>
    <w:pPr>
      <w:numPr>
        <w:ilvl w:val="2"/>
        <w:numId w:val="41"/>
      </w:numPr>
    </w:pPr>
  </w:style>
  <w:style w:type="paragraph" w:customStyle="1" w:styleId="DSHeadingNonLegal1">
    <w:name w:val="DS_Heading_NonLegal_1"/>
    <w:basedOn w:val="Heading1"/>
    <w:next w:val="Normal"/>
    <w:qFormat/>
    <w:rsid w:val="00E757E5"/>
    <w:pPr>
      <w:numPr>
        <w:numId w:val="12"/>
      </w:numPr>
    </w:pPr>
  </w:style>
  <w:style w:type="paragraph" w:customStyle="1" w:styleId="DSHeadingNonLegal2">
    <w:name w:val="DS_Heading_NonLegal_2"/>
    <w:basedOn w:val="Heading2"/>
    <w:next w:val="Normal"/>
    <w:qFormat/>
    <w:rsid w:val="00E757E5"/>
    <w:pPr>
      <w:numPr>
        <w:numId w:val="12"/>
      </w:numPr>
    </w:pPr>
  </w:style>
  <w:style w:type="paragraph" w:customStyle="1" w:styleId="DSHeadingNonLegal3">
    <w:name w:val="DS_Heading_NonLegal_3"/>
    <w:basedOn w:val="Heading3"/>
    <w:next w:val="Normal"/>
    <w:qFormat/>
    <w:rsid w:val="00E757E5"/>
    <w:pPr>
      <w:numPr>
        <w:numId w:val="12"/>
      </w:numPr>
    </w:pPr>
  </w:style>
  <w:style w:type="paragraph" w:customStyle="1" w:styleId="DSHeadingNonLegal4">
    <w:name w:val="DS_Heading_NonLegal_4"/>
    <w:basedOn w:val="Heading4"/>
    <w:next w:val="Normal"/>
    <w:qFormat/>
    <w:rsid w:val="00E757E5"/>
    <w:pPr>
      <w:numPr>
        <w:numId w:val="12"/>
      </w:numPr>
    </w:pPr>
  </w:style>
  <w:style w:type="paragraph" w:customStyle="1" w:styleId="DSHeadingNonLegal5">
    <w:name w:val="DS_Heading_NonLegal_5"/>
    <w:basedOn w:val="Heading5"/>
    <w:next w:val="Normal"/>
    <w:qFormat/>
    <w:rsid w:val="00E757E5"/>
    <w:pPr>
      <w:numPr>
        <w:numId w:val="12"/>
      </w:numPr>
    </w:pPr>
  </w:style>
  <w:style w:type="paragraph" w:customStyle="1" w:styleId="DSHeadingNonLegal6">
    <w:name w:val="DS_Heading_NonLegal_6"/>
    <w:basedOn w:val="Heading6"/>
    <w:next w:val="Normal"/>
    <w:qFormat/>
    <w:rsid w:val="00E757E5"/>
    <w:pPr>
      <w:numPr>
        <w:numId w:val="12"/>
      </w:numPr>
    </w:pPr>
  </w:style>
  <w:style w:type="paragraph" w:customStyle="1" w:styleId="DSHeadingNonLegal7">
    <w:name w:val="DS_Heading_NonLegal_7"/>
    <w:basedOn w:val="Heading7"/>
    <w:next w:val="Normal"/>
    <w:qFormat/>
    <w:rsid w:val="00E757E5"/>
    <w:pPr>
      <w:numPr>
        <w:numId w:val="12"/>
      </w:numPr>
    </w:pPr>
  </w:style>
  <w:style w:type="paragraph" w:customStyle="1" w:styleId="DSHeadingNonLegal8">
    <w:name w:val="DS_Heading_NonLegal_8"/>
    <w:basedOn w:val="Heading8"/>
    <w:next w:val="Normal"/>
    <w:qFormat/>
    <w:rsid w:val="00E757E5"/>
    <w:pPr>
      <w:numPr>
        <w:numId w:val="12"/>
      </w:numPr>
    </w:pPr>
  </w:style>
  <w:style w:type="paragraph" w:customStyle="1" w:styleId="DSHeadingNonLegal9">
    <w:name w:val="DS_Heading_NonLegal_9"/>
    <w:basedOn w:val="Heading9"/>
    <w:next w:val="Normal"/>
    <w:qFormat/>
    <w:rsid w:val="00E757E5"/>
    <w:pPr>
      <w:numPr>
        <w:numId w:val="12"/>
      </w:numPr>
    </w:pPr>
  </w:style>
  <w:style w:type="paragraph" w:customStyle="1" w:styleId="Heading">
    <w:name w:val="Heading"/>
    <w:basedOn w:val="Heading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3"/>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4"/>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5"/>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6"/>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en-GB" w:eastAsia="da-DK"/>
    </w:rPr>
  </w:style>
  <w:style w:type="paragraph" w:styleId="ListBullet4">
    <w:name w:val="List Bullet 4"/>
    <w:basedOn w:val="Normal"/>
    <w:uiPriority w:val="99"/>
    <w:rsid w:val="00C16A64"/>
    <w:pPr>
      <w:numPr>
        <w:ilvl w:val="3"/>
        <w:numId w:val="41"/>
      </w:numPr>
      <w:contextualSpacing/>
    </w:pPr>
  </w:style>
  <w:style w:type="paragraph" w:styleId="ListBullet5">
    <w:name w:val="List Bullet 5"/>
    <w:basedOn w:val="Normal"/>
    <w:uiPriority w:val="99"/>
    <w:rsid w:val="00C16A64"/>
    <w:pPr>
      <w:numPr>
        <w:ilvl w:val="4"/>
        <w:numId w:val="41"/>
      </w:numPr>
      <w:contextualSpacing/>
    </w:pPr>
  </w:style>
  <w:style w:type="numbering" w:customStyle="1" w:styleId="Schedules">
    <w:name w:val="Schedules"/>
    <w:uiPriority w:val="99"/>
    <w:rsid w:val="007010EA"/>
    <w:pPr>
      <w:numPr>
        <w:numId w:val="18"/>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Heading1Char"/>
    <w:link w:val="Heading"/>
    <w:rsid w:val="00D72983"/>
    <w:rPr>
      <w:rFonts w:asciiTheme="majorHAnsi" w:eastAsiaTheme="majorEastAsia" w:hAnsiTheme="majorHAnsi" w:cstheme="majorBidi"/>
      <w:b/>
      <w:caps/>
      <w:spacing w:val="5"/>
      <w:sz w:val="18"/>
      <w:szCs w:val="32"/>
    </w:rPr>
  </w:style>
  <w:style w:type="paragraph" w:customStyle="1" w:styleId="DSBilag10">
    <w:name w:val="DS_Bilag_1"/>
    <w:basedOn w:val="Normal"/>
    <w:qFormat/>
    <w:rsid w:val="007010EA"/>
    <w:pPr>
      <w:numPr>
        <w:numId w:val="1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Heading1"/>
    <w:qFormat/>
    <w:rsid w:val="00627775"/>
    <w:pPr>
      <w:keepNext w:val="0"/>
      <w:numPr>
        <w:numId w:val="21"/>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2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995949"/>
    <w:pPr>
      <w:spacing w:after="480"/>
      <w:outlineLvl w:val="9"/>
    </w:pPr>
  </w:style>
  <w:style w:type="paragraph" w:styleId="NormalIndent">
    <w:name w:val="Normal Indent"/>
    <w:aliases w:val="Propsectus Normal Indent,Normal indrykning1"/>
    <w:basedOn w:val="Normal"/>
    <w:link w:val="NormalIndentChar"/>
    <w:uiPriority w:val="99"/>
    <w:unhideWhenUsed/>
    <w:qFormat/>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x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le"/>
    <w:rsid w:val="005D1161"/>
    <w:pPr>
      <w:pBdr>
        <w:bottom w:val="single" w:sz="4" w:space="1" w:color="auto"/>
      </w:pBdr>
      <w:spacing w:before="40" w:line="0" w:lineRule="atLeast"/>
    </w:pPr>
    <w:rPr>
      <w:rFonts w:eastAsia="Times New Roman" w:cs="Times New Roman"/>
      <w:szCs w:val="20"/>
    </w:rPr>
  </w:style>
  <w:style w:type="paragraph" w:customStyle="1" w:styleId="Heading0Before12After">
    <w:name w:val="Heading 0 Before 12 After"/>
    <w:basedOn w:val="Heading0Before24After"/>
    <w:qFormat/>
    <w:rsid w:val="00995949"/>
    <w:pPr>
      <w:spacing w:after="240"/>
    </w:pPr>
  </w:style>
  <w:style w:type="paragraph" w:customStyle="1" w:styleId="DSLanguageList1">
    <w:name w:val="DS_LanguageList_1"/>
    <w:basedOn w:val="Normal"/>
    <w:uiPriority w:val="1"/>
    <w:qFormat/>
    <w:rsid w:val="009A7ACC"/>
    <w:pPr>
      <w:numPr>
        <w:numId w:val="22"/>
      </w:numPr>
      <w:spacing w:before="260" w:after="260"/>
      <w:contextualSpacing/>
      <w:outlineLvl w:val="0"/>
    </w:pPr>
    <w:rPr>
      <w:rFonts w:asciiTheme="majorHAnsi" w:hAnsiTheme="majorHAnsi"/>
      <w:b/>
      <w:sz w:val="28"/>
      <w:szCs w:val="22"/>
    </w:rPr>
  </w:style>
  <w:style w:type="paragraph" w:customStyle="1" w:styleId="DSLanguageList2">
    <w:name w:val="DS_LanguageList_2"/>
    <w:basedOn w:val="Normal"/>
    <w:uiPriority w:val="1"/>
    <w:qFormat/>
    <w:rsid w:val="009A7ACC"/>
    <w:pPr>
      <w:numPr>
        <w:numId w:val="23"/>
      </w:numPr>
      <w:spacing w:before="260" w:after="260"/>
      <w:contextualSpacing/>
    </w:pPr>
    <w:rPr>
      <w:rFonts w:asciiTheme="majorHAnsi" w:hAnsiTheme="majorHAnsi"/>
      <w:b/>
      <w:sz w:val="28"/>
      <w:szCs w:val="22"/>
    </w:rPr>
  </w:style>
  <w:style w:type="numbering" w:customStyle="1" w:styleId="ListLanguageList1">
    <w:name w:val="List_LanguageList_1"/>
    <w:uiPriority w:val="99"/>
    <w:rsid w:val="009A7ACC"/>
    <w:pPr>
      <w:numPr>
        <w:numId w:val="22"/>
      </w:numPr>
    </w:pPr>
  </w:style>
  <w:style w:type="numbering" w:customStyle="1" w:styleId="ListLanguageList2">
    <w:name w:val="List_LanguageList_2"/>
    <w:uiPriority w:val="99"/>
    <w:rsid w:val="009A7ACC"/>
    <w:pPr>
      <w:numPr>
        <w:numId w:val="23"/>
      </w:numPr>
    </w:pPr>
  </w:style>
  <w:style w:type="paragraph" w:customStyle="1" w:styleId="DSNormalBold">
    <w:name w:val="DS_Normal_Bold"/>
    <w:basedOn w:val="Normal"/>
    <w:next w:val="Normal"/>
    <w:uiPriority w:val="3"/>
    <w:qFormat/>
    <w:rsid w:val="00C409D1"/>
    <w:pPr>
      <w:widowControl w:val="0"/>
      <w:spacing w:after="120" w:line="280" w:lineRule="atLeast"/>
      <w:jc w:val="both"/>
    </w:pPr>
    <w:rPr>
      <w:rFonts w:asciiTheme="minorHAnsi" w:hAnsiTheme="minorHAnsi"/>
      <w:b/>
      <w:sz w:val="20"/>
      <w:szCs w:val="22"/>
    </w:rPr>
  </w:style>
  <w:style w:type="numbering" w:customStyle="1" w:styleId="ListBullet2Indent">
    <w:name w:val="List_Bullet_2_Indent"/>
    <w:uiPriority w:val="99"/>
    <w:rsid w:val="00C409D1"/>
    <w:pPr>
      <w:numPr>
        <w:numId w:val="24"/>
      </w:numPr>
    </w:pPr>
  </w:style>
  <w:style w:type="character" w:customStyle="1" w:styleId="UnresolvedMention1">
    <w:name w:val="Unresolved Mention1"/>
    <w:basedOn w:val="DefaultParagraphFont"/>
    <w:uiPriority w:val="99"/>
    <w:semiHidden/>
    <w:unhideWhenUsed/>
    <w:rsid w:val="00C409D1"/>
    <w:rPr>
      <w:color w:val="605E5C"/>
      <w:shd w:val="clear" w:color="auto" w:fill="E1DFDD"/>
    </w:rPr>
  </w:style>
  <w:style w:type="character" w:styleId="CommentReference">
    <w:name w:val="annotation reference"/>
    <w:basedOn w:val="DefaultParagraphFont"/>
    <w:uiPriority w:val="18"/>
    <w:semiHidden/>
    <w:unhideWhenUsed/>
    <w:rsid w:val="00DF0F94"/>
    <w:rPr>
      <w:sz w:val="16"/>
      <w:szCs w:val="16"/>
      <w:lang w:val="en-GB"/>
    </w:rPr>
  </w:style>
  <w:style w:type="paragraph" w:styleId="CommentText">
    <w:name w:val="annotation text"/>
    <w:basedOn w:val="Normal"/>
    <w:link w:val="CommentTextChar"/>
    <w:uiPriority w:val="18"/>
    <w:unhideWhenUsed/>
    <w:rsid w:val="00DF0F94"/>
    <w:pPr>
      <w:spacing w:line="240" w:lineRule="auto"/>
    </w:pPr>
    <w:rPr>
      <w:sz w:val="20"/>
      <w:szCs w:val="20"/>
    </w:rPr>
  </w:style>
  <w:style w:type="character" w:customStyle="1" w:styleId="CommentTextChar">
    <w:name w:val="Comment Text Char"/>
    <w:basedOn w:val="DefaultParagraphFont"/>
    <w:link w:val="CommentText"/>
    <w:uiPriority w:val="18"/>
    <w:rsid w:val="00DF0F94"/>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F0F94"/>
    <w:rPr>
      <w:b/>
      <w:bCs/>
    </w:rPr>
  </w:style>
  <w:style w:type="character" w:customStyle="1" w:styleId="CommentSubjectChar">
    <w:name w:val="Comment Subject Char"/>
    <w:basedOn w:val="CommentTextChar"/>
    <w:link w:val="CommentSubject"/>
    <w:uiPriority w:val="99"/>
    <w:semiHidden/>
    <w:rsid w:val="00DF0F94"/>
    <w:rPr>
      <w:rFonts w:ascii="Arial" w:hAnsi="Arial"/>
      <w:b/>
      <w:bCs/>
      <w:sz w:val="20"/>
      <w:szCs w:val="20"/>
      <w:lang w:val="en-GB"/>
    </w:rPr>
  </w:style>
  <w:style w:type="character" w:customStyle="1" w:styleId="NormalIndentChar">
    <w:name w:val="Normal Indent Char"/>
    <w:aliases w:val="Propsectus Normal Indent Char,Normal indrykning1 Char"/>
    <w:link w:val="NormalIndent"/>
    <w:uiPriority w:val="99"/>
    <w:rsid w:val="00401962"/>
    <w:rPr>
      <w:rFonts w:ascii="Arial" w:hAnsi="Arial"/>
      <w:sz w:val="18"/>
      <w:szCs w:val="18"/>
      <w:lang w:val="en-GB"/>
    </w:rPr>
  </w:style>
  <w:style w:type="paragraph" w:styleId="Revision">
    <w:name w:val="Revision"/>
    <w:hidden/>
    <w:uiPriority w:val="99"/>
    <w:semiHidden/>
    <w:rsid w:val="000F620F"/>
    <w:pPr>
      <w:spacing w:after="0" w:line="240" w:lineRule="auto"/>
    </w:pPr>
    <w:rPr>
      <w:rFonts w:ascii="Arial" w:hAnsi="Arial"/>
      <w:sz w:val="18"/>
      <w:szCs w:val="18"/>
    </w:rPr>
  </w:style>
  <w:style w:type="character" w:customStyle="1" w:styleId="Mention1">
    <w:name w:val="Mention1"/>
    <w:basedOn w:val="DefaultParagraphFont"/>
    <w:uiPriority w:val="99"/>
    <w:unhideWhenUsed/>
    <w:rsid w:val="002F7ABA"/>
    <w:rPr>
      <w:color w:val="2B579A"/>
      <w:shd w:val="clear" w:color="auto" w:fill="E1DFDD"/>
    </w:rPr>
  </w:style>
  <w:style w:type="paragraph" w:customStyle="1" w:styleId="OpstillingmedA">
    <w:name w:val="Opstilling med (A)"/>
    <w:aliases w:val="(B),(C)"/>
    <w:basedOn w:val="Normal"/>
    <w:uiPriority w:val="2"/>
    <w:qFormat/>
    <w:rsid w:val="006B2F39"/>
    <w:pPr>
      <w:tabs>
        <w:tab w:val="left" w:pos="1418"/>
      </w:tabs>
      <w:spacing w:after="80" w:line="240" w:lineRule="atLeast"/>
      <w:ind w:left="1418" w:hanging="567"/>
      <w:jc w:val="both"/>
    </w:pPr>
    <w:rPr>
      <w:rFonts w:ascii="Tahoma" w:eastAsia="MS Mincho" w:hAnsi="Tahoma"/>
      <w:sz w:val="19"/>
    </w:rPr>
  </w:style>
  <w:style w:type="paragraph" w:customStyle="1" w:styleId="Opstillingmedi">
    <w:name w:val="Opstilling med (i)"/>
    <w:aliases w:val="(ii),(iii)"/>
    <w:basedOn w:val="Normal"/>
    <w:uiPriority w:val="2"/>
    <w:qFormat/>
    <w:rsid w:val="009B30D3"/>
    <w:pPr>
      <w:numPr>
        <w:ilvl w:val="8"/>
        <w:numId w:val="30"/>
      </w:numPr>
      <w:spacing w:after="80" w:line="240" w:lineRule="atLeast"/>
      <w:jc w:val="both"/>
    </w:pPr>
    <w:rPr>
      <w:rFonts w:ascii="Tahoma" w:eastAsia="MS Mincho" w:hAnsi="Tahoma"/>
      <w:sz w:val="19"/>
    </w:rPr>
  </w:style>
  <w:style w:type="character" w:styleId="UnresolvedMention">
    <w:name w:val="Unresolved Mention"/>
    <w:basedOn w:val="DefaultParagraphFont"/>
    <w:uiPriority w:val="99"/>
    <w:semiHidden/>
    <w:unhideWhenUsed/>
    <w:rsid w:val="00B36048"/>
    <w:rPr>
      <w:color w:val="605E5C"/>
      <w:shd w:val="clear" w:color="auto" w:fill="E1DFDD"/>
    </w:rPr>
  </w:style>
  <w:style w:type="paragraph" w:customStyle="1" w:styleId="BrdtekstMedIndryk">
    <w:name w:val="BrødtekstMedIndryk"/>
    <w:basedOn w:val="BodyText"/>
    <w:rsid w:val="00062E8D"/>
    <w:pPr>
      <w:spacing w:after="240" w:line="240" w:lineRule="atLeast"/>
      <w:ind w:left="822"/>
    </w:pPr>
    <w:rPr>
      <w:rFonts w:ascii="Georgia" w:eastAsia="Times New Roman" w:hAnsi="Georgia" w:cs="Times New Roman"/>
      <w:sz w:val="20"/>
      <w:lang w:eastAsia="en-GB"/>
    </w:rPr>
  </w:style>
  <w:style w:type="paragraph" w:styleId="BodyText">
    <w:name w:val="Body Text"/>
    <w:basedOn w:val="Normal"/>
    <w:link w:val="BodyTextChar"/>
    <w:uiPriority w:val="99"/>
    <w:semiHidden/>
    <w:unhideWhenUsed/>
    <w:rsid w:val="00062E8D"/>
    <w:pPr>
      <w:spacing w:after="120"/>
    </w:pPr>
  </w:style>
  <w:style w:type="character" w:customStyle="1" w:styleId="BodyTextChar">
    <w:name w:val="Body Text Char"/>
    <w:basedOn w:val="DefaultParagraphFont"/>
    <w:link w:val="BodyText"/>
    <w:uiPriority w:val="99"/>
    <w:semiHidden/>
    <w:rsid w:val="00062E8D"/>
    <w:rPr>
      <w:rFonts w:ascii="Arial" w:hAnsi="Arial"/>
      <w:sz w:val="18"/>
      <w:szCs w:val="18"/>
      <w:lang w:val="en-GB"/>
    </w:rPr>
  </w:style>
  <w:style w:type="paragraph" w:customStyle="1" w:styleId="Niveau2">
    <w:name w:val="Niveau 2"/>
    <w:basedOn w:val="Heading2"/>
    <w:rsid w:val="00AC6AA4"/>
    <w:pPr>
      <w:keepNext w:val="0"/>
      <w:tabs>
        <w:tab w:val="clear" w:pos="851"/>
        <w:tab w:val="num" w:pos="822"/>
      </w:tabs>
      <w:spacing w:before="0" w:after="240" w:line="240" w:lineRule="atLeast"/>
      <w:ind w:left="822" w:hanging="822"/>
    </w:pPr>
    <w:rPr>
      <w:rFonts w:ascii="Georgia" w:eastAsia="Times New Roman" w:hAnsi="Georgia" w:cs="Arial"/>
      <w:b w:val="0"/>
      <w:bCs/>
      <w:iCs/>
      <w:color w:val="auto"/>
      <w:sz w:val="20"/>
      <w:szCs w:val="28"/>
      <w:lang w:eastAsia="da-DK"/>
    </w:rPr>
  </w:style>
  <w:style w:type="character" w:styleId="FollowedHyperlink">
    <w:name w:val="FollowedHyperlink"/>
    <w:basedOn w:val="DefaultParagraphFont"/>
    <w:uiPriority w:val="99"/>
    <w:semiHidden/>
    <w:unhideWhenUsed/>
    <w:rsid w:val="00241410"/>
    <w:rPr>
      <w:color w:val="809EA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851">
      <w:bodyDiv w:val="1"/>
      <w:marLeft w:val="0"/>
      <w:marRight w:val="0"/>
      <w:marTop w:val="0"/>
      <w:marBottom w:val="0"/>
      <w:divBdr>
        <w:top w:val="none" w:sz="0" w:space="0" w:color="auto"/>
        <w:left w:val="none" w:sz="0" w:space="0" w:color="auto"/>
        <w:bottom w:val="none" w:sz="0" w:space="0" w:color="auto"/>
        <w:right w:val="none" w:sz="0" w:space="0" w:color="auto"/>
      </w:divBdr>
    </w:div>
    <w:div w:id="310253362">
      <w:bodyDiv w:val="1"/>
      <w:marLeft w:val="0"/>
      <w:marRight w:val="0"/>
      <w:marTop w:val="0"/>
      <w:marBottom w:val="0"/>
      <w:divBdr>
        <w:top w:val="none" w:sz="0" w:space="0" w:color="auto"/>
        <w:left w:val="none" w:sz="0" w:space="0" w:color="auto"/>
        <w:bottom w:val="none" w:sz="0" w:space="0" w:color="auto"/>
        <w:right w:val="none" w:sz="0" w:space="0" w:color="auto"/>
      </w:divBdr>
    </w:div>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449250644">
      <w:bodyDiv w:val="1"/>
      <w:marLeft w:val="0"/>
      <w:marRight w:val="0"/>
      <w:marTop w:val="0"/>
      <w:marBottom w:val="0"/>
      <w:divBdr>
        <w:top w:val="none" w:sz="0" w:space="0" w:color="auto"/>
        <w:left w:val="none" w:sz="0" w:space="0" w:color="auto"/>
        <w:bottom w:val="none" w:sz="0" w:space="0" w:color="auto"/>
        <w:right w:val="none" w:sz="0" w:space="0" w:color="auto"/>
      </w:divBdr>
    </w:div>
    <w:div w:id="460345301">
      <w:bodyDiv w:val="1"/>
      <w:marLeft w:val="0"/>
      <w:marRight w:val="0"/>
      <w:marTop w:val="0"/>
      <w:marBottom w:val="0"/>
      <w:divBdr>
        <w:top w:val="none" w:sz="0" w:space="0" w:color="auto"/>
        <w:left w:val="none" w:sz="0" w:space="0" w:color="auto"/>
        <w:bottom w:val="none" w:sz="0" w:space="0" w:color="auto"/>
        <w:right w:val="none" w:sz="0" w:space="0" w:color="auto"/>
      </w:divBdr>
    </w:div>
    <w:div w:id="477721096">
      <w:bodyDiv w:val="1"/>
      <w:marLeft w:val="0"/>
      <w:marRight w:val="0"/>
      <w:marTop w:val="0"/>
      <w:marBottom w:val="0"/>
      <w:divBdr>
        <w:top w:val="none" w:sz="0" w:space="0" w:color="auto"/>
        <w:left w:val="none" w:sz="0" w:space="0" w:color="auto"/>
        <w:bottom w:val="none" w:sz="0" w:space="0" w:color="auto"/>
        <w:right w:val="none" w:sz="0" w:space="0" w:color="auto"/>
      </w:divBdr>
    </w:div>
    <w:div w:id="498695009">
      <w:bodyDiv w:val="1"/>
      <w:marLeft w:val="0"/>
      <w:marRight w:val="0"/>
      <w:marTop w:val="0"/>
      <w:marBottom w:val="0"/>
      <w:divBdr>
        <w:top w:val="none" w:sz="0" w:space="0" w:color="auto"/>
        <w:left w:val="none" w:sz="0" w:space="0" w:color="auto"/>
        <w:bottom w:val="none" w:sz="0" w:space="0" w:color="auto"/>
        <w:right w:val="none" w:sz="0" w:space="0" w:color="auto"/>
      </w:divBdr>
    </w:div>
    <w:div w:id="560679449">
      <w:bodyDiv w:val="1"/>
      <w:marLeft w:val="0"/>
      <w:marRight w:val="0"/>
      <w:marTop w:val="0"/>
      <w:marBottom w:val="0"/>
      <w:divBdr>
        <w:top w:val="none" w:sz="0" w:space="0" w:color="auto"/>
        <w:left w:val="none" w:sz="0" w:space="0" w:color="auto"/>
        <w:bottom w:val="none" w:sz="0" w:space="0" w:color="auto"/>
        <w:right w:val="none" w:sz="0" w:space="0" w:color="auto"/>
      </w:divBdr>
    </w:div>
    <w:div w:id="617831823">
      <w:bodyDiv w:val="1"/>
      <w:marLeft w:val="0"/>
      <w:marRight w:val="0"/>
      <w:marTop w:val="0"/>
      <w:marBottom w:val="0"/>
      <w:divBdr>
        <w:top w:val="none" w:sz="0" w:space="0" w:color="auto"/>
        <w:left w:val="none" w:sz="0" w:space="0" w:color="auto"/>
        <w:bottom w:val="none" w:sz="0" w:space="0" w:color="auto"/>
        <w:right w:val="none" w:sz="0" w:space="0" w:color="auto"/>
      </w:divBdr>
    </w:div>
    <w:div w:id="637496302">
      <w:bodyDiv w:val="1"/>
      <w:marLeft w:val="0"/>
      <w:marRight w:val="0"/>
      <w:marTop w:val="0"/>
      <w:marBottom w:val="0"/>
      <w:divBdr>
        <w:top w:val="none" w:sz="0" w:space="0" w:color="auto"/>
        <w:left w:val="none" w:sz="0" w:space="0" w:color="auto"/>
        <w:bottom w:val="none" w:sz="0" w:space="0" w:color="auto"/>
        <w:right w:val="none" w:sz="0" w:space="0" w:color="auto"/>
      </w:divBdr>
    </w:div>
    <w:div w:id="681199482">
      <w:bodyDiv w:val="1"/>
      <w:marLeft w:val="0"/>
      <w:marRight w:val="0"/>
      <w:marTop w:val="0"/>
      <w:marBottom w:val="0"/>
      <w:divBdr>
        <w:top w:val="none" w:sz="0" w:space="0" w:color="auto"/>
        <w:left w:val="none" w:sz="0" w:space="0" w:color="auto"/>
        <w:bottom w:val="none" w:sz="0" w:space="0" w:color="auto"/>
        <w:right w:val="none" w:sz="0" w:space="0" w:color="auto"/>
      </w:divBdr>
    </w:div>
    <w:div w:id="712197667">
      <w:bodyDiv w:val="1"/>
      <w:marLeft w:val="0"/>
      <w:marRight w:val="0"/>
      <w:marTop w:val="0"/>
      <w:marBottom w:val="0"/>
      <w:divBdr>
        <w:top w:val="none" w:sz="0" w:space="0" w:color="auto"/>
        <w:left w:val="none" w:sz="0" w:space="0" w:color="auto"/>
        <w:bottom w:val="none" w:sz="0" w:space="0" w:color="auto"/>
        <w:right w:val="none" w:sz="0" w:space="0" w:color="auto"/>
      </w:divBdr>
    </w:div>
    <w:div w:id="716274810">
      <w:bodyDiv w:val="1"/>
      <w:marLeft w:val="0"/>
      <w:marRight w:val="0"/>
      <w:marTop w:val="0"/>
      <w:marBottom w:val="0"/>
      <w:divBdr>
        <w:top w:val="none" w:sz="0" w:space="0" w:color="auto"/>
        <w:left w:val="none" w:sz="0" w:space="0" w:color="auto"/>
        <w:bottom w:val="none" w:sz="0" w:space="0" w:color="auto"/>
        <w:right w:val="none" w:sz="0" w:space="0" w:color="auto"/>
      </w:divBdr>
    </w:div>
    <w:div w:id="746027656">
      <w:bodyDiv w:val="1"/>
      <w:marLeft w:val="0"/>
      <w:marRight w:val="0"/>
      <w:marTop w:val="0"/>
      <w:marBottom w:val="0"/>
      <w:divBdr>
        <w:top w:val="none" w:sz="0" w:space="0" w:color="auto"/>
        <w:left w:val="none" w:sz="0" w:space="0" w:color="auto"/>
        <w:bottom w:val="none" w:sz="0" w:space="0" w:color="auto"/>
        <w:right w:val="none" w:sz="0" w:space="0" w:color="auto"/>
      </w:divBdr>
    </w:div>
    <w:div w:id="877160984">
      <w:bodyDiv w:val="1"/>
      <w:marLeft w:val="0"/>
      <w:marRight w:val="0"/>
      <w:marTop w:val="0"/>
      <w:marBottom w:val="0"/>
      <w:divBdr>
        <w:top w:val="none" w:sz="0" w:space="0" w:color="auto"/>
        <w:left w:val="none" w:sz="0" w:space="0" w:color="auto"/>
        <w:bottom w:val="none" w:sz="0" w:space="0" w:color="auto"/>
        <w:right w:val="none" w:sz="0" w:space="0" w:color="auto"/>
      </w:divBdr>
    </w:div>
    <w:div w:id="897742286">
      <w:bodyDiv w:val="1"/>
      <w:marLeft w:val="0"/>
      <w:marRight w:val="0"/>
      <w:marTop w:val="0"/>
      <w:marBottom w:val="0"/>
      <w:divBdr>
        <w:top w:val="none" w:sz="0" w:space="0" w:color="auto"/>
        <w:left w:val="none" w:sz="0" w:space="0" w:color="auto"/>
        <w:bottom w:val="none" w:sz="0" w:space="0" w:color="auto"/>
        <w:right w:val="none" w:sz="0" w:space="0" w:color="auto"/>
      </w:divBdr>
    </w:div>
    <w:div w:id="926497370">
      <w:bodyDiv w:val="1"/>
      <w:marLeft w:val="0"/>
      <w:marRight w:val="0"/>
      <w:marTop w:val="0"/>
      <w:marBottom w:val="0"/>
      <w:divBdr>
        <w:top w:val="none" w:sz="0" w:space="0" w:color="auto"/>
        <w:left w:val="none" w:sz="0" w:space="0" w:color="auto"/>
        <w:bottom w:val="none" w:sz="0" w:space="0" w:color="auto"/>
        <w:right w:val="none" w:sz="0" w:space="0" w:color="auto"/>
      </w:divBdr>
    </w:div>
    <w:div w:id="1192720715">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 w:id="1390811232">
      <w:bodyDiv w:val="1"/>
      <w:marLeft w:val="0"/>
      <w:marRight w:val="0"/>
      <w:marTop w:val="0"/>
      <w:marBottom w:val="0"/>
      <w:divBdr>
        <w:top w:val="none" w:sz="0" w:space="0" w:color="auto"/>
        <w:left w:val="none" w:sz="0" w:space="0" w:color="auto"/>
        <w:bottom w:val="none" w:sz="0" w:space="0" w:color="auto"/>
        <w:right w:val="none" w:sz="0" w:space="0" w:color="auto"/>
      </w:divBdr>
    </w:div>
    <w:div w:id="1437864441">
      <w:bodyDiv w:val="1"/>
      <w:marLeft w:val="0"/>
      <w:marRight w:val="0"/>
      <w:marTop w:val="0"/>
      <w:marBottom w:val="0"/>
      <w:divBdr>
        <w:top w:val="none" w:sz="0" w:space="0" w:color="auto"/>
        <w:left w:val="none" w:sz="0" w:space="0" w:color="auto"/>
        <w:bottom w:val="none" w:sz="0" w:space="0" w:color="auto"/>
        <w:right w:val="none" w:sz="0" w:space="0" w:color="auto"/>
      </w:divBdr>
    </w:div>
    <w:div w:id="1536236110">
      <w:bodyDiv w:val="1"/>
      <w:marLeft w:val="0"/>
      <w:marRight w:val="0"/>
      <w:marTop w:val="0"/>
      <w:marBottom w:val="0"/>
      <w:divBdr>
        <w:top w:val="none" w:sz="0" w:space="0" w:color="auto"/>
        <w:left w:val="none" w:sz="0" w:space="0" w:color="auto"/>
        <w:bottom w:val="none" w:sz="0" w:space="0" w:color="auto"/>
        <w:right w:val="none" w:sz="0" w:space="0" w:color="auto"/>
      </w:divBdr>
    </w:div>
    <w:div w:id="1557545895">
      <w:bodyDiv w:val="1"/>
      <w:marLeft w:val="0"/>
      <w:marRight w:val="0"/>
      <w:marTop w:val="0"/>
      <w:marBottom w:val="0"/>
      <w:divBdr>
        <w:top w:val="none" w:sz="0" w:space="0" w:color="auto"/>
        <w:left w:val="none" w:sz="0" w:space="0" w:color="auto"/>
        <w:bottom w:val="none" w:sz="0" w:space="0" w:color="auto"/>
        <w:right w:val="none" w:sz="0" w:space="0" w:color="auto"/>
      </w:divBdr>
    </w:div>
    <w:div w:id="1564684418">
      <w:bodyDiv w:val="1"/>
      <w:marLeft w:val="0"/>
      <w:marRight w:val="0"/>
      <w:marTop w:val="0"/>
      <w:marBottom w:val="0"/>
      <w:divBdr>
        <w:top w:val="none" w:sz="0" w:space="0" w:color="auto"/>
        <w:left w:val="none" w:sz="0" w:space="0" w:color="auto"/>
        <w:bottom w:val="none" w:sz="0" w:space="0" w:color="auto"/>
        <w:right w:val="none" w:sz="0" w:space="0" w:color="auto"/>
      </w:divBdr>
    </w:div>
    <w:div w:id="1612202555">
      <w:bodyDiv w:val="1"/>
      <w:marLeft w:val="0"/>
      <w:marRight w:val="0"/>
      <w:marTop w:val="0"/>
      <w:marBottom w:val="0"/>
      <w:divBdr>
        <w:top w:val="none" w:sz="0" w:space="0" w:color="auto"/>
        <w:left w:val="none" w:sz="0" w:space="0" w:color="auto"/>
        <w:bottom w:val="none" w:sz="0" w:space="0" w:color="auto"/>
        <w:right w:val="none" w:sz="0" w:space="0" w:color="auto"/>
      </w:divBdr>
    </w:div>
    <w:div w:id="1777403712">
      <w:bodyDiv w:val="1"/>
      <w:marLeft w:val="0"/>
      <w:marRight w:val="0"/>
      <w:marTop w:val="0"/>
      <w:marBottom w:val="0"/>
      <w:divBdr>
        <w:top w:val="none" w:sz="0" w:space="0" w:color="auto"/>
        <w:left w:val="none" w:sz="0" w:space="0" w:color="auto"/>
        <w:bottom w:val="none" w:sz="0" w:space="0" w:color="auto"/>
        <w:right w:val="none" w:sz="0" w:space="0" w:color="auto"/>
      </w:divBdr>
    </w:div>
    <w:div w:id="1827285766">
      <w:bodyDiv w:val="1"/>
      <w:marLeft w:val="0"/>
      <w:marRight w:val="0"/>
      <w:marTop w:val="0"/>
      <w:marBottom w:val="0"/>
      <w:divBdr>
        <w:top w:val="none" w:sz="0" w:space="0" w:color="auto"/>
        <w:left w:val="none" w:sz="0" w:space="0" w:color="auto"/>
        <w:bottom w:val="none" w:sz="0" w:space="0" w:color="auto"/>
        <w:right w:val="none" w:sz="0" w:space="0" w:color="auto"/>
      </w:divBdr>
    </w:div>
    <w:div w:id="1831942887">
      <w:bodyDiv w:val="1"/>
      <w:marLeft w:val="0"/>
      <w:marRight w:val="0"/>
      <w:marTop w:val="0"/>
      <w:marBottom w:val="0"/>
      <w:divBdr>
        <w:top w:val="none" w:sz="0" w:space="0" w:color="auto"/>
        <w:left w:val="none" w:sz="0" w:space="0" w:color="auto"/>
        <w:bottom w:val="none" w:sz="0" w:space="0" w:color="auto"/>
        <w:right w:val="none" w:sz="0" w:space="0" w:color="auto"/>
      </w:divBdr>
    </w:div>
    <w:div w:id="1906985485">
      <w:bodyDiv w:val="1"/>
      <w:marLeft w:val="0"/>
      <w:marRight w:val="0"/>
      <w:marTop w:val="0"/>
      <w:marBottom w:val="0"/>
      <w:divBdr>
        <w:top w:val="none" w:sz="0" w:space="0" w:color="auto"/>
        <w:left w:val="none" w:sz="0" w:space="0" w:color="auto"/>
        <w:bottom w:val="none" w:sz="0" w:space="0" w:color="auto"/>
        <w:right w:val="none" w:sz="0" w:space="0" w:color="auto"/>
      </w:divBdr>
    </w:div>
    <w:div w:id="1927497236">
      <w:bodyDiv w:val="1"/>
      <w:marLeft w:val="0"/>
      <w:marRight w:val="0"/>
      <w:marTop w:val="0"/>
      <w:marBottom w:val="0"/>
      <w:divBdr>
        <w:top w:val="none" w:sz="0" w:space="0" w:color="auto"/>
        <w:left w:val="none" w:sz="0" w:space="0" w:color="auto"/>
        <w:bottom w:val="none" w:sz="0" w:space="0" w:color="auto"/>
        <w:right w:val="none" w:sz="0" w:space="0" w:color="auto"/>
      </w:divBdr>
    </w:div>
    <w:div w:id="1965502591">
      <w:bodyDiv w:val="1"/>
      <w:marLeft w:val="0"/>
      <w:marRight w:val="0"/>
      <w:marTop w:val="0"/>
      <w:marBottom w:val="0"/>
      <w:divBdr>
        <w:top w:val="none" w:sz="0" w:space="0" w:color="auto"/>
        <w:left w:val="none" w:sz="0" w:space="0" w:color="auto"/>
        <w:bottom w:val="none" w:sz="0" w:space="0" w:color="auto"/>
        <w:right w:val="none" w:sz="0" w:space="0" w:color="auto"/>
      </w:divBdr>
    </w:div>
    <w:div w:id="2022928604">
      <w:bodyDiv w:val="1"/>
      <w:marLeft w:val="0"/>
      <w:marRight w:val="0"/>
      <w:marTop w:val="0"/>
      <w:marBottom w:val="0"/>
      <w:divBdr>
        <w:top w:val="none" w:sz="0" w:space="0" w:color="auto"/>
        <w:left w:val="none" w:sz="0" w:space="0" w:color="auto"/>
        <w:bottom w:val="none" w:sz="0" w:space="0" w:color="auto"/>
        <w:right w:val="none" w:sz="0" w:space="0" w:color="auto"/>
      </w:divBdr>
    </w:div>
    <w:div w:id="2105493724">
      <w:bodyDiv w:val="1"/>
      <w:marLeft w:val="0"/>
      <w:marRight w:val="0"/>
      <w:marTop w:val="0"/>
      <w:marBottom w:val="0"/>
      <w:divBdr>
        <w:top w:val="none" w:sz="0" w:space="0" w:color="auto"/>
        <w:left w:val="none" w:sz="0" w:space="0" w:color="auto"/>
        <w:bottom w:val="none" w:sz="0" w:space="0" w:color="auto"/>
        <w:right w:val="none" w:sz="0" w:space="0" w:color="auto"/>
      </w:divBdr>
    </w:div>
    <w:div w:id="2128113237">
      <w:bodyDiv w:val="1"/>
      <w:marLeft w:val="0"/>
      <w:marRight w:val="0"/>
      <w:marTop w:val="0"/>
      <w:marBottom w:val="0"/>
      <w:divBdr>
        <w:top w:val="none" w:sz="0" w:space="0" w:color="auto"/>
        <w:left w:val="none" w:sz="0" w:space="0" w:color="auto"/>
        <w:bottom w:val="none" w:sz="0" w:space="0" w:color="auto"/>
        <w:right w:val="none" w:sz="0" w:space="0" w:color="auto"/>
      </w:divBdr>
    </w:div>
    <w:div w:id="21331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rporategovernance.dk/anbefalinger" TargetMode="External"/><Relationship Id="rId2" Type="http://schemas.openxmlformats.org/officeDocument/2006/relationships/hyperlink" Target="https://investor.nilfisk.com/static-files/f7720f54-b630-4bb8-9f46-0c0582827d0c" TargetMode="External"/><Relationship Id="rId1" Type="http://schemas.openxmlformats.org/officeDocument/2006/relationships/hyperlink" Target="https://investor.nilfisk.com/static-files/078eaffc-1f0e-406b-aace-9f6217cc0f0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romannReumert">
  <a:themeElements>
    <a:clrScheme name="KromannReumert">
      <a:dk1>
        <a:sysClr val="windowText" lastClr="000000"/>
      </a:dk1>
      <a:lt1>
        <a:sysClr val="window" lastClr="FFFFFF"/>
      </a:lt1>
      <a:dk2>
        <a:srgbClr val="DDDDCB"/>
      </a:dk2>
      <a:lt2>
        <a:srgbClr val="768C76"/>
      </a:lt2>
      <a:accent1>
        <a:srgbClr val="003C46"/>
      </a:accent1>
      <a:accent2>
        <a:srgbClr val="4D777E"/>
      </a:accent2>
      <a:accent3>
        <a:srgbClr val="99B1B5"/>
      </a:accent3>
      <a:accent4>
        <a:srgbClr val="A0A08D"/>
      </a:accent4>
      <a:accent5>
        <a:srgbClr val="4E6B60"/>
      </a:accent5>
      <a:accent6>
        <a:srgbClr val="8D8100"/>
      </a:accent6>
      <a:hlink>
        <a:srgbClr val="33636B"/>
      </a:hlink>
      <a:folHlink>
        <a:srgbClr val="809EA3"/>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D6F07E-7C88-4885-BD97-C5DC52F5AFB9}">
  <we:reference id="6cec9104-4737-421b-a03d-239e5c3d9697" version="1.0.3.0" store="EXCatalog" storeType="EXCatalog"/>
  <we:alternateReferences>
    <we:reference id="WA200007740" version="1.0.3.0" store="da-DK"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MWIMANAGE!1758280.3</documentid>
  <senderid>NILS.HOMANN@MOALEMWEITEMEYER.COM</senderid>
  <senderemail>NILS.HOMANN@MOALEMWEITEMEYER.COM</senderemail>
  <lastmodified>2025-12-10T13:05:00.0000000+01:00</lastmodified>
  <database>MWIMANAGE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lientName xmlns="964e09ae-0978-4b1e-b219-a1ce234d9e02">Nilfisk Holding A/S</ClientName>
    <ClientCode xmlns="964e09ae-0978-4b1e-b219-a1ce234d9e02">9968749</ClientCode>
    <MatterName xmlns="964e09ae-0978-4b1e-b219-a1ce234d9e02">Project Drakkar</MatterName>
    <MatterCode xmlns="964e09ae-0978-4b1e-b219-a1ce234d9e02">1079149</MatterCode>
    <ca68c49a8f784b8589266246736936f4 xmlns="964e09ae-0978-4b1e-b219-a1ce234d9e02">
      <Terms xmlns="http://schemas.microsoft.com/office/infopath/2007/PartnerControls">
        <TermInfo>
          <TermName>Anden juridisk sagsbehandling</TermName>
          <TermId>fc068170-46d3-4b0d-b5b4-ab8eff6004f4</TermId>
        </TermInfo>
      </Terms>
    </ca68c49a8f784b8589266246736936f4>
    <ResponsiblePartner xmlns="964e09ae-0978-4b1e-b219-a1ce234d9e02">
      <UserInfo>
        <DisplayName>Jeppe Buskov</DisplayName>
        <AccountId>11</AccountId>
        <AccountType/>
      </UserInfo>
    </ResponsiblePartner>
    <MatterWorker xmlns="964e09ae-0978-4b1e-b219-a1ce234d9e02">
      <UserInfo>
        <DisplayName>Jeppe Buskov</DisplayName>
        <AccountId>11</AccountId>
        <AccountType/>
      </UserInfo>
    </MatterWorker>
    <je4fc4e6e45e4bd19f300b15104f5512 xmlns="964e09ae-0978-4b1e-b219-a1ce234d9e02">
      <Terms xmlns="http://schemas.microsoft.com/office/infopath/2007/PartnerControls">
        <TermInfo>
          <TermName>Fremstillingsaktiviteter</TermName>
          <TermId>f8aac46f-e76c-48db-981e-0ccda41918e9</TermId>
        </TermInfo>
      </Terms>
    </je4fc4e6e45e4bd19f300b15104f5512>
    <c2d656f1d99643cd8c32bbc1e680f04e xmlns="964e09ae-0978-4b1e-b219-a1ce234d9e02">
      <Terms xmlns="http://schemas.microsoft.com/office/infopath/2007/PartnerControls">
        <TermInfo>
          <TermName>Overdragelse af noterede virksomheder</TermName>
          <TermId>0a903026-16b6-48ee-bdcb-7fd1b0320c36</TermId>
        </TermInfo>
      </Terms>
    </c2d656f1d99643cd8c32bbc1e680f04e>
    <g08f28ee30984e06b78e31f902208e8d xmlns="964e09ae-0978-4b1e-b219-a1ce234d9e02">
      <Terms xmlns="http://schemas.microsoft.com/office/infopath/2007/PartnerControls"/>
    </g08f28ee30984e06b78e31f902208e8d>
    <DocumentNotes xmlns="964e09ae-0978-4b1e-b219-a1ce234d9e02" xmlns:ns1="http://www.w3.org/2001/XMLSchema-instance" ns1:nil="true"/>
    <PreviousDocID xmlns="964e09ae-0978-4b1e-b219-a1ce234d9e02" xmlns:ns1="http://www.w3.org/2001/XMLSchema-instance" ns1:nil="true"/>
    <HighQURL xmlns="964e09ae-0978-4b1e-b219-a1ce234d9e02" xmlns:ns1="http://www.w3.org/2001/XMLSchema-instance" ns1:nil="true"/>
    <KmsURL xmlns="964e09ae-0978-4b1e-b219-a1ce234d9e02" xmlns:ns1="http://www.w3.org/2001/XMLSchema-instance" ns1:nil="true"/>
    <TaxCatchAll xmlns="964e09ae-0978-4b1e-b219-a1ce234d9e02">
      <Value>3</Value>
      <Value>2</Value>
      <Value>1</Value>
    </TaxCatchAll>
    <_dlc_DocId xmlns="964e09ae-0978-4b1e-b219-a1ce234d9e02">1079149-2042455109-5669</_dlc_DocId>
    <_dlc_DocIdUrl xmlns="964e09ae-0978-4b1e-b219-a1ce234d9e02">
      <Url>https://kromannreumert.sharepoint.com/sites/1079149/_layouts/15/DocIdRedir.aspx?ID=1079149-2042455109-5669</Url>
      <Description>1079149-2042455109-5669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KR Dokument" ma:contentTypeID="0x01010038B6587D8E8648758A0F38CD20306B0F000074DEBB060F7943A907D3DE78A57D8B" ma:contentTypeVersion="19" ma:contentTypeDescription="Create a new document." ma:contentTypeScope="" ma:versionID="74700220713767b36cfab1bc1b5b68da">
  <xsd:schema xmlns:xsd="http://www.w3.org/2001/XMLSchema" xmlns:xs="http://www.w3.org/2001/XMLSchema" xmlns:p="http://schemas.microsoft.com/office/2006/metadata/properties" xmlns:ns2="964e09ae-0978-4b1e-b219-a1ce234d9e02" xmlns:ns3="236f6dfd-3aeb-45ea-8e35-5730e003b261" targetNamespace="http://schemas.microsoft.com/office/2006/metadata/properties" ma:root="true" ma:fieldsID="af0562375f42df7ee90e7e77e6683f6b" ns2:_="" ns3:_="">
    <xsd:import namespace="964e09ae-0978-4b1e-b219-a1ce234d9e02"/>
    <xsd:import namespace="236f6dfd-3aeb-45ea-8e35-5730e003b261"/>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ResponsiblePartner" minOccurs="0"/>
                <xsd:element ref="ns2:MatterWorker" minOccurs="0"/>
                <xsd:element ref="ns2:DocumentNotes" minOccurs="0"/>
                <xsd:element ref="ns2:PreviousDocID" minOccurs="0"/>
                <xsd:element ref="ns2:HighQURL" minOccurs="0"/>
                <xsd:element ref="ns2:KmsURL" minOccurs="0"/>
                <xsd:element ref="ns2:TaxCatchAll" minOccurs="0"/>
                <xsd:element ref="ns2:TaxCatchAllLabel" minOccurs="0"/>
                <xsd:element ref="ns2:_dlc_DocId" minOccurs="0"/>
                <xsd:element ref="ns2:je4fc4e6e45e4bd19f300b15104f5512" minOccurs="0"/>
                <xsd:element ref="ns2:_dlc_DocIdUrl" minOccurs="0"/>
                <xsd:element ref="ns2:c2d656f1d99643cd8c32bbc1e680f04e" minOccurs="0"/>
                <xsd:element ref="ns2:_dlc_DocIdPersistId" minOccurs="0"/>
                <xsd:element ref="ns2:g08f28ee30984e06b78e31f902208e8d" minOccurs="0"/>
                <xsd:element ref="ns2:ca68c49a8f784b8589266246736936f4"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e09ae-0978-4b1e-b219-a1ce234d9e02" elementFormDefault="qualified">
    <xsd:import namespace="http://schemas.microsoft.com/office/2006/documentManagement/types"/>
    <xsd:import namespace="http://schemas.microsoft.com/office/infopath/2007/PartnerControls"/>
    <xsd:element name="ClientName" ma:index="2" nillable="true" ma:displayName="Client Name" ma:default="Nilfisk Holding A/S" ma:internalName="ClientName">
      <xsd:simpleType>
        <xsd:restriction base="dms:Text"/>
      </xsd:simpleType>
    </xsd:element>
    <xsd:element name="ClientCode" ma:index="3" nillable="true" ma:displayName="Client ID" ma:default="9968749" ma:internalName="ClientCode">
      <xsd:simpleType>
        <xsd:restriction base="dms:Text"/>
      </xsd:simpleType>
    </xsd:element>
    <xsd:element name="MatterName" ma:index="4" nillable="true" ma:displayName="Matter Name" ma:default="Project Drakkar" ma:internalName="MatterName">
      <xsd:simpleType>
        <xsd:restriction base="dms:Text"/>
      </xsd:simpleType>
    </xsd:element>
    <xsd:element name="MatterCode" ma:index="5" nillable="true" ma:displayName="Matter ID" ma:default="1079149" ma:internalName="MatterCode">
      <xsd:simpleType>
        <xsd:restriction base="dms:Text"/>
      </xsd:simpleType>
    </xsd:element>
    <xsd:element name="ResponsiblePartner" ma:index="7" nillable="true" ma:displayName="Responsible Partner" ma:default="11;#Jeppe Buskov"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8" nillable="true" ma:displayName="Matter Worker" ma:default="11;#Jeppe Buskov"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Notes" ma:index="12" nillable="true" ma:displayName="Document Notes" ma:internalName="DocumentNotes">
      <xsd:simpleType>
        <xsd:restriction base="dms:Note">
          <xsd:maxLength value="255"/>
        </xsd:restriction>
      </xsd:simpleType>
    </xsd:element>
    <xsd:element name="PreviousDocID" ma:index="13" nillable="true" ma:displayName="PreviousDocID" ma:internalName="PreviousDocID">
      <xsd:simpleType>
        <xsd:restriction base="dms:Text"/>
      </xsd:simpleType>
    </xsd:element>
    <xsd:element name="HighQURL" ma:index="14" nillable="true" ma:displayName="HighQURL" ma:internalName="HighQURL">
      <xsd:simpleType>
        <xsd:restriction base="dms:Text"/>
      </xsd:simpleType>
    </xsd:element>
    <xsd:element name="KmsURL" ma:index="15" nillable="true" ma:displayName="KmsURL" ma:internalName="KmsURL">
      <xsd:simpleType>
        <xsd:restriction base="dms:Text"/>
      </xsd:simpleType>
    </xsd:element>
    <xsd:element name="TaxCatchAll" ma:index="16" nillable="true" ma:displayName="Taxonomy Catch All Column" ma:hidden="true" ma:list="{6fd0e8d8-835f-46b4-856b-83e7e8aec7f9}" ma:internalName="TaxCatchAll" ma:showField="CatchAllData" ma:web="964e09ae-0978-4b1e-b219-a1ce234d9e0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6fd0e8d8-835f-46b4-856b-83e7e8aec7f9}" ma:internalName="TaxCatchAllLabel" ma:readOnly="true" ma:showField="CatchAllDataLabel" ma:web="964e09ae-0978-4b1e-b219-a1ce234d9e02">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je4fc4e6e45e4bd19f300b15104f5512" ma:index="21" nillable="true" ma:taxonomy="true" ma:internalName="je4fc4e6e45e4bd19f300b15104f5512" ma:taxonomyFieldName="Industry" ma:displayName="Industry" ma:default="2;#Fremstillingsaktiviteter|f8aac46f-e76c-48db-981e-0ccda41918e9" ma:fieldId="{3e4fc4e6-e45e-4bd1-9f30-0b15104f5512}"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2d656f1d99643cd8c32bbc1e680f04e" ma:index="23" nillable="true" ma:taxonomy="true" ma:internalName="c2d656f1d99643cd8c32bbc1e680f04e" ma:taxonomyFieldName="LegalSubject" ma:displayName="Legal Subject" ma:default="3;#Overdragelse af noterede virksomheder|0a903026-16b6-48ee-bdcb-7fd1b0320c36" ma:fieldId="{c2d656f1-d996-43cd-8c32-bbc1e680f04e}"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g08f28ee30984e06b78e31f902208e8d" ma:index="25" nillable="true" ma:taxonomy="true" ma:internalName="g08f28ee30984e06b78e31f902208e8d" ma:taxonomyFieldName="DocumentType" ma:displayName="Document Type" ma:fieldId="{008f28ee-3098-4e06-b78e-31f902208e8d}"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ca68c49a8f784b8589266246736936f4" ma:index="30" nillable="true" ma:taxonomy="true" ma:internalName="ca68c49a8f784b8589266246736936f4" ma:taxonomyFieldName="MatterWorkingType" ma:displayName="Matter Working Type" ma:default="1;#Anden juridisk sagsbehandling|fc068170-46d3-4b0d-b5b4-ab8eff6004f4" ma:fieldId="{ca68c49a-8f78-4b85-8926-6246736936f4}" ma:sspId="6852a3ab-3bc9-412b-ad7e-735936c553bf" ma:termSetId="8c4efd88-fa4f-4433-83da-74926b6d6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f6dfd-3aeb-45ea-8e35-5730e003b261"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13A8C-3732-433B-80D4-FE2E59F80EAD}">
  <ds:schemaRefs>
    <ds:schemaRef ds:uri="http://www.imanage.com/work/xmlschema"/>
  </ds:schemaRefs>
</ds:datastoreItem>
</file>

<file path=customXml/itemProps2.xml><?xml version="1.0" encoding="utf-8"?>
<ds:datastoreItem xmlns:ds="http://schemas.openxmlformats.org/officeDocument/2006/customXml" ds:itemID="{EF1E6CBF-F8C7-47E4-B8A2-7422F298FF16}">
  <ds:schemaRefs>
    <ds:schemaRef ds:uri="http://schemas.openxmlformats.org/officeDocument/2006/bibliography"/>
  </ds:schemaRefs>
</ds:datastoreItem>
</file>

<file path=customXml/itemProps3.xml><?xml version="1.0" encoding="utf-8"?>
<ds:datastoreItem xmlns:ds="http://schemas.openxmlformats.org/officeDocument/2006/customXml" ds:itemID="{722595FA-2AF8-4392-BCC2-D4CF863C1D83}">
  <ds:schemaRefs>
    <ds:schemaRef ds:uri="http://schemas.microsoft.com/sharepoint/v3/contenttype/forms"/>
  </ds:schemaRefs>
</ds:datastoreItem>
</file>

<file path=customXml/itemProps4.xml><?xml version="1.0" encoding="utf-8"?>
<ds:datastoreItem xmlns:ds="http://schemas.openxmlformats.org/officeDocument/2006/customXml" ds:itemID="{E0651824-F5CF-40E6-A1D1-BEFDB28D952E}">
  <ds:schemaRefs>
    <ds:schemaRef ds:uri="http://schemas.microsoft.com/sharepoint/events"/>
  </ds:schemaRefs>
</ds:datastoreItem>
</file>

<file path=customXml/itemProps5.xml><?xml version="1.0" encoding="utf-8"?>
<ds:datastoreItem xmlns:ds="http://schemas.openxmlformats.org/officeDocument/2006/customXml" ds:itemID="{5A263E21-1536-4591-86FF-80161DF9DE9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5F2B56C-BE73-4CBA-B4A1-3FF69A8F9EF5}"/>
</file>

<file path=docMetadata/LabelInfo.xml><?xml version="1.0" encoding="utf-8"?>
<clbl:labelList xmlns:clbl="http://schemas.microsoft.com/office/2020/mipLabelMetadata">
  <clbl:label id="{b6c54b6e-3286-496c-a554-2a43795873ff}" enabled="0" method="" siteId="{b6c54b6e-3286-496c-a554-2a43795873ff}" removed="1"/>
</clbl:labelList>
</file>

<file path=docProps/app.xml><?xml version="1.0" encoding="utf-8"?>
<Properties xmlns="http://schemas.openxmlformats.org/officeDocument/2006/extended-properties" xmlns:vt="http://schemas.openxmlformats.org/officeDocument/2006/docPropsVTypes">
  <Template>Normal.dotm</Template>
  <TotalTime>1110</TotalTime>
  <Pages>35</Pages>
  <Words>11429</Words>
  <Characters>73676</Characters>
  <Application>Microsoft Office Word</Application>
  <DocSecurity>0</DocSecurity>
  <Lines>1248</Lines>
  <Paragraphs>476</Paragraphs>
  <ScaleCrop>false</ScaleCrop>
  <HeadingPairs>
    <vt:vector size="2" baseType="variant">
      <vt:variant>
        <vt:lpstr>Title</vt:lpstr>
      </vt:variant>
      <vt:variant>
        <vt:i4>1</vt:i4>
      </vt:variant>
    </vt:vector>
  </HeadingPairs>
  <TitlesOfParts>
    <vt:vector size="1" baseType="lpstr">
      <vt:lpstr/>
    </vt:vector>
  </TitlesOfParts>
  <Company>Kromann Reumert</Company>
  <LinksUpToDate>false</LinksUpToDate>
  <CharactersWithSpaces>84758</CharactersWithSpaces>
  <SharedDoc>false</SharedDoc>
  <HLinks>
    <vt:vector size="12" baseType="variant">
      <vt:variant>
        <vt:i4>6750262</vt:i4>
      </vt:variant>
      <vt:variant>
        <vt:i4>3</vt:i4>
      </vt:variant>
      <vt:variant>
        <vt:i4>0</vt:i4>
      </vt:variant>
      <vt:variant>
        <vt:i4>5</vt:i4>
      </vt:variant>
      <vt:variant>
        <vt:lpwstr>https://investor.nilfisk.com/static-files/f7720f54-b630-4bb8-9f46-0c0582827d0c</vt:lpwstr>
      </vt:variant>
      <vt:variant>
        <vt:lpwstr/>
      </vt:variant>
      <vt:variant>
        <vt:i4>6684722</vt:i4>
      </vt:variant>
      <vt:variant>
        <vt:i4>0</vt:i4>
      </vt:variant>
      <vt:variant>
        <vt:i4>0</vt:i4>
      </vt:variant>
      <vt:variant>
        <vt:i4>5</vt:i4>
      </vt:variant>
      <vt:variant>
        <vt:lpwstr>https://investor.nilfisk.com/static-files/078eaffc-1f0e-406b-aace-9f6217cc0f0a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Kromann Reumert</dc:creator>
  <cp:keywords>, docId:0A1B4EC3226EDCAB4F36AC8F559E21B8</cp:keywords>
  <cp:lastModifiedBy>Kromann Reumert</cp:lastModifiedBy>
  <cp:revision>277</cp:revision>
  <cp:lastPrinted>2026-01-06T19:00:00Z</cp:lastPrinted>
  <dcterms:created xsi:type="dcterms:W3CDTF">2025-12-23T11:50:00Z</dcterms:created>
  <dcterms:modified xsi:type="dcterms:W3CDTF">2026-01-06T19:00:00Z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b100e009b5141a285f06b5aa62dc69c">
    <vt:lpwstr>Fremstillingsaktiviteter|f8aac46f-e76c-48db-981e-0ccda41918e9</vt:lpwstr>
  </property>
  <property fmtid="{D5CDD505-2E9C-101B-9397-08002B2CF9AE}" pid="3" name="DokumentType">
    <vt:lpwstr>6;#KR dokumenter|522f9101-2d53-4771-b10e-674edc62ad03</vt:lpwstr>
  </property>
  <property fmtid="{D5CDD505-2E9C-101B-9397-08002B2CF9AE}" pid="4" name="ContentTypeId">
    <vt:lpwstr>0x01010038B6587D8E8648758A0F38CD20306B0F000074DEBB060F7943A907D3DE78A57D8B</vt:lpwstr>
  </property>
  <property fmtid="{D5CDD505-2E9C-101B-9397-08002B2CF9AE}" pid="5" name="DocAuthor">
    <vt:lpwstr>-1;#Jeppe Buskov</vt:lpwstr>
  </property>
  <property fmtid="{D5CDD505-2E9C-101B-9397-08002B2CF9AE}" pid="6" name="ja712ecf85764bd7be3b1701d64cc280">
    <vt:lpwstr>Overdragelse af noterede virksomheder|0a903026-16b6-48ee-bdcb-7fd1b0320c36</vt:lpwstr>
  </property>
  <property fmtid="{D5CDD505-2E9C-101B-9397-08002B2CF9AE}" pid="7" name="j199597e91e84d26a54d4f206f3ddb12">
    <vt:lpwstr>Anden juridisk sagsbehandling|fc068170-46d3-4b0d-b5b4-ab8eff6004f4</vt:lpwstr>
  </property>
  <property fmtid="{D5CDD505-2E9C-101B-9397-08002B2CF9AE}" pid="8" name="_dlc_DocIdItemGuid">
    <vt:lpwstr>9b5f7780-27ba-4c72-bed9-276fb5935e5f</vt:lpwstr>
  </property>
  <property fmtid="{D5CDD505-2E9C-101B-9397-08002B2CF9AE}" pid="9" name="DocumentType">
    <vt:lpwstr/>
  </property>
  <property fmtid="{D5CDD505-2E9C-101B-9397-08002B2CF9AE}" pid="10" name="ContentType">
    <vt:lpwstr>KR Dokument</vt:lpwstr>
  </property>
  <property fmtid="{D5CDD505-2E9C-101B-9397-08002B2CF9AE}" pid="11" name="_dlc_DocId">
    <vt:lpwstr>1079149-2042455109-5669</vt:lpwstr>
  </property>
  <property fmtid="{D5CDD505-2E9C-101B-9397-08002B2CF9AE}" pid="12" name="_dlc_DocIdUrl">
    <vt:lpwstr>https://kromannreumert.sharepoint.com/sites/1079149/_layouts/15/DocIdRedir.aspx?ID=1079149-2042455109-5669, 1079149-2042455109-5669</vt:lpwstr>
  </property>
  <property fmtid="{D5CDD505-2E9C-101B-9397-08002B2CF9AE}" pid="13" name="ClientName">
    <vt:lpwstr>Nilfisk Holding A/S</vt:lpwstr>
  </property>
  <property fmtid="{D5CDD505-2E9C-101B-9397-08002B2CF9AE}" pid="14" name="ClientCode">
    <vt:lpwstr>9968749</vt:lpwstr>
  </property>
  <property fmtid="{D5CDD505-2E9C-101B-9397-08002B2CF9AE}" pid="15" name="MatterName">
    <vt:lpwstr>Project Drakkar</vt:lpwstr>
  </property>
  <property fmtid="{D5CDD505-2E9C-101B-9397-08002B2CF9AE}" pid="16" name="MatterCode">
    <vt:lpwstr>1079149</vt:lpwstr>
  </property>
  <property fmtid="{D5CDD505-2E9C-101B-9397-08002B2CF9AE}" pid="17" name="ca68c49a8f784b8589266246736936f4">
    <vt:lpwstr>Anden juridisk sagsbehandling|fc068170-46d3-4b0d-b5b4-ab8eff6004f4</vt:lpwstr>
  </property>
  <property fmtid="{D5CDD505-2E9C-101B-9397-08002B2CF9AE}" pid="18" name="ResponsiblePartner">
    <vt:lpwstr>11;#Jeppe Buskov</vt:lpwstr>
  </property>
  <property fmtid="{D5CDD505-2E9C-101B-9397-08002B2CF9AE}" pid="19" name="MatterWorker">
    <vt:lpwstr>11;#Jeppe Buskov</vt:lpwstr>
  </property>
  <property fmtid="{D5CDD505-2E9C-101B-9397-08002B2CF9AE}" pid="20" name="je4fc4e6e45e4bd19f300b15104f5512">
    <vt:lpwstr>Fremstillingsaktiviteter|f8aac46f-e76c-48db-981e-0ccda41918e9</vt:lpwstr>
  </property>
  <property fmtid="{D5CDD505-2E9C-101B-9397-08002B2CF9AE}" pid="21" name="c2d656f1d99643cd8c32bbc1e680f04e">
    <vt:lpwstr>Overdragelse af noterede virksomheder|0a903026-16b6-48ee-bdcb-7fd1b0320c36</vt:lpwstr>
  </property>
  <property fmtid="{D5CDD505-2E9C-101B-9397-08002B2CF9AE}" pid="22" name="Modified">
    <vt:lpwstr>2026-01-06T19:00:00+00:00</vt:lpwstr>
  </property>
  <property fmtid="{D5CDD505-2E9C-101B-9397-08002B2CF9AE}" pid="23" name="Created">
    <vt:lpwstr>2025-12-23T11:50:00+00:00</vt:lpwstr>
  </property>
  <property fmtid="{D5CDD505-2E9C-101B-9397-08002B2CF9AE}" pid="24" name="Sender name">
    <vt:lpwstr>Christian Rode Røygaard</vt:lpwstr>
  </property>
  <property fmtid="{D5CDD505-2E9C-101B-9397-08002B2CF9AE}" pid="25" name="Sent representing e-mail address">
    <vt:lpwstr>/o=ExchangeLabs/ou=Exchange Administrative Group (FYDIBOHF23SPDLT)/cn=Recipients/cn=user1f7ebd9c</vt:lpwstr>
  </property>
  <property fmtid="{D5CDD505-2E9C-101B-9397-08002B2CF9AE}" pid="26" name="Topic">
    <vt:lpwstr>Project Drakkar - Fjord - Board Recommendation (ENG) - dansk maskinoversættelse.docx</vt:lpwstr>
  </property>
  <property fmtid="{D5CDD505-2E9C-101B-9397-08002B2CF9AE}" pid="27" name="Conversation topic">
    <vt:lpwstr>Project Drakkar - Fjord - Board Recommendation (ENG) - dansk maskinoversættelse.docx</vt:lpwstr>
  </property>
  <property fmtid="{D5CDD505-2E9C-101B-9397-08002B2CF9AE}" pid="28" name="Transport message headers">
    <vt:lpwstr/>
  </property>
  <property fmtid="{D5CDD505-2E9C-101B-9397-08002B2CF9AE}" pid="29" name="Received by name">
    <vt:lpwstr/>
  </property>
  <property fmtid="{D5CDD505-2E9C-101B-9397-08002B2CF9AE}" pid="30" name="Message class">
    <vt:lpwstr>IPM.Document.Word.Document.12</vt:lpwstr>
  </property>
  <property fmtid="{D5CDD505-2E9C-101B-9397-08002B2CF9AE}" pid="31" name="Received representing address type">
    <vt:lpwstr/>
  </property>
  <property fmtid="{D5CDD505-2E9C-101B-9397-08002B2CF9AE}" pid="32" name="Sent representing name">
    <vt:lpwstr>Christian Rode Røygaard</vt:lpwstr>
  </property>
  <property fmtid="{D5CDD505-2E9C-101B-9397-08002B2CF9AE}" pid="33" name="Sent representing address type">
    <vt:lpwstr>EX</vt:lpwstr>
  </property>
  <property fmtid="{D5CDD505-2E9C-101B-9397-08002B2CF9AE}" pid="34" name="SMTPBCC">
    <vt:lpwstr/>
  </property>
  <property fmtid="{D5CDD505-2E9C-101B-9397-08002B2CF9AE}" pid="35" name="Sensitivity">
    <vt:r8>0</vt:r8>
  </property>
  <property fmtid="{D5CDD505-2E9C-101B-9397-08002B2CF9AE}" pid="36" name="BCC">
    <vt:lpwstr/>
  </property>
  <property fmtid="{D5CDD505-2E9C-101B-9397-08002B2CF9AE}" pid="37" name="SMTPCC">
    <vt:lpwstr/>
  </property>
  <property fmtid="{D5CDD505-2E9C-101B-9397-08002B2CF9AE}" pid="38" name="Last modification time">
    <vt:filetime>2025-12-23T22:04:09Z</vt:filetime>
  </property>
  <property fmtid="{D5CDD505-2E9C-101B-9397-08002B2CF9AE}" pid="39" name="Received by address type">
    <vt:lpwstr/>
  </property>
  <property fmtid="{D5CDD505-2E9C-101B-9397-08002B2CF9AE}" pid="40" name="SMTPTo">
    <vt:lpwstr/>
  </property>
  <property fmtid="{D5CDD505-2E9C-101B-9397-08002B2CF9AE}" pid="41" name="CC">
    <vt:lpwstr/>
  </property>
  <property fmtid="{D5CDD505-2E9C-101B-9397-08002B2CF9AE}" pid="42" name="Internet message id">
    <vt:lpwstr/>
  </property>
  <property fmtid="{D5CDD505-2E9C-101B-9397-08002B2CF9AE}" pid="43" name="Sender address type">
    <vt:lpwstr>EX</vt:lpwstr>
  </property>
  <property fmtid="{D5CDD505-2E9C-101B-9397-08002B2CF9AE}" pid="44" name="Has attachment">
    <vt:bool>true</vt:bool>
  </property>
  <property fmtid="{D5CDD505-2E9C-101B-9397-08002B2CF9AE}" pid="45" name="Received representing name">
    <vt:lpwstr/>
  </property>
  <property fmtid="{D5CDD505-2E9C-101B-9397-08002B2CF9AE}" pid="46" name="To">
    <vt:lpwstr/>
  </property>
  <property fmtid="{D5CDD505-2E9C-101B-9397-08002B2CF9AE}" pid="47" name="Received by e-mail address">
    <vt:lpwstr/>
  </property>
  <property fmtid="{D5CDD505-2E9C-101B-9397-08002B2CF9AE}" pid="48" name="Sender e-mail address">
    <vt:lpwstr>/o=ExchangeLabs/ou=Exchange Administrative Group (FYDIBOHF23SPDLT)/cn=Recipients/cn=user1f7ebd9c</vt:lpwstr>
  </property>
  <property fmtid="{D5CDD505-2E9C-101B-9397-08002B2CF9AE}" pid="49" name="SMTPFrom">
    <vt:lpwstr>chrr@kromannreumert.com;</vt:lpwstr>
  </property>
  <property fmtid="{D5CDD505-2E9C-101B-9397-08002B2CF9AE}" pid="50" name="Creation time">
    <vt:filetime>2025-12-23T22:04:09Z</vt:filetime>
  </property>
  <property fmtid="{D5CDD505-2E9C-101B-9397-08002B2CF9AE}" pid="51" name="Received representing e-mail address">
    <vt:lpwstr/>
  </property>
  <property fmtid="{D5CDD505-2E9C-101B-9397-08002B2CF9AE}" pid="52" name="Importance">
    <vt:r8>0</vt:r8>
  </property>
  <property fmtid="{D5CDD505-2E9C-101B-9397-08002B2CF9AE}" pid="53" name="Message size">
    <vt:r8>181248</vt:r8>
  </property>
  <property fmtid="{D5CDD505-2E9C-101B-9397-08002B2CF9AE}" pid="54" name="Message delivery time">
    <vt:filetime>2025-12-23T22:04:09Z</vt:filetime>
  </property>
  <property fmtid="{D5CDD505-2E9C-101B-9397-08002B2CF9AE}" pid="55" name="Client submit time">
    <vt:filetime>2025-12-23T22:04:09Z</vt:filetime>
  </property>
  <property fmtid="{D5CDD505-2E9C-101B-9397-08002B2CF9AE}" pid="56" name="docLang">
    <vt:lpwstr>da</vt:lpwstr>
  </property>
  <property fmtid="{D5CDD505-2E9C-101B-9397-08002B2CF9AE}" pid="57" name="LegalSubject">
    <vt:lpwstr>3;#Overdragelse af noterede virksomheder|0a903026-16b6-48ee-bdcb-7fd1b0320c36</vt:lpwstr>
  </property>
  <property fmtid="{D5CDD505-2E9C-101B-9397-08002B2CF9AE}" pid="58" name="MatterWorkingType">
    <vt:lpwstr>1;#Anden juridisk sagsbehandling|fc068170-46d3-4b0d-b5b4-ab8eff6004f4</vt:lpwstr>
  </property>
  <property fmtid="{D5CDD505-2E9C-101B-9397-08002B2CF9AE}" pid="59" name="Industry">
    <vt:lpwstr>2;#Fremstillingsaktiviteter|f8aac46f-e76c-48db-981e-0ccda41918e9</vt:lpwstr>
  </property>
</Properties>
</file>