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5E34D" w14:textId="58452D23" w:rsidR="00587305" w:rsidRPr="004749C0" w:rsidRDefault="00587305" w:rsidP="005E13EC">
      <w:pPr>
        <w:pStyle w:val="Datoogjnr"/>
        <w:framePr w:w="1701" w:h="1000" w:hSpace="141" w:vSpace="0" w:wrap="around" w:vAnchor="margin" w:hAnchor="text" w:x="8208" w:y="37"/>
        <w:spacing w:line="320" w:lineRule="atLeast"/>
        <w:rPr>
          <w:sz w:val="13"/>
        </w:rPr>
      </w:pPr>
    </w:p>
    <w:tbl>
      <w:tblPr>
        <w:tblW w:w="0" w:type="auto"/>
        <w:tblLook w:val="01E0" w:firstRow="1" w:lastRow="1" w:firstColumn="1" w:lastColumn="1" w:noHBand="0" w:noVBand="0"/>
      </w:tblPr>
      <w:tblGrid>
        <w:gridCol w:w="8050"/>
      </w:tblGrid>
      <w:tr w:rsidR="00C31535" w:rsidRPr="004749C0" w14:paraId="5E39DE4F" w14:textId="77777777" w:rsidTr="00EC7EAB">
        <w:tc>
          <w:tcPr>
            <w:tcW w:w="8050" w:type="dxa"/>
          </w:tcPr>
          <w:p w14:paraId="46CDBF8A" w14:textId="2ADCD276" w:rsidR="00B45A3A" w:rsidRPr="0072631A" w:rsidRDefault="004749C0" w:rsidP="004749C0">
            <w:pPr>
              <w:rPr>
                <w:i/>
                <w:iCs/>
              </w:rPr>
            </w:pPr>
            <w:bookmarkStart w:id="0" w:name="Udkast"/>
            <w:bookmarkStart w:id="1" w:name="UdkastDato"/>
            <w:bookmarkEnd w:id="0"/>
            <w:bookmarkEnd w:id="1"/>
            <w:r>
              <w:rPr>
                <w:i/>
                <w:iCs/>
              </w:rPr>
              <w:t>M</w:t>
            </w:r>
            <w:r w:rsidRPr="004749C0">
              <w:rPr>
                <w:i/>
                <w:iCs/>
              </w:rPr>
              <w:t>Å IKKE OFFENTLIGGØRES, PUBLICERES ELLER DISTRIBUERES, DIREKTE ELLER INDIREKTE, I ELLER TIL NOGEN JURISDIKTION, HVOR DETTE VIL UDGØRE EN OVERTRÆDELSE AF GÆLDENDE RET ELLER REGULERING I DEN PÅGÆLDENDE JURISDIKTION.</w:t>
            </w:r>
          </w:p>
        </w:tc>
      </w:tr>
      <w:tr w:rsidR="00C31535" w:rsidRPr="004749C0" w14:paraId="1B55DA5A" w14:textId="77777777" w:rsidTr="00EC7EAB">
        <w:trPr>
          <w:trHeight w:hRule="exact" w:val="3686"/>
        </w:trPr>
        <w:tc>
          <w:tcPr>
            <w:tcW w:w="8050" w:type="dxa"/>
          </w:tcPr>
          <w:p w14:paraId="44480E35" w14:textId="45CF1B5E" w:rsidR="00BC6869" w:rsidRPr="004749C0" w:rsidRDefault="00BC6869" w:rsidP="005E13EC"/>
        </w:tc>
      </w:tr>
    </w:tbl>
    <w:p w14:paraId="47A67308" w14:textId="0FF9C77B" w:rsidR="00587305" w:rsidRPr="004749C0" w:rsidRDefault="004749C0" w:rsidP="005E13EC">
      <w:pPr>
        <w:pStyle w:val="dokumentoverskrift"/>
        <w:spacing w:after="0"/>
      </w:pPr>
      <w:r w:rsidRPr="004749C0">
        <w:t xml:space="preserve">oFFENTLIGGØRELSE AF TILBUDSDOKUMENT </w:t>
      </w:r>
      <w:r w:rsidR="00E4507C">
        <w:t>VEDR.</w:t>
      </w:r>
      <w:r w:rsidR="00E4507C" w:rsidRPr="004749C0">
        <w:t xml:space="preserve"> </w:t>
      </w:r>
      <w:r w:rsidRPr="004749C0">
        <w:t>DET KONTANTE FRIVILLIGE OG ANBEFALEDE OFFENTLIGE OVERTAGELSESTILBUD TIL AKTIONÆRERNE I nILFISK hOLDING a/s</w:t>
      </w:r>
    </w:p>
    <w:p w14:paraId="35F14D50" w14:textId="77777777" w:rsidR="007C2F8C" w:rsidRPr="004749C0" w:rsidRDefault="007C2F8C" w:rsidP="005E13EC"/>
    <w:p w14:paraId="671326CE" w14:textId="43B00E5A" w:rsidR="00F21D4E" w:rsidRPr="004749C0" w:rsidRDefault="00B45A3A" w:rsidP="005E13EC">
      <w:r w:rsidRPr="004749C0">
        <w:t>7</w:t>
      </w:r>
      <w:r w:rsidR="004749C0" w:rsidRPr="004749C0">
        <w:t>.</w:t>
      </w:r>
      <w:r w:rsidRPr="004749C0">
        <w:t xml:space="preserve"> </w:t>
      </w:r>
      <w:r w:rsidR="0072631A" w:rsidRPr="004749C0">
        <w:t>januar</w:t>
      </w:r>
      <w:r w:rsidR="004749C0" w:rsidRPr="004749C0">
        <w:t xml:space="preserve"> </w:t>
      </w:r>
      <w:r w:rsidRPr="004749C0">
        <w:t>202</w:t>
      </w:r>
      <w:r w:rsidR="005D3F46" w:rsidRPr="004749C0">
        <w:t>6</w:t>
      </w:r>
    </w:p>
    <w:p w14:paraId="30F53FAC" w14:textId="77777777" w:rsidR="00B45A3A" w:rsidRPr="004749C0" w:rsidRDefault="00B45A3A" w:rsidP="005E13EC"/>
    <w:p w14:paraId="5F20AEF6" w14:textId="0184C36A" w:rsidR="004749C0" w:rsidRDefault="004749C0" w:rsidP="000F3FF6">
      <w:r w:rsidRPr="004749C0">
        <w:t xml:space="preserve">Ved meddelelse af </w:t>
      </w:r>
      <w:r>
        <w:t>11</w:t>
      </w:r>
      <w:r w:rsidRPr="004749C0">
        <w:t xml:space="preserve">. </w:t>
      </w:r>
      <w:r>
        <w:t>december</w:t>
      </w:r>
      <w:r w:rsidRPr="004749C0">
        <w:t xml:space="preserve"> 2025 om indgåelsen af en offentliggørelsesaftale mellem </w:t>
      </w:r>
      <w:r w:rsidRPr="0072631A">
        <w:t xml:space="preserve">Freudenberg Home and </w:t>
      </w:r>
      <w:proofErr w:type="spellStart"/>
      <w:r w:rsidRPr="0072631A">
        <w:t>Cleaning</w:t>
      </w:r>
      <w:proofErr w:type="spellEnd"/>
      <w:r w:rsidRPr="0072631A">
        <w:t xml:space="preserve"> Solutions GmbH (“</w:t>
      </w:r>
      <w:r w:rsidRPr="0072631A">
        <w:rPr>
          <w:b/>
          <w:bCs/>
        </w:rPr>
        <w:t>Freudenberg</w:t>
      </w:r>
      <w:r w:rsidRPr="0072631A">
        <w:t xml:space="preserve">” </w:t>
      </w:r>
      <w:r>
        <w:t>eller</w:t>
      </w:r>
      <w:r w:rsidRPr="0072631A">
        <w:t xml:space="preserve"> “</w:t>
      </w:r>
      <w:r>
        <w:rPr>
          <w:b/>
          <w:bCs/>
        </w:rPr>
        <w:t>Tilbudsgiver</w:t>
      </w:r>
      <w:r w:rsidRPr="0072631A">
        <w:t>”)</w:t>
      </w:r>
      <w:r w:rsidRPr="004749C0">
        <w:t xml:space="preserve">, og </w:t>
      </w:r>
      <w:r>
        <w:t>Nilfisk Holding</w:t>
      </w:r>
      <w:r w:rsidRPr="004749C0">
        <w:t xml:space="preserve"> A/S (</w:t>
      </w:r>
      <w:r w:rsidR="00E4507C" w:rsidRPr="0072631A">
        <w:t>“</w:t>
      </w:r>
      <w:r w:rsidRPr="0072631A">
        <w:rPr>
          <w:b/>
          <w:bCs/>
        </w:rPr>
        <w:t>Nilfisk</w:t>
      </w:r>
      <w:r w:rsidRPr="004749C0">
        <w:t>”) offentliggjorde Tilbudsgiver sin beslutning om at ville fremsætte et anbefalet kontant frivilligt overtagelsestilbud på alle udstedte og udestående aktier (undtagen egne aktier ejet af Nilfisk og aktier ejet af Tilbudsgiver (om nogen)) i Nilfisk til en kurs på DKK 140 for hver aktie med en nominel værdi på DKK 20 (henholdsvis “</w:t>
      </w:r>
      <w:r w:rsidRPr="0072631A">
        <w:rPr>
          <w:b/>
          <w:bCs/>
        </w:rPr>
        <w:t>Tilbuddet</w:t>
      </w:r>
      <w:r w:rsidRPr="004749C0">
        <w:t>” og “</w:t>
      </w:r>
      <w:r w:rsidRPr="0072631A">
        <w:rPr>
          <w:b/>
          <w:bCs/>
        </w:rPr>
        <w:t>Tilbudskursen</w:t>
      </w:r>
      <w:r w:rsidRPr="004749C0">
        <w:t>”), hvilket værdiansætter den samlede aktiekapital i Nilfisk</w:t>
      </w:r>
      <w:r w:rsidRPr="004749C0">
        <w:rPr>
          <w:rStyle w:val="FootnoteReference"/>
        </w:rPr>
        <w:footnoteReference w:id="1"/>
      </w:r>
      <w:r w:rsidRPr="004749C0">
        <w:t xml:space="preserve"> til ca. DKK 3,80 mia. / EUR</w:t>
      </w:r>
      <w:r w:rsidR="00CB42F2" w:rsidRPr="004749C0">
        <w:rPr>
          <w:rStyle w:val="FootnoteReference"/>
        </w:rPr>
        <w:footnoteReference w:id="2"/>
      </w:r>
      <w:r w:rsidRPr="004749C0">
        <w:t xml:space="preserve"> 508 mio.</w:t>
      </w:r>
    </w:p>
    <w:p w14:paraId="38223427" w14:textId="77777777" w:rsidR="004749C0" w:rsidRDefault="004749C0" w:rsidP="000F3FF6"/>
    <w:p w14:paraId="4F7C96B3" w14:textId="75B1FA87" w:rsidR="00CB42F2" w:rsidRPr="0072631A" w:rsidRDefault="00CB42F2" w:rsidP="000F3FF6">
      <w:r w:rsidRPr="00CB42F2">
        <w:t>Tilbudsgiver har i dag offentliggjort et tilbudsdokument, som er godkendt af Finanstilsynet (</w:t>
      </w:r>
      <w:r w:rsidR="00E4507C" w:rsidRPr="0072631A">
        <w:t>“</w:t>
      </w:r>
      <w:r w:rsidRPr="0072631A">
        <w:rPr>
          <w:b/>
          <w:bCs/>
        </w:rPr>
        <w:t>Tilbudsdokumentet</w:t>
      </w:r>
      <w:r w:rsidRPr="00CB42F2">
        <w:t>”). Tilbudsdokumentet er offentliggjort i overensstemmelse med § 4, stk. 2</w:t>
      </w:r>
      <w:r w:rsidR="00E4507C">
        <w:t>,</w:t>
      </w:r>
      <w:r w:rsidRPr="00CB42F2">
        <w:t xml:space="preserve"> i bekendtgørelse nr. 614 af 2. juni 2025 om overtagelsestilbud (</w:t>
      </w:r>
      <w:r w:rsidR="00E4507C" w:rsidRPr="0072631A">
        <w:t>“</w:t>
      </w:r>
      <w:r w:rsidRPr="0072631A">
        <w:rPr>
          <w:b/>
          <w:bCs/>
        </w:rPr>
        <w:t>Overtagelsesbekendtgørelsen</w:t>
      </w:r>
      <w:r w:rsidRPr="00CB42F2">
        <w:t>”).</w:t>
      </w:r>
    </w:p>
    <w:p w14:paraId="1F437C75" w14:textId="77777777" w:rsidR="00CB42F2" w:rsidRPr="0072631A" w:rsidRDefault="00CB42F2" w:rsidP="000F3FF6"/>
    <w:p w14:paraId="321D7DE8" w14:textId="0534C0A3" w:rsidR="00CB42F2" w:rsidRDefault="00CB42F2" w:rsidP="00B45A3A">
      <w:r w:rsidRPr="00CB42F2">
        <w:t xml:space="preserve">Tilbudsdokumentet indeholder alle vilkår og betingelser for Tilbuddet. </w:t>
      </w:r>
      <w:r>
        <w:t>B</w:t>
      </w:r>
      <w:r w:rsidRPr="00CB42F2">
        <w:t>etingelser</w:t>
      </w:r>
      <w:r>
        <w:t>ne</w:t>
      </w:r>
      <w:r w:rsidRPr="00CB42F2">
        <w:t xml:space="preserve"> for Tilbuddet er nærmere beskrevet nedenfor.</w:t>
      </w:r>
    </w:p>
    <w:p w14:paraId="66F9A28C" w14:textId="33F7A734" w:rsidR="00CB42F2" w:rsidRDefault="00CB42F2" w:rsidP="00B45A3A"/>
    <w:p w14:paraId="0D6C7D43" w14:textId="3579E6D4" w:rsidR="00CB42F2" w:rsidRDefault="00CB42F2" w:rsidP="00B45A3A">
      <w:r w:rsidRPr="00CB42F2">
        <w:t xml:space="preserve">Tilbudsdokumentet kan </w:t>
      </w:r>
      <w:r w:rsidR="00E4507C">
        <w:t xml:space="preserve">med visse begrænsninger </w:t>
      </w:r>
      <w:r w:rsidRPr="00CB42F2">
        <w:t xml:space="preserve">tilgås og downloades på </w:t>
      </w:r>
      <w:hyperlink r:id="rId12" w:history="1">
        <w:r w:rsidRPr="004749C0">
          <w:rPr>
            <w:rStyle w:val="Hyperlink"/>
            <w:rFonts w:eastAsiaTheme="minorHAnsi"/>
            <w:szCs w:val="22"/>
            <w:lang w:eastAsia="en-US"/>
          </w:rPr>
          <w:t>https://www.freudenberg.com/en/documentsforoffer</w:t>
        </w:r>
      </w:hyperlink>
      <w:r w:rsidRPr="00CB42F2">
        <w:t xml:space="preserve">. Aktionærer opfordres til at læse Tilbudsdokumentet </w:t>
      </w:r>
      <w:r w:rsidR="00E4507C">
        <w:t>omhyggeligt</w:t>
      </w:r>
      <w:r w:rsidRPr="00CB42F2">
        <w:t>.</w:t>
      </w:r>
    </w:p>
    <w:p w14:paraId="51F0F1B2" w14:textId="77777777" w:rsidR="00CB42F2" w:rsidRDefault="00CB42F2" w:rsidP="00B45A3A"/>
    <w:p w14:paraId="77311E9E" w14:textId="150312B8" w:rsidR="00CB42F2" w:rsidRDefault="00CB42F2" w:rsidP="00B45A3A">
      <w:r w:rsidRPr="00CB42F2">
        <w:t xml:space="preserve">Tilbudsperioden løber fra dags dato og frem til den </w:t>
      </w:r>
      <w:r>
        <w:t>18</w:t>
      </w:r>
      <w:r w:rsidRPr="00CB42F2">
        <w:t xml:space="preserve">. </w:t>
      </w:r>
      <w:r>
        <w:t xml:space="preserve">februar </w:t>
      </w:r>
      <w:r w:rsidRPr="00CB42F2">
        <w:t xml:space="preserve">kl. </w:t>
      </w:r>
      <w:r>
        <w:t>23</w:t>
      </w:r>
      <w:r w:rsidR="00BC5BFF">
        <w:t>.</w:t>
      </w:r>
      <w:r>
        <w:t>59</w:t>
      </w:r>
      <w:r w:rsidRPr="00CB42F2">
        <w:t xml:space="preserve"> (CET)</w:t>
      </w:r>
      <w:r w:rsidR="00E4507C">
        <w:t>,</w:t>
      </w:r>
      <w:r w:rsidRPr="00CB42F2">
        <w:t xml:space="preserve"> medmindre </w:t>
      </w:r>
      <w:r w:rsidR="00E4507C">
        <w:t xml:space="preserve">den forlænges af </w:t>
      </w:r>
      <w:r w:rsidRPr="00CB42F2">
        <w:t>Tilbudsgiver i overensstemmelse med vilkårene i Tilbudsdokumentet og reglerne i Overtagelsesbekendtgørelsen (</w:t>
      </w:r>
      <w:r w:rsidR="00E4507C" w:rsidRPr="004749C0">
        <w:t>“</w:t>
      </w:r>
      <w:r w:rsidRPr="0072631A">
        <w:rPr>
          <w:b/>
          <w:bCs/>
        </w:rPr>
        <w:t>Tilbudsperioden</w:t>
      </w:r>
      <w:r w:rsidRPr="00CB42F2">
        <w:t>”).</w:t>
      </w:r>
    </w:p>
    <w:p w14:paraId="7AB045FE" w14:textId="77777777" w:rsidR="00CB42F2" w:rsidRDefault="00CB42F2" w:rsidP="00B45A3A"/>
    <w:p w14:paraId="0C04F364" w14:textId="5C903DED" w:rsidR="00CB42F2" w:rsidRPr="003B0F9F" w:rsidRDefault="00CB42F2" w:rsidP="00B45A3A">
      <w:pPr>
        <w:rPr>
          <w:b/>
          <w:bCs/>
        </w:rPr>
      </w:pPr>
      <w:r w:rsidRPr="003B0F9F">
        <w:rPr>
          <w:b/>
          <w:bCs/>
        </w:rPr>
        <w:t>Væsentlige vilkår og betingelser for Tilbuddet</w:t>
      </w:r>
    </w:p>
    <w:p w14:paraId="10C633BC" w14:textId="77777777" w:rsidR="00CB42F2" w:rsidRDefault="00CB42F2" w:rsidP="00B45A3A"/>
    <w:p w14:paraId="5DC25BF8" w14:textId="31F1D86A" w:rsidR="00CB42F2" w:rsidRDefault="00CB42F2" w:rsidP="0072631A">
      <w:pPr>
        <w:pStyle w:val="ListParagraph"/>
        <w:numPr>
          <w:ilvl w:val="0"/>
          <w:numId w:val="10"/>
        </w:numPr>
      </w:pPr>
      <w:r w:rsidRPr="00CB42F2">
        <w:t xml:space="preserve">Tilbudskursen er DKK 140 kontant </w:t>
      </w:r>
      <w:r w:rsidR="00E4507C">
        <w:t>pr.</w:t>
      </w:r>
      <w:r w:rsidRPr="00CB42F2">
        <w:t xml:space="preserve"> aktie med en nominel værdi på DKK 20 i Nilfisk, med forbehold for regulering krone-for-krone for eventuelle udbytter eller andre udlodninger, der udbetales til aktionærerne inden Tilbuddets gennemførelse, hvilket værdiansætter Nilfisks aktiekapital til ca. DKK 3,80 mia. / EUR 508 mio.</w:t>
      </w:r>
    </w:p>
    <w:p w14:paraId="2E669408" w14:textId="77777777" w:rsidR="00E2024F" w:rsidRDefault="00E2024F" w:rsidP="0072631A">
      <w:pPr>
        <w:pStyle w:val="ListParagraph"/>
      </w:pPr>
    </w:p>
    <w:p w14:paraId="3A39A057" w14:textId="77777777" w:rsidR="00CB42F2" w:rsidRDefault="00CB42F2" w:rsidP="0072631A">
      <w:pPr>
        <w:pStyle w:val="ListParagraph"/>
        <w:numPr>
          <w:ilvl w:val="0"/>
          <w:numId w:val="10"/>
        </w:numPr>
      </w:pPr>
      <w:r>
        <w:t>T</w:t>
      </w:r>
      <w:r w:rsidRPr="00CB42F2">
        <w:t xml:space="preserve">ilbuddet repræsenterer: </w:t>
      </w:r>
    </w:p>
    <w:p w14:paraId="25DC0120" w14:textId="39ACCB7D" w:rsidR="00CB42F2" w:rsidRDefault="00CB42F2" w:rsidP="0072631A">
      <w:pPr>
        <w:pStyle w:val="ListParagraph"/>
        <w:numPr>
          <w:ilvl w:val="1"/>
          <w:numId w:val="10"/>
        </w:numPr>
      </w:pPr>
      <w:r w:rsidRPr="00CB42F2">
        <w:t>en præmie på ca. 35,9 procent i forhold til lukkekursen på DKK 103 på Nasdaq Copenhagen den 10. december 2025</w:t>
      </w:r>
      <w:r>
        <w:t>.</w:t>
      </w:r>
      <w:r w:rsidRPr="00CB42F2">
        <w:t xml:space="preserve"> </w:t>
      </w:r>
    </w:p>
    <w:p w14:paraId="02229E35" w14:textId="67C5A59A" w:rsidR="00CB42F2" w:rsidRDefault="00CB42F2" w:rsidP="0072631A">
      <w:pPr>
        <w:pStyle w:val="ListParagraph"/>
        <w:numPr>
          <w:ilvl w:val="1"/>
          <w:numId w:val="10"/>
        </w:numPr>
      </w:pPr>
      <w:r w:rsidRPr="00CB42F2">
        <w:t>en præmie på ca. 39,8 procent i forhold til den volumenvægtede gennemsnitskurs på DKK 100,11 i løbet af den måned, der gik forud for den 10. december 2025</w:t>
      </w:r>
      <w:r>
        <w:t>.</w:t>
      </w:r>
    </w:p>
    <w:p w14:paraId="37F13E62" w14:textId="39EC06C1" w:rsidR="00E2024F" w:rsidRDefault="00CB42F2" w:rsidP="0072631A">
      <w:pPr>
        <w:pStyle w:val="ListParagraph"/>
        <w:numPr>
          <w:ilvl w:val="1"/>
          <w:numId w:val="10"/>
        </w:numPr>
      </w:pPr>
      <w:r w:rsidRPr="00CB42F2">
        <w:t>en præmie på ca. 42,3 procent i forhold til den volumenvægtede gennemsnitskurs på DKK 98,38 i løbet af den 12-måneders periode</w:t>
      </w:r>
      <w:r w:rsidR="00E4507C">
        <w:t>, der gik</w:t>
      </w:r>
      <w:r w:rsidRPr="00CB42F2">
        <w:t xml:space="preserve"> forud for den 10. december 2025</w:t>
      </w:r>
      <w:r>
        <w:t>.</w:t>
      </w:r>
      <w:r w:rsidRPr="00CB42F2">
        <w:t xml:space="preserve"> </w:t>
      </w:r>
    </w:p>
    <w:p w14:paraId="2082A9E9" w14:textId="276A66AA" w:rsidR="00CB42F2" w:rsidRDefault="00CB42F2" w:rsidP="0072631A">
      <w:pPr>
        <w:pStyle w:val="ListParagraph"/>
        <w:ind w:left="1440"/>
      </w:pPr>
      <w:r w:rsidRPr="00CB42F2">
        <w:t xml:space="preserve">(Kilde: </w:t>
      </w:r>
      <w:proofErr w:type="spellStart"/>
      <w:r w:rsidRPr="00CB42F2">
        <w:t>Factset</w:t>
      </w:r>
      <w:proofErr w:type="spellEnd"/>
      <w:r w:rsidRPr="00CB42F2">
        <w:t>)</w:t>
      </w:r>
    </w:p>
    <w:p w14:paraId="03EA571F" w14:textId="77777777" w:rsidR="00E2024F" w:rsidRDefault="00E2024F" w:rsidP="0072631A">
      <w:pPr>
        <w:pStyle w:val="ListParagraph"/>
        <w:ind w:left="1440"/>
      </w:pPr>
    </w:p>
    <w:p w14:paraId="125A0910" w14:textId="6B0C16E8" w:rsidR="00CB42F2" w:rsidRDefault="00CB42F2" w:rsidP="0072631A">
      <w:pPr>
        <w:pStyle w:val="ListParagraph"/>
        <w:numPr>
          <w:ilvl w:val="0"/>
          <w:numId w:val="10"/>
        </w:numPr>
      </w:pPr>
      <w:r w:rsidRPr="00CB42F2">
        <w:t xml:space="preserve">Nilfisks bestyrelse vil i overensstemmelse med </w:t>
      </w:r>
      <w:r w:rsidR="00AD4135" w:rsidRPr="0072631A">
        <w:t>Overtagelsesbekendtgørelsen</w:t>
      </w:r>
      <w:r w:rsidR="00E62516">
        <w:t>s § 23</w:t>
      </w:r>
      <w:r w:rsidR="00AD4135" w:rsidRPr="00CB42F2">
        <w:t xml:space="preserve"> </w:t>
      </w:r>
      <w:r w:rsidRPr="00CB42F2">
        <w:t xml:space="preserve">udarbejde en redegørelse vedrørende </w:t>
      </w:r>
      <w:r w:rsidR="00F20964">
        <w:t>T</w:t>
      </w:r>
      <w:r w:rsidRPr="00CB42F2">
        <w:t xml:space="preserve">ilbuddet. Bestyrelsen har enstemmigt besluttet at anbefale Nilfisks aktionærer at acceptere </w:t>
      </w:r>
      <w:r w:rsidR="00F20964">
        <w:t>T</w:t>
      </w:r>
      <w:r w:rsidR="00F20964" w:rsidRPr="00CB42F2">
        <w:t>ilbuddet</w:t>
      </w:r>
      <w:r w:rsidRPr="00CB42F2">
        <w:t>.</w:t>
      </w:r>
    </w:p>
    <w:p w14:paraId="01B49FAB" w14:textId="77777777" w:rsidR="00E2024F" w:rsidRDefault="00E2024F" w:rsidP="0072631A">
      <w:pPr>
        <w:pStyle w:val="ListParagraph"/>
      </w:pPr>
    </w:p>
    <w:p w14:paraId="17510CB4" w14:textId="241642D1" w:rsidR="00AD4135" w:rsidRDefault="00AD4135" w:rsidP="0072631A">
      <w:pPr>
        <w:pStyle w:val="ListParagraph"/>
        <w:numPr>
          <w:ilvl w:val="0"/>
          <w:numId w:val="10"/>
        </w:numPr>
      </w:pPr>
      <w:proofErr w:type="spellStart"/>
      <w:r w:rsidRPr="00AD4135">
        <w:t>Ferd</w:t>
      </w:r>
      <w:proofErr w:type="spellEnd"/>
      <w:r w:rsidRPr="00AD4135">
        <w:t xml:space="preserve"> AS, KIRKBI Invest A/S og Primestone Capital Irish </w:t>
      </w:r>
      <w:proofErr w:type="spellStart"/>
      <w:r w:rsidRPr="00AD4135">
        <w:t>Holdco</w:t>
      </w:r>
      <w:proofErr w:type="spellEnd"/>
      <w:r w:rsidRPr="00AD4135">
        <w:t xml:space="preserve"> </w:t>
      </w:r>
      <w:proofErr w:type="spellStart"/>
      <w:r w:rsidRPr="00AD4135">
        <w:t>Designated</w:t>
      </w:r>
      <w:proofErr w:type="spellEnd"/>
      <w:r w:rsidRPr="00AD4135">
        <w:t xml:space="preserve"> Activity Company har sammen med de medlemmer af Nilfisks bestyrelse og direktion, der ejer aktier, afgivet uigenkaldelige tilsagn om at acceptere Tilbuddet for deres samlede aktiebeholdning i Nilfisk, der udgør i alt ca. 50,87 procent af Nilfisks aktiekapital, med forbehold for visse sædvanlige betingelser, herunder at de uigenkaldelige tilsagn bortfalder, hvis blandt andet en tredjepart offentliggør en alternativ transaktion, hvor det samlede vederlag, der tilbydes aktionærerne, overstiger Til budskursen med mindst ti (10) procent, forudsat at Tilbudsgiver ikke matcher eller </w:t>
      </w:r>
      <w:r w:rsidRPr="00AD4135">
        <w:lastRenderedPageBreak/>
        <w:t>overgår en sådan bedre alternativ transaktion inden for ti (10) hverdage efter offentliggørelsen heraf.</w:t>
      </w:r>
    </w:p>
    <w:p w14:paraId="10067094" w14:textId="77777777" w:rsidR="00E2024F" w:rsidRDefault="00E2024F" w:rsidP="0072631A"/>
    <w:p w14:paraId="03C1332D" w14:textId="0096EA2A" w:rsidR="00AD4135" w:rsidRDefault="00AD4135" w:rsidP="0072631A">
      <w:pPr>
        <w:pStyle w:val="ListParagraph"/>
        <w:numPr>
          <w:ilvl w:val="0"/>
          <w:numId w:val="10"/>
        </w:numPr>
      </w:pPr>
      <w:r w:rsidRPr="00AD4135">
        <w:t>Tilbuddet indeholder en minimumsbetingelse for accept, hvorefter Tilbuddet er betinget af, at Tilbudsgiver ved udløbet af Tilbudsperioden ejer eller har modtaget gyldige accepter fra aktionærerne for aktier, der tilsammen udgør mindst 90 procent af aktiekapitalen og stemmerettighederne i Nilfisk, eksklusive egne aktier ejet af Nilfisk og aktier, som Tilbudsgiver ejer (om nogen), plus én (1) aktie.</w:t>
      </w:r>
    </w:p>
    <w:p w14:paraId="040AB6F1" w14:textId="77777777" w:rsidR="00E2024F" w:rsidRDefault="00E2024F" w:rsidP="0072631A">
      <w:pPr>
        <w:pStyle w:val="ListParagraph"/>
      </w:pPr>
    </w:p>
    <w:p w14:paraId="6FE8736B" w14:textId="4A323AE8" w:rsidR="00AD4135" w:rsidRDefault="00AD4135" w:rsidP="0072631A">
      <w:pPr>
        <w:pStyle w:val="ListParagraph"/>
        <w:numPr>
          <w:ilvl w:val="0"/>
          <w:numId w:val="10"/>
        </w:numPr>
      </w:pPr>
      <w:r w:rsidRPr="00AD4135">
        <w:t xml:space="preserve">Tilbuddet er derudover betinget af en række sædvanlige betingelser, herunder at der ikke er indtrådt nogen væsentlig negativ begivenhed, at de nødvendige myndighedsgodkendelser er opnået, samt at </w:t>
      </w:r>
      <w:r>
        <w:t>Nilfisks</w:t>
      </w:r>
      <w:r w:rsidRPr="00AD4135">
        <w:t xml:space="preserve"> bestyrelse ikke har trukket sin anbefaling tilbage, betinget den eller på anden måde ændret sin anbefaling til aktionærerne om at acceptere Tilbuddet</w:t>
      </w:r>
      <w:r>
        <w:t>.</w:t>
      </w:r>
    </w:p>
    <w:p w14:paraId="7B7C5FFF" w14:textId="77777777" w:rsidR="00E2024F" w:rsidRDefault="00E2024F" w:rsidP="0072631A">
      <w:pPr>
        <w:pStyle w:val="ListParagraph"/>
      </w:pPr>
    </w:p>
    <w:p w14:paraId="245120A1" w14:textId="4A8F6E04" w:rsidR="00E2024F" w:rsidRDefault="00E2024F" w:rsidP="0072631A">
      <w:pPr>
        <w:pStyle w:val="ListParagraph"/>
        <w:numPr>
          <w:ilvl w:val="0"/>
          <w:numId w:val="10"/>
        </w:numPr>
      </w:pPr>
      <w:r w:rsidRPr="00E2024F">
        <w:t xml:space="preserve">Hvis Freudenberg ved Tilbuddets gennemførelse eller på et senere tidspunkt opnår det nødvendige antal aktier til at indlede en </w:t>
      </w:r>
      <w:proofErr w:type="spellStart"/>
      <w:r w:rsidRPr="00E2024F">
        <w:t>afnotering</w:t>
      </w:r>
      <w:proofErr w:type="spellEnd"/>
      <w:r w:rsidRPr="00E2024F">
        <w:t xml:space="preserve"> af Nilfisk, agter Freudenberg at anmode om, at Nilfisk-aktierne slettes fra handel og notering på Nasdaq Copenhagen. Hvis Freudenberg ved Tilbuddets gennemførelse eller på et senere tidspunkt opnår en ejerandel på mere end halvfems (90) procent, forventer Freudenberg at gennemføre en tvangsindløsning af de resterende aktionærers aktier.</w:t>
      </w:r>
    </w:p>
    <w:p w14:paraId="1AA29A2C" w14:textId="77777777" w:rsidR="00E2024F" w:rsidRDefault="00E2024F" w:rsidP="0072631A">
      <w:pPr>
        <w:pStyle w:val="ListParagraph"/>
      </w:pPr>
    </w:p>
    <w:p w14:paraId="1F3BC062" w14:textId="3EC4B00C" w:rsidR="00E2024F" w:rsidRDefault="00E2024F" w:rsidP="0072631A">
      <w:pPr>
        <w:pStyle w:val="ListParagraph"/>
        <w:numPr>
          <w:ilvl w:val="0"/>
          <w:numId w:val="10"/>
        </w:numPr>
      </w:pPr>
      <w:r w:rsidRPr="00E2024F">
        <w:t>Vederlaget for aktierne i Tilbuddet vil blive betalt kontant ved Tilbuddets gennemførelse.</w:t>
      </w:r>
    </w:p>
    <w:p w14:paraId="4A1855A5" w14:textId="77777777" w:rsidR="00E2024F" w:rsidRDefault="00E2024F" w:rsidP="0072631A">
      <w:pPr>
        <w:pStyle w:val="ListParagraph"/>
      </w:pPr>
    </w:p>
    <w:p w14:paraId="44D4EA0B" w14:textId="63DDABE5" w:rsidR="00E2024F" w:rsidRDefault="00E2024F" w:rsidP="0072631A">
      <w:pPr>
        <w:pStyle w:val="ListParagraph"/>
        <w:numPr>
          <w:ilvl w:val="0"/>
          <w:numId w:val="10"/>
        </w:numPr>
      </w:pPr>
      <w:r w:rsidRPr="00E2024F">
        <w:t>Tilbudsgiver forventer, at Tilbuddet gennemføres i første halvdel af 2026.</w:t>
      </w:r>
    </w:p>
    <w:p w14:paraId="2C4EB237" w14:textId="77777777" w:rsidR="00E2024F" w:rsidRDefault="00E2024F" w:rsidP="00AD4135"/>
    <w:p w14:paraId="7984D49F" w14:textId="48EE6B4E" w:rsidR="00E2024F" w:rsidRDefault="00E2024F" w:rsidP="00B45A3A">
      <w:r w:rsidRPr="0072631A">
        <w:rPr>
          <w:b/>
          <w:bCs/>
        </w:rPr>
        <w:t>Tidsplan for Tilbuddet</w:t>
      </w:r>
    </w:p>
    <w:p w14:paraId="67B0F475" w14:textId="60653A12" w:rsidR="00E2024F" w:rsidRPr="00EB6524" w:rsidRDefault="00E2024F" w:rsidP="0072631A">
      <w:pPr>
        <w:pStyle w:val="Style1"/>
        <w:numPr>
          <w:ilvl w:val="0"/>
          <w:numId w:val="0"/>
        </w:numPr>
        <w:spacing w:after="0"/>
        <w:rPr>
          <w:rFonts w:cs="Times New Roman"/>
        </w:rPr>
      </w:pPr>
      <w:r>
        <w:rPr>
          <w:rFonts w:cs="Times New Roman"/>
        </w:rPr>
        <w:t xml:space="preserve">Følgende tidsplan angiver visse vigtige datoer i forbindelse med </w:t>
      </w:r>
      <w:r w:rsidR="00F20964">
        <w:rPr>
          <w:rFonts w:cs="Times New Roman"/>
        </w:rPr>
        <w:t>Tilbuddet</w:t>
      </w:r>
      <w:r>
        <w:rPr>
          <w:rFonts w:cs="Times New Roman"/>
        </w:rPr>
        <w:t xml:space="preserve">, forudsat at </w:t>
      </w:r>
      <w:r w:rsidR="00F20964">
        <w:rPr>
          <w:rFonts w:cs="Times New Roman"/>
        </w:rPr>
        <w:t xml:space="preserve">Tilbudsperioden </w:t>
      </w:r>
      <w:r>
        <w:rPr>
          <w:rFonts w:cs="Times New Roman"/>
        </w:rPr>
        <w:t xml:space="preserve">ikke er blevet forlænget i overensstemmelse med </w:t>
      </w:r>
      <w:r w:rsidR="00F20964">
        <w:rPr>
          <w:rFonts w:cs="Times New Roman"/>
        </w:rPr>
        <w:t xml:space="preserve">Tilbuddets </w:t>
      </w:r>
      <w:r>
        <w:rPr>
          <w:rFonts w:cs="Times New Roman"/>
        </w:rPr>
        <w:t>vilkår og betingelser:</w:t>
      </w:r>
    </w:p>
    <w:p w14:paraId="402069AC" w14:textId="77777777" w:rsidR="00B45A3A" w:rsidRPr="004749C0" w:rsidRDefault="00B45A3A" w:rsidP="005E13EC"/>
    <w:tbl>
      <w:tblPr>
        <w:tblStyle w:val="TableGrid"/>
        <w:tblW w:w="8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811"/>
      </w:tblGrid>
      <w:tr w:rsidR="00E2024F" w:rsidRPr="004749C0" w14:paraId="65571E37" w14:textId="77777777" w:rsidTr="005D3F46">
        <w:tc>
          <w:tcPr>
            <w:tcW w:w="2410" w:type="dxa"/>
            <w:vAlign w:val="center"/>
          </w:tcPr>
          <w:p w14:paraId="696B1693" w14:textId="4AB50686"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11. december 2025</w:t>
            </w:r>
          </w:p>
        </w:tc>
        <w:tc>
          <w:tcPr>
            <w:tcW w:w="5811" w:type="dxa"/>
            <w:vAlign w:val="center"/>
          </w:tcPr>
          <w:p w14:paraId="4C4DF259" w14:textId="1DC818ED"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 xml:space="preserve">Meddelelse fra Tilbudsgiver om sin beslutning om at fremsætte Tilbuddet til </w:t>
            </w:r>
            <w:r w:rsidR="00E62516">
              <w:rPr>
                <w:rFonts w:eastAsiaTheme="minorHAnsi"/>
                <w:szCs w:val="22"/>
                <w:lang w:eastAsia="en-US"/>
              </w:rPr>
              <w:t>a</w:t>
            </w:r>
            <w:r>
              <w:rPr>
                <w:rFonts w:eastAsiaTheme="minorHAnsi"/>
                <w:szCs w:val="22"/>
                <w:lang w:eastAsia="en-US"/>
              </w:rPr>
              <w:t xml:space="preserve">ktionærerne. </w:t>
            </w:r>
          </w:p>
        </w:tc>
      </w:tr>
      <w:tr w:rsidR="00E2024F" w:rsidRPr="004749C0" w14:paraId="31B00969" w14:textId="77777777" w:rsidTr="005D3F46">
        <w:tc>
          <w:tcPr>
            <w:tcW w:w="2410" w:type="dxa"/>
            <w:vAlign w:val="center"/>
          </w:tcPr>
          <w:p w14:paraId="5A2F14AC" w14:textId="2070F233"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7. januar 2026</w:t>
            </w:r>
          </w:p>
        </w:tc>
        <w:tc>
          <w:tcPr>
            <w:tcW w:w="5811" w:type="dxa"/>
            <w:vAlign w:val="center"/>
          </w:tcPr>
          <w:p w14:paraId="5B38EB84" w14:textId="38A2000F"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Offentliggørelse af Tilbudsdokument</w:t>
            </w:r>
            <w:r w:rsidR="00BC5BFF">
              <w:rPr>
                <w:rFonts w:eastAsiaTheme="minorHAnsi"/>
                <w:szCs w:val="22"/>
                <w:lang w:eastAsia="en-US"/>
              </w:rPr>
              <w:t>et</w:t>
            </w:r>
            <w:r>
              <w:rPr>
                <w:rFonts w:eastAsiaTheme="minorHAnsi"/>
                <w:szCs w:val="22"/>
                <w:lang w:eastAsia="en-US"/>
              </w:rPr>
              <w:t xml:space="preserve"> og påbegyndelse af Tilbudsperioden. </w:t>
            </w:r>
          </w:p>
        </w:tc>
      </w:tr>
      <w:tr w:rsidR="00E2024F" w:rsidRPr="004749C0" w14:paraId="75D4DEE1" w14:textId="77777777" w:rsidTr="005D3F46">
        <w:tc>
          <w:tcPr>
            <w:tcW w:w="2410" w:type="dxa"/>
            <w:vAlign w:val="center"/>
          </w:tcPr>
          <w:p w14:paraId="4965CE8C" w14:textId="60ADA877"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t>28. januar 2026</w:t>
            </w:r>
          </w:p>
        </w:tc>
        <w:tc>
          <w:tcPr>
            <w:tcW w:w="5811" w:type="dxa"/>
            <w:vAlign w:val="center"/>
          </w:tcPr>
          <w:p w14:paraId="61B19CAF" w14:textId="64BED9D2"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 xml:space="preserve">Sidste dag for </w:t>
            </w:r>
            <w:r w:rsidR="00E62516">
              <w:rPr>
                <w:rFonts w:eastAsiaTheme="minorHAnsi"/>
                <w:szCs w:val="22"/>
                <w:lang w:eastAsia="en-US"/>
              </w:rPr>
              <w:t>o</w:t>
            </w:r>
            <w:r>
              <w:rPr>
                <w:rFonts w:eastAsiaTheme="minorHAnsi"/>
                <w:szCs w:val="22"/>
                <w:lang w:eastAsia="en-US"/>
              </w:rPr>
              <w:t xml:space="preserve">ffentliggørelse af Bestyrelsens Redegørelse. </w:t>
            </w:r>
          </w:p>
        </w:tc>
      </w:tr>
      <w:tr w:rsidR="00E2024F" w:rsidRPr="004749C0" w14:paraId="7E771D93" w14:textId="77777777" w:rsidTr="005D3F46">
        <w:tc>
          <w:tcPr>
            <w:tcW w:w="2410" w:type="dxa"/>
            <w:vAlign w:val="center"/>
          </w:tcPr>
          <w:p w14:paraId="027760DE" w14:textId="39E91F22"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lastRenderedPageBreak/>
              <w:t>18. februar 2026, kl. 23</w:t>
            </w:r>
            <w:r w:rsidR="00BC5BFF">
              <w:rPr>
                <w:rFonts w:eastAsiaTheme="minorHAnsi"/>
              </w:rPr>
              <w:t>.</w:t>
            </w:r>
            <w:r>
              <w:rPr>
                <w:rFonts w:eastAsiaTheme="minorHAnsi"/>
                <w:szCs w:val="22"/>
                <w:lang w:eastAsia="en-US"/>
              </w:rPr>
              <w:t>59</w:t>
            </w:r>
          </w:p>
        </w:tc>
        <w:tc>
          <w:tcPr>
            <w:tcW w:w="5811" w:type="dxa"/>
            <w:vAlign w:val="center"/>
          </w:tcPr>
          <w:p w14:paraId="38CBD354" w14:textId="2671AE44"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 xml:space="preserve">Forventet udløb af Tilbudsperioden (med forbehold for forlængelse af Tilbudsperioden og under forudsætning af, at Tilbudsgiver ikke tilbagekalder </w:t>
            </w:r>
            <w:r w:rsidR="00F20964">
              <w:rPr>
                <w:rFonts w:eastAsiaTheme="minorHAnsi"/>
                <w:szCs w:val="22"/>
                <w:lang w:eastAsia="en-US"/>
              </w:rPr>
              <w:t xml:space="preserve">Tilbuddet </w:t>
            </w:r>
            <w:r>
              <w:rPr>
                <w:rFonts w:eastAsiaTheme="minorHAnsi"/>
                <w:szCs w:val="22"/>
                <w:lang w:eastAsia="en-US"/>
              </w:rPr>
              <w:t xml:space="preserve">i overensstemmelse med </w:t>
            </w:r>
            <w:r w:rsidR="00E62516">
              <w:rPr>
                <w:rFonts w:eastAsiaTheme="minorHAnsi"/>
                <w:szCs w:val="22"/>
                <w:lang w:eastAsia="en-US"/>
              </w:rPr>
              <w:t>b</w:t>
            </w:r>
            <w:r>
              <w:rPr>
                <w:rFonts w:eastAsiaTheme="minorHAnsi"/>
                <w:szCs w:val="22"/>
                <w:lang w:eastAsia="en-US"/>
              </w:rPr>
              <w:t xml:space="preserve">etingelserne for Tilbuddet). </w:t>
            </w:r>
          </w:p>
        </w:tc>
      </w:tr>
      <w:tr w:rsidR="00E2024F" w:rsidRPr="004749C0" w14:paraId="2CEFC5A4" w14:textId="77777777" w:rsidTr="005D3F46">
        <w:tc>
          <w:tcPr>
            <w:tcW w:w="2410" w:type="dxa"/>
            <w:vAlign w:val="center"/>
          </w:tcPr>
          <w:p w14:paraId="3AB67C00" w14:textId="3F5C3EEE"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t>19. februar 2026, kl. 17</w:t>
            </w:r>
            <w:r w:rsidR="00BC5BFF">
              <w:rPr>
                <w:rFonts w:eastAsiaTheme="minorHAnsi"/>
                <w:szCs w:val="22"/>
                <w:lang w:eastAsia="en-US"/>
              </w:rPr>
              <w:t>.</w:t>
            </w:r>
            <w:r>
              <w:rPr>
                <w:rFonts w:eastAsiaTheme="minorHAnsi"/>
                <w:szCs w:val="22"/>
                <w:lang w:eastAsia="en-US"/>
              </w:rPr>
              <w:t>59</w:t>
            </w:r>
          </w:p>
        </w:tc>
        <w:tc>
          <w:tcPr>
            <w:tcW w:w="5811" w:type="dxa"/>
            <w:vAlign w:val="center"/>
          </w:tcPr>
          <w:p w14:paraId="05BFDF8D" w14:textId="1210886A"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 xml:space="preserve">Offentliggørelse af foreløbige resultater af Tilbuddet (eller alternativt den seneste meddelelse om forlængelse af Tilbudsperioden eller tilbagekaldelse af Tilbuddet). </w:t>
            </w:r>
          </w:p>
        </w:tc>
      </w:tr>
      <w:tr w:rsidR="00E2024F" w:rsidRPr="004749C0" w14:paraId="2911C93B" w14:textId="77777777" w:rsidTr="005D3F46">
        <w:tc>
          <w:tcPr>
            <w:tcW w:w="2410" w:type="dxa"/>
            <w:vAlign w:val="center"/>
          </w:tcPr>
          <w:p w14:paraId="057DFEDF" w14:textId="1F4DF718"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t>23. februar 2026</w:t>
            </w:r>
          </w:p>
        </w:tc>
        <w:tc>
          <w:tcPr>
            <w:tcW w:w="5811" w:type="dxa"/>
            <w:vAlign w:val="center"/>
          </w:tcPr>
          <w:p w14:paraId="4DA75FC4" w14:textId="0BE3A77D"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 xml:space="preserve">Seneste forventede meddelelse om det endelige resultat af Tilbuddet </w:t>
            </w:r>
            <w:r w:rsidRPr="00E2024F">
              <w:rPr>
                <w:rFonts w:eastAsiaTheme="minorHAnsi"/>
                <w:szCs w:val="22"/>
                <w:lang w:eastAsia="en-US"/>
              </w:rPr>
              <w:t xml:space="preserve">(forudsat at </w:t>
            </w:r>
            <w:r>
              <w:rPr>
                <w:rFonts w:eastAsiaTheme="minorHAnsi"/>
                <w:szCs w:val="22"/>
                <w:lang w:eastAsia="en-US"/>
              </w:rPr>
              <w:t>T</w:t>
            </w:r>
            <w:r w:rsidRPr="00E2024F">
              <w:rPr>
                <w:rFonts w:eastAsiaTheme="minorHAnsi"/>
                <w:szCs w:val="22"/>
                <w:lang w:eastAsia="en-US"/>
              </w:rPr>
              <w:t>ilbudsperioden ikke forlænges)</w:t>
            </w:r>
            <w:r>
              <w:rPr>
                <w:rFonts w:eastAsiaTheme="minorHAnsi"/>
                <w:szCs w:val="22"/>
                <w:lang w:eastAsia="en-US"/>
              </w:rPr>
              <w:t xml:space="preserve">. </w:t>
            </w:r>
          </w:p>
        </w:tc>
      </w:tr>
      <w:tr w:rsidR="00E2024F" w:rsidRPr="004749C0" w14:paraId="43F6A381" w14:textId="77777777" w:rsidTr="005D3F46">
        <w:tc>
          <w:tcPr>
            <w:tcW w:w="2410" w:type="dxa"/>
            <w:vAlign w:val="center"/>
          </w:tcPr>
          <w:p w14:paraId="2A61ACE9" w14:textId="379D1BE9"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t>25. februar 2026</w:t>
            </w:r>
          </w:p>
        </w:tc>
        <w:tc>
          <w:tcPr>
            <w:tcW w:w="5811" w:type="dxa"/>
            <w:vAlign w:val="center"/>
          </w:tcPr>
          <w:p w14:paraId="00331D45" w14:textId="0AFF7123"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 xml:space="preserve">Seneste forventede dag for afregning af Tilbudskursen pr. Aktie til Aktionærer, der har accepteret Tilbuddet </w:t>
            </w:r>
            <w:r w:rsidRPr="00E2024F">
              <w:rPr>
                <w:rFonts w:eastAsiaTheme="minorHAnsi"/>
                <w:szCs w:val="22"/>
                <w:lang w:eastAsia="en-US"/>
              </w:rPr>
              <w:t xml:space="preserve">(forudsat at </w:t>
            </w:r>
            <w:r>
              <w:rPr>
                <w:rFonts w:eastAsiaTheme="minorHAnsi"/>
                <w:szCs w:val="22"/>
                <w:lang w:eastAsia="en-US"/>
              </w:rPr>
              <w:t>T</w:t>
            </w:r>
            <w:r w:rsidRPr="00E2024F">
              <w:rPr>
                <w:rFonts w:eastAsiaTheme="minorHAnsi"/>
                <w:szCs w:val="22"/>
                <w:lang w:eastAsia="en-US"/>
              </w:rPr>
              <w:t>ilbudsperioden ikke forlænges)</w:t>
            </w:r>
            <w:r>
              <w:rPr>
                <w:rFonts w:eastAsiaTheme="minorHAnsi"/>
                <w:szCs w:val="22"/>
                <w:lang w:eastAsia="en-US"/>
              </w:rPr>
              <w:t xml:space="preserve">. </w:t>
            </w:r>
          </w:p>
        </w:tc>
      </w:tr>
      <w:tr w:rsidR="00E2024F" w:rsidRPr="004749C0" w14:paraId="2D7A57AD" w14:textId="77777777" w:rsidTr="005D3F46">
        <w:tc>
          <w:tcPr>
            <w:tcW w:w="2410" w:type="dxa"/>
            <w:vAlign w:val="center"/>
          </w:tcPr>
          <w:p w14:paraId="67EB519F" w14:textId="04A40018"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highlight w:val="darkGray"/>
                <w:lang w:eastAsia="en-US"/>
              </w:rPr>
            </w:pPr>
            <w:r>
              <w:rPr>
                <w:rFonts w:eastAsiaTheme="minorHAnsi"/>
                <w:szCs w:val="22"/>
                <w:lang w:eastAsia="en-US"/>
              </w:rPr>
              <w:t>25. februar 2026</w:t>
            </w:r>
          </w:p>
        </w:tc>
        <w:tc>
          <w:tcPr>
            <w:tcW w:w="5811" w:type="dxa"/>
            <w:vAlign w:val="center"/>
          </w:tcPr>
          <w:p w14:paraId="49A72D1C" w14:textId="67A1183D" w:rsidR="00E2024F" w:rsidRPr="004749C0" w:rsidRDefault="00E2024F" w:rsidP="00E2024F">
            <w:pPr>
              <w:tabs>
                <w:tab w:val="clear" w:pos="851"/>
                <w:tab w:val="clear" w:pos="1701"/>
                <w:tab w:val="clear" w:pos="2552"/>
                <w:tab w:val="clear" w:pos="3402"/>
                <w:tab w:val="clear" w:pos="4253"/>
                <w:tab w:val="clear" w:pos="5103"/>
                <w:tab w:val="clear" w:pos="5954"/>
                <w:tab w:val="clear" w:pos="6804"/>
                <w:tab w:val="clear" w:pos="7655"/>
                <w:tab w:val="clear" w:pos="8505"/>
              </w:tabs>
              <w:spacing w:line="320" w:lineRule="exact"/>
              <w:jc w:val="left"/>
              <w:rPr>
                <w:rFonts w:eastAsiaTheme="minorHAnsi"/>
                <w:b/>
                <w:bCs/>
                <w:szCs w:val="22"/>
                <w:lang w:eastAsia="en-US"/>
              </w:rPr>
            </w:pPr>
            <w:r>
              <w:rPr>
                <w:rFonts w:eastAsiaTheme="minorHAnsi"/>
                <w:szCs w:val="22"/>
                <w:lang w:eastAsia="en-US"/>
              </w:rPr>
              <w:t>Seneste dato, hvor Tilbudskursen pr. Aktie til Aktionærer, der har accepteret Tilbuddet, forventes at være tilgængelig på de accepterende Aktionærers bankkonto</w:t>
            </w:r>
            <w:r w:rsidR="00E62516">
              <w:rPr>
                <w:rStyle w:val="FootnoteReference"/>
                <w:rFonts w:eastAsiaTheme="minorHAnsi"/>
                <w:szCs w:val="22"/>
                <w:lang w:eastAsia="en-US"/>
              </w:rPr>
              <w:footnoteReference w:id="3"/>
            </w:r>
            <w:r>
              <w:rPr>
                <w:rFonts w:eastAsiaTheme="minorHAnsi"/>
                <w:szCs w:val="22"/>
                <w:lang w:eastAsia="en-US"/>
              </w:rPr>
              <w:t xml:space="preserve"> </w:t>
            </w:r>
            <w:r w:rsidRPr="00E2024F">
              <w:rPr>
                <w:rFonts w:eastAsiaTheme="minorHAnsi"/>
                <w:szCs w:val="22"/>
                <w:lang w:eastAsia="en-US"/>
              </w:rPr>
              <w:t xml:space="preserve">(forudsat at </w:t>
            </w:r>
            <w:r>
              <w:rPr>
                <w:rFonts w:eastAsiaTheme="minorHAnsi"/>
                <w:szCs w:val="22"/>
                <w:lang w:eastAsia="en-US"/>
              </w:rPr>
              <w:t>T</w:t>
            </w:r>
            <w:r w:rsidRPr="00E2024F">
              <w:rPr>
                <w:rFonts w:eastAsiaTheme="minorHAnsi"/>
                <w:szCs w:val="22"/>
                <w:lang w:eastAsia="en-US"/>
              </w:rPr>
              <w:t>ilbudsperioden ikke forlænges).</w:t>
            </w:r>
          </w:p>
        </w:tc>
      </w:tr>
    </w:tbl>
    <w:p w14:paraId="70642256" w14:textId="77777777" w:rsidR="00B45A3A" w:rsidRDefault="00B45A3A" w:rsidP="005E13EC"/>
    <w:p w14:paraId="16FA943D" w14:textId="1DDD6F60" w:rsidR="00E62516" w:rsidRPr="0072631A" w:rsidRDefault="00E62516" w:rsidP="005E13EC">
      <w:pPr>
        <w:rPr>
          <w:b/>
          <w:bCs/>
        </w:rPr>
      </w:pPr>
      <w:r w:rsidRPr="0072631A">
        <w:rPr>
          <w:b/>
          <w:bCs/>
        </w:rPr>
        <w:t>Accept</w:t>
      </w:r>
    </w:p>
    <w:p w14:paraId="2EAC23F8" w14:textId="5D7931A2" w:rsidR="00E62516" w:rsidRDefault="00E62516" w:rsidP="005E13EC">
      <w:r w:rsidRPr="00E62516">
        <w:t xml:space="preserve">Tilbuddet kan accepteres af </w:t>
      </w:r>
      <w:r>
        <w:t>Nilfisk</w:t>
      </w:r>
      <w:r w:rsidR="00BC5BFF">
        <w:t>s</w:t>
      </w:r>
      <w:r w:rsidRPr="00E62516">
        <w:t xml:space="preserve"> aktionærer på de vilkår og betingelser, der er angivet i Tilbudsdokumentet.</w:t>
      </w:r>
    </w:p>
    <w:p w14:paraId="0C3D4D24" w14:textId="77777777" w:rsidR="00E62516" w:rsidRDefault="00E62516" w:rsidP="005E13EC"/>
    <w:p w14:paraId="3A5C9383" w14:textId="4CD04322" w:rsidR="00E62516" w:rsidRDefault="00E62516" w:rsidP="005E13EC">
      <w:r w:rsidRPr="00E62516">
        <w:t xml:space="preserve">Accept af Tilbuddet skal være modtaget af Danske Bank </w:t>
      </w:r>
      <w:r>
        <w:t xml:space="preserve">A/S </w:t>
      </w:r>
      <w:r w:rsidRPr="00E62516">
        <w:t xml:space="preserve">via </w:t>
      </w:r>
      <w:r>
        <w:t>Nilfisk</w:t>
      </w:r>
      <w:r w:rsidR="00BC5BFF">
        <w:t>s</w:t>
      </w:r>
      <w:r>
        <w:t xml:space="preserve"> a</w:t>
      </w:r>
      <w:r w:rsidRPr="00E62516">
        <w:t>ktionære</w:t>
      </w:r>
      <w:r>
        <w:t>r</w:t>
      </w:r>
      <w:r w:rsidRPr="00E62516">
        <w:t xml:space="preserve">s eget </w:t>
      </w:r>
      <w:r>
        <w:t>k</w:t>
      </w:r>
      <w:r w:rsidRPr="00E62516">
        <w:t xml:space="preserve">ontoførende </w:t>
      </w:r>
      <w:r>
        <w:t>i</w:t>
      </w:r>
      <w:r w:rsidRPr="00E62516">
        <w:t xml:space="preserve">nstitut eller et andet kontoførende institut inden Tilbudsperiodens udløb. Aktionærer, der ønsker at acceptere Tilbuddet, bedes acceptere Tilbuddet online via deres </w:t>
      </w:r>
      <w:r>
        <w:t>k</w:t>
      </w:r>
      <w:r w:rsidRPr="00E62516">
        <w:t xml:space="preserve">ontoførende </w:t>
      </w:r>
      <w:r>
        <w:t>i</w:t>
      </w:r>
      <w:r w:rsidRPr="00E62516">
        <w:t xml:space="preserve">nstituts </w:t>
      </w:r>
      <w:proofErr w:type="spellStart"/>
      <w:r w:rsidRPr="00E62516">
        <w:t>netbankløsning</w:t>
      </w:r>
      <w:proofErr w:type="spellEnd"/>
      <w:r w:rsidRPr="00E62516">
        <w:t xml:space="preserve"> eller bruge acceptformularen, der er vedlagt </w:t>
      </w:r>
      <w:r>
        <w:t>T</w:t>
      </w:r>
      <w:r w:rsidRPr="00E62516">
        <w:t xml:space="preserve">ilbudsdokumentet som </w:t>
      </w:r>
      <w:r>
        <w:t>B</w:t>
      </w:r>
      <w:r w:rsidRPr="00E62516">
        <w:t>ilag A.</w:t>
      </w:r>
    </w:p>
    <w:p w14:paraId="70BE7E2C" w14:textId="77777777" w:rsidR="00E62516" w:rsidRDefault="00E62516" w:rsidP="00BB2FEC">
      <w:pPr>
        <w:rPr>
          <w:b/>
          <w:bCs/>
        </w:rPr>
      </w:pPr>
    </w:p>
    <w:p w14:paraId="0FFB2E9A" w14:textId="36EF49FB" w:rsidR="00E62516" w:rsidRPr="0072631A" w:rsidRDefault="00E62516" w:rsidP="00E62516">
      <w:r>
        <w:t>Nilfisk</w:t>
      </w:r>
      <w:r w:rsidR="00BC5BFF">
        <w:t>s</w:t>
      </w:r>
      <w:r>
        <w:t xml:space="preserve"> a</w:t>
      </w:r>
      <w:r w:rsidRPr="0072631A">
        <w:t xml:space="preserve">ktionærer bedes bemærke, at accept af Tilbuddet skal meddeles </w:t>
      </w:r>
      <w:r>
        <w:t>a</w:t>
      </w:r>
      <w:r w:rsidRPr="0072631A">
        <w:t xml:space="preserve">ktionærens eget </w:t>
      </w:r>
      <w:r>
        <w:t>k</w:t>
      </w:r>
      <w:r w:rsidRPr="0072631A">
        <w:t xml:space="preserve">ontoførende </w:t>
      </w:r>
      <w:r>
        <w:t>i</w:t>
      </w:r>
      <w:r w:rsidRPr="0072631A">
        <w:t>nstitut eller et andet kontoførende institut tids nok til, at det kontoførende institut kan behandle og videreformidle accepten til Danske Bank</w:t>
      </w:r>
      <w:r>
        <w:t xml:space="preserve"> A/S</w:t>
      </w:r>
      <w:r w:rsidRPr="0072631A">
        <w:t>, som skal have modtaget accepten inden udløbet af Tilbudsperioden den 18. februar 2026 kl. 23.59 (CET</w:t>
      </w:r>
      <w:r>
        <w:t>.</w:t>
      </w:r>
    </w:p>
    <w:p w14:paraId="36C28AC4" w14:textId="77777777" w:rsidR="00E62516" w:rsidRPr="004749C0" w:rsidRDefault="00E62516" w:rsidP="00BB2FEC">
      <w:pPr>
        <w:rPr>
          <w:b/>
          <w:bCs/>
        </w:rPr>
      </w:pPr>
    </w:p>
    <w:p w14:paraId="716CBD6F" w14:textId="5E068FBA" w:rsidR="00E62516" w:rsidRPr="00E62516" w:rsidRDefault="00E62516" w:rsidP="00E62516">
      <w:pPr>
        <w:rPr>
          <w:b/>
        </w:rPr>
      </w:pPr>
      <w:r w:rsidRPr="00E62516">
        <w:t xml:space="preserve">Fristen for meddelelse om accept til hvert </w:t>
      </w:r>
      <w:r>
        <w:t>k</w:t>
      </w:r>
      <w:r w:rsidRPr="00E62516">
        <w:t xml:space="preserve">ontoførende </w:t>
      </w:r>
      <w:r>
        <w:t>i</w:t>
      </w:r>
      <w:r w:rsidRPr="00E62516">
        <w:t xml:space="preserve">nstitut eller et andet kontoførende institut afhænger af den enkelte </w:t>
      </w:r>
      <w:r>
        <w:t>a</w:t>
      </w:r>
      <w:r w:rsidRPr="00E62516">
        <w:t xml:space="preserve">ktionærs aftale med sit </w:t>
      </w:r>
      <w:r>
        <w:t>k</w:t>
      </w:r>
      <w:r w:rsidRPr="00E62516">
        <w:t xml:space="preserve">ontoførende </w:t>
      </w:r>
      <w:r>
        <w:t>i</w:t>
      </w:r>
      <w:r w:rsidRPr="00E62516">
        <w:t>nstitut eller et andet kontoførende institut samt de relevante kontoførende institutters regler og procedurer og kan være tidligere end den sidste dag i Tilbudsperioden.</w:t>
      </w:r>
    </w:p>
    <w:p w14:paraId="7EE99168" w14:textId="77777777" w:rsidR="00955624" w:rsidRPr="004749C0" w:rsidRDefault="00955624" w:rsidP="00BB2FEC"/>
    <w:p w14:paraId="4C46A33F" w14:textId="77777777" w:rsidR="00786ECA" w:rsidRPr="0072631A" w:rsidRDefault="00786ECA" w:rsidP="00BB2FEC">
      <w:pPr>
        <w:rPr>
          <w:rFonts w:eastAsiaTheme="minorHAnsi"/>
          <w:b/>
          <w:bCs/>
          <w:szCs w:val="22"/>
          <w:lang w:eastAsia="en-US"/>
        </w:rPr>
      </w:pPr>
      <w:r w:rsidRPr="0072631A">
        <w:rPr>
          <w:rFonts w:eastAsiaTheme="minorHAnsi"/>
          <w:b/>
          <w:bCs/>
          <w:szCs w:val="22"/>
          <w:lang w:eastAsia="en-US"/>
        </w:rPr>
        <w:lastRenderedPageBreak/>
        <w:t xml:space="preserve">Om Freudenberg-koncernen </w:t>
      </w:r>
    </w:p>
    <w:p w14:paraId="0280C6DE" w14:textId="77777777" w:rsidR="003B0F9F" w:rsidRDefault="00786ECA" w:rsidP="00BB2FEC">
      <w:pPr>
        <w:rPr>
          <w:rFonts w:eastAsiaTheme="minorHAnsi"/>
          <w:szCs w:val="22"/>
          <w:lang w:eastAsia="en-US"/>
        </w:rPr>
      </w:pPr>
      <w:r w:rsidRPr="00786ECA">
        <w:rPr>
          <w:rFonts w:eastAsiaTheme="minorHAnsi"/>
          <w:szCs w:val="22"/>
          <w:lang w:eastAsia="en-US"/>
        </w:rPr>
        <w:t xml:space="preserve">Freudenberg-koncernen er en familieejet global teknologikoncern, der blev grundlagt i 1849 og har hovedkvarter i </w:t>
      </w:r>
      <w:proofErr w:type="spellStart"/>
      <w:r w:rsidRPr="00786ECA">
        <w:rPr>
          <w:rFonts w:eastAsiaTheme="minorHAnsi"/>
          <w:szCs w:val="22"/>
          <w:lang w:eastAsia="en-US"/>
        </w:rPr>
        <w:t>Weinheim</w:t>
      </w:r>
      <w:proofErr w:type="spellEnd"/>
      <w:r w:rsidRPr="00786ECA">
        <w:rPr>
          <w:rFonts w:eastAsiaTheme="minorHAnsi"/>
          <w:szCs w:val="22"/>
          <w:lang w:eastAsia="en-US"/>
        </w:rPr>
        <w:t xml:space="preserve">, Tyskland. Freudenberg-koncernen opererer gennem en dobbelt </w:t>
      </w:r>
      <w:proofErr w:type="spellStart"/>
      <w:r w:rsidRPr="00786ECA">
        <w:rPr>
          <w:rFonts w:eastAsiaTheme="minorHAnsi"/>
          <w:szCs w:val="22"/>
          <w:lang w:eastAsia="en-US"/>
        </w:rPr>
        <w:t>holdingstruktur</w:t>
      </w:r>
      <w:proofErr w:type="spellEnd"/>
      <w:r w:rsidRPr="00786ECA">
        <w:rPr>
          <w:rFonts w:eastAsiaTheme="minorHAnsi"/>
          <w:szCs w:val="22"/>
          <w:lang w:eastAsia="en-US"/>
        </w:rPr>
        <w:t xml:space="preserve">, der blev etableret i 2012 for at skabe en enklere og mere gennemsigtig virksomhedsledelse. Freudenberg &amp; Co. Kommanditgesellschaft fungerer som det strategiske moderselskab, som ejer familiens aktier, mens Freudenberg SE fungerer som det operative moderselskab, der er ansvarligt for at lede driften i hele Freudenberg-koncernen. </w:t>
      </w:r>
    </w:p>
    <w:p w14:paraId="37A15A6B" w14:textId="77777777" w:rsidR="003B0F9F" w:rsidRDefault="003B0F9F" w:rsidP="00BB2FEC">
      <w:pPr>
        <w:rPr>
          <w:rFonts w:eastAsiaTheme="minorHAnsi"/>
          <w:szCs w:val="22"/>
          <w:lang w:eastAsia="en-US"/>
        </w:rPr>
      </w:pPr>
    </w:p>
    <w:p w14:paraId="0E07ACAB" w14:textId="77777777" w:rsidR="003B0F9F" w:rsidRDefault="00786ECA" w:rsidP="00BB2FEC">
      <w:pPr>
        <w:rPr>
          <w:rFonts w:eastAsiaTheme="minorHAnsi"/>
          <w:szCs w:val="22"/>
          <w:lang w:eastAsia="en-US"/>
        </w:rPr>
      </w:pPr>
      <w:r w:rsidRPr="00786ECA">
        <w:rPr>
          <w:rFonts w:eastAsiaTheme="minorHAnsi"/>
          <w:szCs w:val="22"/>
          <w:lang w:eastAsia="en-US"/>
        </w:rPr>
        <w:t xml:space="preserve">Med mere end 50.000 medarbejdere på verdensplan opererer Freudenberg-koncernen gennem uafhængige forretningsgrupper på tværs af forskellige teknologisektorer, der er aktive i ca. fyrre (40) markedssegmenter og tusindvis af applikationer. Freudenberg-koncernens forskellige forretningsgrupper opererer på tværs af forskellige sektorer, herunder tætningsteknologier, performancematerialer, kemiske specialiteter, medicinsk teknologi, løsninger til hjemmet og rengøring, filtreringsteknologier, vibrationskontrol, energisystemer, mekaniske tætninger samt olie- og gasteknologier. </w:t>
      </w:r>
    </w:p>
    <w:p w14:paraId="7836D28F" w14:textId="77777777" w:rsidR="003B0F9F" w:rsidRDefault="003B0F9F" w:rsidP="00BB2FEC">
      <w:pPr>
        <w:rPr>
          <w:rFonts w:eastAsiaTheme="minorHAnsi"/>
          <w:szCs w:val="22"/>
          <w:lang w:eastAsia="en-US"/>
        </w:rPr>
      </w:pPr>
    </w:p>
    <w:p w14:paraId="6EDC0579" w14:textId="284FD0AC" w:rsidR="00786ECA" w:rsidRDefault="00786ECA" w:rsidP="00BB2FEC">
      <w:pPr>
        <w:rPr>
          <w:rFonts w:eastAsiaTheme="minorHAnsi"/>
          <w:szCs w:val="22"/>
          <w:lang w:eastAsia="en-US"/>
        </w:rPr>
      </w:pPr>
      <w:r w:rsidRPr="00786ECA">
        <w:rPr>
          <w:rFonts w:eastAsiaTheme="minorHAnsi"/>
          <w:szCs w:val="22"/>
          <w:lang w:eastAsia="en-US"/>
        </w:rPr>
        <w:t xml:space="preserve">I 2024 opnåede Freudenberg-koncernen en omsætning på EUR 11.947,5 mio. med et driftsresultat på EUR 1.132,4 mio., hvilket svarer til en driftsmargin på 9,5 </w:t>
      </w:r>
      <w:r w:rsidR="00FB3091">
        <w:rPr>
          <w:rFonts w:eastAsiaTheme="minorHAnsi"/>
          <w:szCs w:val="22"/>
          <w:lang w:eastAsia="en-US"/>
        </w:rPr>
        <w:t>procent</w:t>
      </w:r>
      <w:r w:rsidR="00FB3091" w:rsidRPr="00786ECA">
        <w:rPr>
          <w:rFonts w:eastAsiaTheme="minorHAnsi"/>
          <w:szCs w:val="22"/>
          <w:lang w:eastAsia="en-US"/>
        </w:rPr>
        <w:t xml:space="preserve">. </w:t>
      </w:r>
      <w:r w:rsidRPr="00786ECA">
        <w:rPr>
          <w:rFonts w:eastAsiaTheme="minorHAnsi"/>
          <w:szCs w:val="22"/>
          <w:lang w:eastAsia="en-US"/>
        </w:rPr>
        <w:t xml:space="preserve">Freudenberg-koncernen har en stærk finansiel position med en egenkapitalandel på 56,8 </w:t>
      </w:r>
      <w:r w:rsidR="00FB3091">
        <w:rPr>
          <w:rFonts w:eastAsiaTheme="minorHAnsi"/>
          <w:szCs w:val="22"/>
          <w:lang w:eastAsia="en-US"/>
        </w:rPr>
        <w:t>procent</w:t>
      </w:r>
      <w:r w:rsidR="00FB3091" w:rsidRPr="00786ECA">
        <w:rPr>
          <w:rFonts w:eastAsiaTheme="minorHAnsi"/>
          <w:szCs w:val="22"/>
          <w:lang w:eastAsia="en-US"/>
        </w:rPr>
        <w:t xml:space="preserve"> </w:t>
      </w:r>
      <w:r w:rsidRPr="00786ECA">
        <w:rPr>
          <w:rFonts w:eastAsiaTheme="minorHAnsi"/>
          <w:szCs w:val="22"/>
          <w:lang w:eastAsia="en-US"/>
        </w:rPr>
        <w:t xml:space="preserve">og fortsætter sit engagement i innovation med en investering på EUR 604,4 mio. i forskning og udvikling. Nøgleinnovationer, der driver fremtidig vækst, omfatter avancerede tætningsteknologier til elektriske køretøjer, bæredygtige filtreringsløsninger og digitaliseringsinitiativer såsom intelligente tætningssensorer til prædiktiv vedligeholdelse. </w:t>
      </w:r>
    </w:p>
    <w:p w14:paraId="30A1878E" w14:textId="77777777" w:rsidR="00786ECA" w:rsidRDefault="00786ECA" w:rsidP="00BB2FEC">
      <w:pPr>
        <w:rPr>
          <w:rFonts w:eastAsiaTheme="minorHAnsi"/>
          <w:szCs w:val="22"/>
          <w:lang w:eastAsia="en-US"/>
        </w:rPr>
      </w:pPr>
    </w:p>
    <w:p w14:paraId="1B0A44FB" w14:textId="6511B7C6" w:rsidR="00786ECA" w:rsidRDefault="00786ECA" w:rsidP="00BB2FEC">
      <w:pPr>
        <w:rPr>
          <w:rFonts w:eastAsiaTheme="minorHAnsi"/>
          <w:szCs w:val="22"/>
          <w:lang w:eastAsia="en-US"/>
        </w:rPr>
      </w:pPr>
      <w:r w:rsidRPr="00786ECA">
        <w:rPr>
          <w:rFonts w:eastAsiaTheme="minorHAnsi"/>
          <w:szCs w:val="22"/>
          <w:lang w:eastAsia="en-US"/>
        </w:rPr>
        <w:t xml:space="preserve">For yderligere information henvises til </w:t>
      </w:r>
      <w:hyperlink r:id="rId13" w:history="1">
        <w:r w:rsidRPr="00DE1B36">
          <w:rPr>
            <w:rStyle w:val="Hyperlink"/>
            <w:rFonts w:eastAsiaTheme="minorHAnsi"/>
            <w:szCs w:val="22"/>
            <w:lang w:eastAsia="en-US"/>
          </w:rPr>
          <w:t>www.freudenberg.com</w:t>
        </w:r>
      </w:hyperlink>
      <w:r w:rsidRPr="00786ECA">
        <w:rPr>
          <w:rFonts w:eastAsiaTheme="minorHAnsi"/>
          <w:szCs w:val="22"/>
          <w:lang w:eastAsia="en-US"/>
        </w:rPr>
        <w:t>.</w:t>
      </w:r>
    </w:p>
    <w:p w14:paraId="512EF8FE" w14:textId="77777777" w:rsidR="00786ECA" w:rsidRDefault="00786ECA" w:rsidP="00BB2FEC">
      <w:pPr>
        <w:rPr>
          <w:rFonts w:eastAsiaTheme="minorHAnsi"/>
          <w:szCs w:val="22"/>
          <w:lang w:eastAsia="en-US"/>
        </w:rPr>
      </w:pPr>
    </w:p>
    <w:p w14:paraId="54E33F58" w14:textId="19052948" w:rsidR="00786ECA" w:rsidRPr="0072631A" w:rsidRDefault="00786ECA" w:rsidP="00BB2FEC">
      <w:pPr>
        <w:rPr>
          <w:rFonts w:eastAsiaTheme="minorHAnsi"/>
          <w:b/>
          <w:bCs/>
          <w:szCs w:val="22"/>
          <w:lang w:eastAsia="en-US"/>
        </w:rPr>
      </w:pPr>
      <w:r w:rsidRPr="0072631A">
        <w:rPr>
          <w:rFonts w:eastAsiaTheme="minorHAnsi"/>
          <w:b/>
          <w:bCs/>
          <w:szCs w:val="22"/>
          <w:lang w:eastAsia="en-US"/>
        </w:rPr>
        <w:t xml:space="preserve">Om Tilbudsgiver </w:t>
      </w:r>
    </w:p>
    <w:p w14:paraId="60CD438E" w14:textId="0ADC3CD3" w:rsidR="003B0F9F" w:rsidRDefault="00786ECA" w:rsidP="00BB2FEC">
      <w:pPr>
        <w:rPr>
          <w:rFonts w:eastAsiaTheme="minorHAnsi"/>
          <w:szCs w:val="22"/>
          <w:lang w:eastAsia="en-US"/>
        </w:rPr>
      </w:pPr>
      <w:r w:rsidRPr="00786ECA">
        <w:rPr>
          <w:rFonts w:eastAsiaTheme="minorHAnsi"/>
          <w:szCs w:val="22"/>
          <w:lang w:eastAsia="en-US"/>
        </w:rPr>
        <w:t xml:space="preserve">Freudenberg Home and </w:t>
      </w:r>
      <w:proofErr w:type="spellStart"/>
      <w:r w:rsidRPr="00786ECA">
        <w:rPr>
          <w:rFonts w:eastAsiaTheme="minorHAnsi"/>
          <w:szCs w:val="22"/>
          <w:lang w:eastAsia="en-US"/>
        </w:rPr>
        <w:t>Cleaning</w:t>
      </w:r>
      <w:proofErr w:type="spellEnd"/>
      <w:r w:rsidRPr="00786ECA">
        <w:rPr>
          <w:rFonts w:eastAsiaTheme="minorHAnsi"/>
          <w:szCs w:val="22"/>
          <w:lang w:eastAsia="en-US"/>
        </w:rPr>
        <w:t xml:space="preserve"> Solutions </w:t>
      </w:r>
      <w:proofErr w:type="spellStart"/>
      <w:r w:rsidRPr="00786ECA">
        <w:rPr>
          <w:rFonts w:eastAsiaTheme="minorHAnsi"/>
          <w:szCs w:val="22"/>
          <w:lang w:eastAsia="en-US"/>
        </w:rPr>
        <w:t>GmbH’s</w:t>
      </w:r>
      <w:proofErr w:type="spellEnd"/>
      <w:r w:rsidRPr="00786ECA">
        <w:rPr>
          <w:rFonts w:eastAsiaTheme="minorHAnsi"/>
          <w:szCs w:val="22"/>
          <w:lang w:eastAsia="en-US"/>
        </w:rPr>
        <w:t xml:space="preserve"> forretningsområder omfatter rengørings- og vaskemidler, som markedsføres globalt gennem forbruger- og professionelle segmenter. Forbrugerprodukter markedsføres under mærker som </w:t>
      </w:r>
      <w:proofErr w:type="spellStart"/>
      <w:r w:rsidRPr="00786ECA">
        <w:rPr>
          <w:rFonts w:eastAsiaTheme="minorHAnsi"/>
          <w:szCs w:val="22"/>
          <w:lang w:eastAsia="en-US"/>
        </w:rPr>
        <w:t>Vileda</w:t>
      </w:r>
      <w:proofErr w:type="spellEnd"/>
      <w:r w:rsidRPr="00786ECA">
        <w:rPr>
          <w:rFonts w:eastAsiaTheme="minorHAnsi"/>
          <w:szCs w:val="22"/>
          <w:lang w:eastAsia="en-US"/>
        </w:rPr>
        <w:t>, O-</w:t>
      </w:r>
      <w:proofErr w:type="spellStart"/>
      <w:r w:rsidRPr="00786ECA">
        <w:rPr>
          <w:rFonts w:eastAsiaTheme="minorHAnsi"/>
          <w:szCs w:val="22"/>
          <w:lang w:eastAsia="en-US"/>
        </w:rPr>
        <w:t>Cedar</w:t>
      </w:r>
      <w:proofErr w:type="spellEnd"/>
      <w:r w:rsidRPr="00786ECA">
        <w:rPr>
          <w:rFonts w:eastAsiaTheme="minorHAnsi"/>
          <w:szCs w:val="22"/>
          <w:lang w:eastAsia="en-US"/>
        </w:rPr>
        <w:t xml:space="preserve">, </w:t>
      </w:r>
      <w:proofErr w:type="spellStart"/>
      <w:r w:rsidRPr="00786ECA">
        <w:rPr>
          <w:rFonts w:eastAsiaTheme="minorHAnsi"/>
          <w:szCs w:val="22"/>
          <w:lang w:eastAsia="en-US"/>
        </w:rPr>
        <w:t>Gimi</w:t>
      </w:r>
      <w:proofErr w:type="spellEnd"/>
      <w:r w:rsidRPr="00786ECA">
        <w:rPr>
          <w:rFonts w:eastAsiaTheme="minorHAnsi"/>
          <w:szCs w:val="22"/>
          <w:lang w:eastAsia="en-US"/>
        </w:rPr>
        <w:t xml:space="preserve">, </w:t>
      </w:r>
      <w:proofErr w:type="spellStart"/>
      <w:r w:rsidRPr="00786ECA">
        <w:rPr>
          <w:rFonts w:eastAsiaTheme="minorHAnsi"/>
          <w:szCs w:val="22"/>
          <w:lang w:eastAsia="en-US"/>
        </w:rPr>
        <w:t>Oates</w:t>
      </w:r>
      <w:proofErr w:type="spellEnd"/>
      <w:r w:rsidRPr="00786ECA">
        <w:rPr>
          <w:rFonts w:eastAsiaTheme="minorHAnsi"/>
          <w:szCs w:val="22"/>
          <w:lang w:eastAsia="en-US"/>
        </w:rPr>
        <w:t xml:space="preserve">, </w:t>
      </w:r>
      <w:proofErr w:type="spellStart"/>
      <w:r w:rsidRPr="00786ECA">
        <w:rPr>
          <w:rFonts w:eastAsiaTheme="minorHAnsi"/>
          <w:szCs w:val="22"/>
          <w:lang w:eastAsia="en-US"/>
        </w:rPr>
        <w:t>Gala</w:t>
      </w:r>
      <w:proofErr w:type="spellEnd"/>
      <w:r w:rsidRPr="00786ECA">
        <w:rPr>
          <w:rFonts w:eastAsiaTheme="minorHAnsi"/>
          <w:szCs w:val="22"/>
          <w:lang w:eastAsia="en-US"/>
        </w:rPr>
        <w:t xml:space="preserve">, </w:t>
      </w:r>
      <w:proofErr w:type="spellStart"/>
      <w:r w:rsidRPr="00786ECA">
        <w:rPr>
          <w:rFonts w:eastAsiaTheme="minorHAnsi"/>
          <w:szCs w:val="22"/>
          <w:lang w:eastAsia="en-US"/>
        </w:rPr>
        <w:t>Wettex</w:t>
      </w:r>
      <w:proofErr w:type="spellEnd"/>
      <w:r w:rsidRPr="00786ECA">
        <w:rPr>
          <w:rFonts w:eastAsiaTheme="minorHAnsi"/>
          <w:szCs w:val="22"/>
          <w:lang w:eastAsia="en-US"/>
        </w:rPr>
        <w:t xml:space="preserve"> og Marigold. Det professionelle segment (</w:t>
      </w:r>
      <w:proofErr w:type="spellStart"/>
      <w:r w:rsidRPr="00786ECA">
        <w:rPr>
          <w:rFonts w:eastAsiaTheme="minorHAnsi"/>
          <w:szCs w:val="22"/>
          <w:lang w:eastAsia="en-US"/>
        </w:rPr>
        <w:t>Vileda</w:t>
      </w:r>
      <w:proofErr w:type="spellEnd"/>
      <w:r w:rsidRPr="00786ECA">
        <w:rPr>
          <w:rFonts w:eastAsiaTheme="minorHAnsi"/>
          <w:szCs w:val="22"/>
          <w:lang w:eastAsia="en-US"/>
        </w:rPr>
        <w:t xml:space="preserve"> Professional) leverer rengøringsløsninger til sektorer som sundhedspleje, renrum, generel bygningsrengøring og hotel</w:t>
      </w:r>
      <w:r w:rsidR="00BC5BFF">
        <w:rPr>
          <w:rFonts w:eastAsiaTheme="minorHAnsi"/>
          <w:szCs w:val="22"/>
          <w:lang w:eastAsia="en-US"/>
        </w:rPr>
        <w:t>-</w:t>
      </w:r>
      <w:r>
        <w:rPr>
          <w:rFonts w:eastAsiaTheme="minorHAnsi"/>
          <w:szCs w:val="22"/>
          <w:lang w:eastAsia="en-US"/>
        </w:rPr>
        <w:t xml:space="preserve"> </w:t>
      </w:r>
      <w:r w:rsidRPr="00786ECA">
        <w:rPr>
          <w:rFonts w:eastAsiaTheme="minorHAnsi"/>
          <w:szCs w:val="22"/>
          <w:lang w:eastAsia="en-US"/>
        </w:rPr>
        <w:t xml:space="preserve">og restaurationsbranchen. </w:t>
      </w:r>
    </w:p>
    <w:p w14:paraId="18334079" w14:textId="77777777" w:rsidR="003B0F9F" w:rsidRDefault="003B0F9F" w:rsidP="00BB2FEC">
      <w:pPr>
        <w:rPr>
          <w:rFonts w:eastAsiaTheme="minorHAnsi"/>
          <w:szCs w:val="22"/>
          <w:lang w:eastAsia="en-US"/>
        </w:rPr>
      </w:pPr>
    </w:p>
    <w:p w14:paraId="27AF796A" w14:textId="758F5EC2" w:rsidR="00786ECA" w:rsidRDefault="00786ECA" w:rsidP="00BB2FEC">
      <w:pPr>
        <w:rPr>
          <w:rFonts w:eastAsiaTheme="minorHAnsi"/>
          <w:szCs w:val="22"/>
          <w:lang w:eastAsia="en-US"/>
        </w:rPr>
      </w:pPr>
      <w:r w:rsidRPr="00786ECA">
        <w:rPr>
          <w:rFonts w:eastAsiaTheme="minorHAnsi"/>
          <w:szCs w:val="22"/>
          <w:lang w:eastAsia="en-US"/>
        </w:rPr>
        <w:t xml:space="preserve">Freudenberg Home and </w:t>
      </w:r>
      <w:proofErr w:type="spellStart"/>
      <w:r w:rsidRPr="00786ECA">
        <w:rPr>
          <w:rFonts w:eastAsiaTheme="minorHAnsi"/>
          <w:szCs w:val="22"/>
          <w:lang w:eastAsia="en-US"/>
        </w:rPr>
        <w:t>Cleaning</w:t>
      </w:r>
      <w:proofErr w:type="spellEnd"/>
      <w:r w:rsidRPr="00786ECA">
        <w:rPr>
          <w:rFonts w:eastAsiaTheme="minorHAnsi"/>
          <w:szCs w:val="22"/>
          <w:lang w:eastAsia="en-US"/>
        </w:rPr>
        <w:t xml:space="preserve"> Solutions GmbH opnåede en rekordomsætning på EUR 1.342 mio. i regnskabsåret 2024, hvilket er en betydelig vækst i forhold til året før (EUR 1.240,7 mio.). Freudenberg Home and </w:t>
      </w:r>
      <w:proofErr w:type="spellStart"/>
      <w:r w:rsidRPr="00786ECA">
        <w:rPr>
          <w:rFonts w:eastAsiaTheme="minorHAnsi"/>
          <w:szCs w:val="22"/>
          <w:lang w:eastAsia="en-US"/>
        </w:rPr>
        <w:t>Cleaning</w:t>
      </w:r>
      <w:proofErr w:type="spellEnd"/>
      <w:r w:rsidRPr="00786ECA">
        <w:rPr>
          <w:rFonts w:eastAsiaTheme="minorHAnsi"/>
          <w:szCs w:val="22"/>
          <w:lang w:eastAsia="en-US"/>
        </w:rPr>
        <w:t xml:space="preserve"> Solutions GmbH registrerede</w:t>
      </w:r>
      <w:r>
        <w:rPr>
          <w:rFonts w:eastAsiaTheme="minorHAnsi"/>
          <w:szCs w:val="22"/>
          <w:lang w:eastAsia="en-US"/>
        </w:rPr>
        <w:t xml:space="preserve"> </w:t>
      </w:r>
      <w:r w:rsidRPr="00786ECA">
        <w:rPr>
          <w:rFonts w:eastAsiaTheme="minorHAnsi"/>
          <w:szCs w:val="22"/>
          <w:lang w:eastAsia="en-US"/>
        </w:rPr>
        <w:t xml:space="preserve">omsætningsvækst på tværs af alle sektorer, herunder både forbruger- og professionelle forretningssegmenter, med særligt stærke resultater i EMEA- og Amerika-regionerne. Freudenberg Home </w:t>
      </w:r>
      <w:r w:rsidRPr="00786ECA">
        <w:rPr>
          <w:rFonts w:eastAsiaTheme="minorHAnsi"/>
          <w:szCs w:val="22"/>
          <w:lang w:eastAsia="en-US"/>
        </w:rPr>
        <w:lastRenderedPageBreak/>
        <w:t xml:space="preserve">and </w:t>
      </w:r>
      <w:proofErr w:type="spellStart"/>
      <w:r w:rsidRPr="00786ECA">
        <w:rPr>
          <w:rFonts w:eastAsiaTheme="minorHAnsi"/>
          <w:szCs w:val="22"/>
          <w:lang w:eastAsia="en-US"/>
        </w:rPr>
        <w:t>Cleaning</w:t>
      </w:r>
      <w:proofErr w:type="spellEnd"/>
      <w:r w:rsidRPr="00786ECA">
        <w:rPr>
          <w:rFonts w:eastAsiaTheme="minorHAnsi"/>
          <w:szCs w:val="22"/>
          <w:lang w:eastAsia="en-US"/>
        </w:rPr>
        <w:t xml:space="preserve"> Solutions </w:t>
      </w:r>
      <w:proofErr w:type="spellStart"/>
      <w:r w:rsidRPr="00786ECA">
        <w:rPr>
          <w:rFonts w:eastAsiaTheme="minorHAnsi"/>
          <w:szCs w:val="22"/>
          <w:lang w:eastAsia="en-US"/>
        </w:rPr>
        <w:t>GmbH’s</w:t>
      </w:r>
      <w:proofErr w:type="spellEnd"/>
      <w:r w:rsidRPr="00786ECA">
        <w:rPr>
          <w:rFonts w:eastAsiaTheme="minorHAnsi"/>
          <w:szCs w:val="22"/>
          <w:lang w:eastAsia="en-US"/>
        </w:rPr>
        <w:t xml:space="preserve"> fokus på innovation, kundenærhed og operationel excellence bidrog til forbedrede resultater på tværs af alle relevante nøgletal sammenlignet med det foregående år.</w:t>
      </w:r>
    </w:p>
    <w:p w14:paraId="2FD039FF" w14:textId="77777777" w:rsidR="00786ECA" w:rsidRDefault="00786ECA" w:rsidP="00BB2FEC">
      <w:pPr>
        <w:rPr>
          <w:rFonts w:eastAsiaTheme="minorHAnsi"/>
          <w:szCs w:val="22"/>
          <w:lang w:eastAsia="en-US"/>
        </w:rPr>
      </w:pPr>
    </w:p>
    <w:p w14:paraId="3188F62A" w14:textId="77777777" w:rsidR="00786ECA" w:rsidRPr="0072631A" w:rsidRDefault="00786ECA" w:rsidP="00BB2FEC">
      <w:pPr>
        <w:rPr>
          <w:rFonts w:eastAsiaTheme="minorHAnsi"/>
          <w:b/>
          <w:bCs/>
          <w:szCs w:val="22"/>
          <w:lang w:eastAsia="en-US"/>
        </w:rPr>
      </w:pPr>
      <w:r w:rsidRPr="0072631A">
        <w:rPr>
          <w:rFonts w:eastAsiaTheme="minorHAnsi"/>
          <w:b/>
          <w:bCs/>
          <w:szCs w:val="22"/>
          <w:lang w:eastAsia="en-US"/>
        </w:rPr>
        <w:t xml:space="preserve">Om Nilfisk </w:t>
      </w:r>
    </w:p>
    <w:p w14:paraId="29553270" w14:textId="760D7DFA" w:rsidR="003B0F9F" w:rsidRDefault="00786ECA" w:rsidP="00BB2FEC">
      <w:pPr>
        <w:rPr>
          <w:rFonts w:eastAsiaTheme="minorHAnsi"/>
          <w:szCs w:val="22"/>
          <w:lang w:eastAsia="en-US"/>
        </w:rPr>
      </w:pPr>
      <w:r w:rsidRPr="00786ECA">
        <w:rPr>
          <w:rFonts w:eastAsiaTheme="minorHAnsi"/>
          <w:szCs w:val="22"/>
          <w:lang w:eastAsia="en-US"/>
        </w:rPr>
        <w:t xml:space="preserve">Nilfisk blev grundlagt i 1906 af den danske ingeniør P.A. Fisker. I dag er virksomheden en verdensførende global leverandør af professionelt rengøringsudstyr og -tjenester. Mere end 90 </w:t>
      </w:r>
      <w:r w:rsidR="00FB3091">
        <w:rPr>
          <w:rFonts w:eastAsiaTheme="minorHAnsi"/>
          <w:szCs w:val="22"/>
          <w:lang w:eastAsia="en-US"/>
        </w:rPr>
        <w:t>procent</w:t>
      </w:r>
      <w:r w:rsidR="00FB3091" w:rsidRPr="00786ECA">
        <w:rPr>
          <w:rFonts w:eastAsiaTheme="minorHAnsi"/>
          <w:szCs w:val="22"/>
          <w:lang w:eastAsia="en-US"/>
        </w:rPr>
        <w:t xml:space="preserve"> </w:t>
      </w:r>
      <w:r w:rsidRPr="00786ECA">
        <w:rPr>
          <w:rFonts w:eastAsiaTheme="minorHAnsi"/>
          <w:szCs w:val="22"/>
          <w:lang w:eastAsia="en-US"/>
        </w:rPr>
        <w:t xml:space="preserve">af omsætningen kommer fra professionelle kunder, mens den resterende del af forretningen, der er rettet mod forbrugere, omfatter gulvplejeudstyr, støvsugere og højtryksrensere. </w:t>
      </w:r>
    </w:p>
    <w:p w14:paraId="3F3F2489" w14:textId="77777777" w:rsidR="003B0F9F" w:rsidRDefault="003B0F9F" w:rsidP="00BB2FEC">
      <w:pPr>
        <w:rPr>
          <w:rFonts w:eastAsiaTheme="minorHAnsi"/>
          <w:szCs w:val="22"/>
          <w:lang w:eastAsia="en-US"/>
        </w:rPr>
      </w:pPr>
    </w:p>
    <w:p w14:paraId="4DE87CEF" w14:textId="53AB5BED" w:rsidR="00786ECA" w:rsidRDefault="00786ECA" w:rsidP="00BB2FEC">
      <w:pPr>
        <w:rPr>
          <w:rFonts w:eastAsiaTheme="minorHAnsi"/>
          <w:szCs w:val="22"/>
          <w:lang w:eastAsia="en-US"/>
        </w:rPr>
      </w:pPr>
      <w:r w:rsidRPr="00786ECA">
        <w:rPr>
          <w:rFonts w:eastAsiaTheme="minorHAnsi"/>
          <w:szCs w:val="22"/>
          <w:lang w:eastAsia="en-US"/>
        </w:rPr>
        <w:t xml:space="preserve">Nilfisks produkter og tjenester sælges i mere end 100 lande og produceres på 6 produktionssteder over hele verden. De vigtigste produktionsfaciliteter ligger i USA, Mexico, Ungarn, Italien og Kina. I alt ca. 4.500 medarbejdere sikrede en omsætning på EUR 1.027,9 mio. i 2024. Det største enkeltmarked er USA, der tegnede sig for 28 </w:t>
      </w:r>
      <w:r w:rsidR="00FB3091">
        <w:rPr>
          <w:rFonts w:eastAsiaTheme="minorHAnsi"/>
          <w:szCs w:val="22"/>
          <w:lang w:eastAsia="en-US"/>
        </w:rPr>
        <w:t>procent</w:t>
      </w:r>
      <w:r w:rsidR="00FB3091" w:rsidRPr="00786ECA">
        <w:rPr>
          <w:rFonts w:eastAsiaTheme="minorHAnsi"/>
          <w:szCs w:val="22"/>
          <w:lang w:eastAsia="en-US"/>
        </w:rPr>
        <w:t xml:space="preserve"> </w:t>
      </w:r>
      <w:r w:rsidRPr="00786ECA">
        <w:rPr>
          <w:rFonts w:eastAsiaTheme="minorHAnsi"/>
          <w:szCs w:val="22"/>
          <w:lang w:eastAsia="en-US"/>
        </w:rPr>
        <w:t xml:space="preserve">af omsætningen i 2024, efterfulgt af Tyskland (14 </w:t>
      </w:r>
      <w:r w:rsidR="00FB3091">
        <w:rPr>
          <w:rFonts w:eastAsiaTheme="minorHAnsi"/>
          <w:szCs w:val="22"/>
          <w:lang w:eastAsia="en-US"/>
        </w:rPr>
        <w:t>procent</w:t>
      </w:r>
      <w:r w:rsidR="00FB3091" w:rsidRPr="00786ECA">
        <w:rPr>
          <w:rFonts w:eastAsiaTheme="minorHAnsi"/>
          <w:szCs w:val="22"/>
          <w:lang w:eastAsia="en-US"/>
        </w:rPr>
        <w:t xml:space="preserve">), </w:t>
      </w:r>
      <w:r w:rsidRPr="00786ECA">
        <w:rPr>
          <w:rFonts w:eastAsiaTheme="minorHAnsi"/>
          <w:szCs w:val="22"/>
          <w:lang w:eastAsia="en-US"/>
        </w:rPr>
        <w:t xml:space="preserve">Frankrig (10 </w:t>
      </w:r>
      <w:r w:rsidR="00FB3091">
        <w:rPr>
          <w:rFonts w:eastAsiaTheme="minorHAnsi"/>
          <w:szCs w:val="22"/>
          <w:lang w:eastAsia="en-US"/>
        </w:rPr>
        <w:t>procent</w:t>
      </w:r>
      <w:r w:rsidRPr="00786ECA">
        <w:rPr>
          <w:rFonts w:eastAsiaTheme="minorHAnsi"/>
          <w:szCs w:val="22"/>
          <w:lang w:eastAsia="en-US"/>
        </w:rPr>
        <w:t xml:space="preserve">), Danmark (7 </w:t>
      </w:r>
      <w:r w:rsidR="00FB3091">
        <w:rPr>
          <w:rFonts w:eastAsiaTheme="minorHAnsi"/>
          <w:szCs w:val="22"/>
          <w:lang w:eastAsia="en-US"/>
        </w:rPr>
        <w:t>procent</w:t>
      </w:r>
      <w:r w:rsidRPr="00786ECA">
        <w:rPr>
          <w:rFonts w:eastAsiaTheme="minorHAnsi"/>
          <w:szCs w:val="22"/>
          <w:lang w:eastAsia="en-US"/>
        </w:rPr>
        <w:t xml:space="preserve">) og Storbritannien (4 </w:t>
      </w:r>
      <w:r w:rsidR="00FB3091">
        <w:rPr>
          <w:rFonts w:eastAsiaTheme="minorHAnsi"/>
          <w:szCs w:val="22"/>
          <w:lang w:eastAsia="en-US"/>
        </w:rPr>
        <w:t>procent</w:t>
      </w:r>
      <w:r w:rsidRPr="00786ECA">
        <w:rPr>
          <w:rFonts w:eastAsiaTheme="minorHAnsi"/>
          <w:szCs w:val="22"/>
          <w:lang w:eastAsia="en-US"/>
        </w:rPr>
        <w:t>).</w:t>
      </w:r>
    </w:p>
    <w:p w14:paraId="1CF970BA" w14:textId="77777777" w:rsidR="00786ECA" w:rsidRDefault="00786ECA" w:rsidP="00BB2FEC">
      <w:pPr>
        <w:rPr>
          <w:rFonts w:eastAsiaTheme="minorHAnsi"/>
          <w:szCs w:val="22"/>
          <w:lang w:eastAsia="en-US"/>
        </w:rPr>
      </w:pPr>
    </w:p>
    <w:p w14:paraId="2FAAF9CA" w14:textId="77777777" w:rsidR="00786ECA" w:rsidRPr="0072631A" w:rsidRDefault="00786ECA" w:rsidP="00BB2FEC">
      <w:pPr>
        <w:rPr>
          <w:rFonts w:eastAsiaTheme="minorHAnsi"/>
          <w:b/>
          <w:bCs/>
          <w:szCs w:val="22"/>
          <w:lang w:eastAsia="en-US"/>
        </w:rPr>
      </w:pPr>
      <w:r w:rsidRPr="0072631A">
        <w:rPr>
          <w:rFonts w:eastAsiaTheme="minorHAnsi"/>
          <w:b/>
          <w:bCs/>
          <w:szCs w:val="22"/>
          <w:lang w:eastAsia="en-US"/>
        </w:rPr>
        <w:t xml:space="preserve">Rådgivere </w:t>
      </w:r>
    </w:p>
    <w:p w14:paraId="0D4A8D16" w14:textId="53DB7B96" w:rsidR="00786ECA" w:rsidRDefault="00786ECA" w:rsidP="00BB2FEC">
      <w:pPr>
        <w:rPr>
          <w:rFonts w:eastAsiaTheme="minorHAnsi"/>
          <w:szCs w:val="22"/>
          <w:lang w:eastAsia="en-US"/>
        </w:rPr>
      </w:pPr>
      <w:r w:rsidRPr="00786ECA">
        <w:rPr>
          <w:rFonts w:eastAsiaTheme="minorHAnsi"/>
          <w:szCs w:val="22"/>
          <w:lang w:eastAsia="en-US"/>
        </w:rPr>
        <w:t>J.P. Morgan Securities plc fungerer som finansiel rådgiver for Freudenberg</w:t>
      </w:r>
      <w:r w:rsidR="00540F09">
        <w:rPr>
          <w:rFonts w:eastAsiaTheme="minorHAnsi"/>
          <w:szCs w:val="22"/>
          <w:lang w:eastAsia="en-US"/>
        </w:rPr>
        <w:t>-koncernen</w:t>
      </w:r>
      <w:r w:rsidRPr="00786ECA">
        <w:rPr>
          <w:rFonts w:eastAsiaTheme="minorHAnsi"/>
          <w:szCs w:val="22"/>
          <w:lang w:eastAsia="en-US"/>
        </w:rPr>
        <w:t xml:space="preserve">. Allen </w:t>
      </w:r>
      <w:proofErr w:type="spellStart"/>
      <w:r w:rsidRPr="00786ECA">
        <w:rPr>
          <w:rFonts w:eastAsiaTheme="minorHAnsi"/>
          <w:szCs w:val="22"/>
          <w:lang w:eastAsia="en-US"/>
        </w:rPr>
        <w:t>Overy</w:t>
      </w:r>
      <w:proofErr w:type="spellEnd"/>
      <w:r w:rsidRPr="00786ECA">
        <w:rPr>
          <w:rFonts w:eastAsiaTheme="minorHAnsi"/>
          <w:szCs w:val="22"/>
          <w:lang w:eastAsia="en-US"/>
        </w:rPr>
        <w:t xml:space="preserve"> </w:t>
      </w:r>
      <w:proofErr w:type="spellStart"/>
      <w:r w:rsidRPr="00786ECA">
        <w:rPr>
          <w:rFonts w:eastAsiaTheme="minorHAnsi"/>
          <w:szCs w:val="22"/>
          <w:lang w:eastAsia="en-US"/>
        </w:rPr>
        <w:t>Shearman</w:t>
      </w:r>
      <w:proofErr w:type="spellEnd"/>
      <w:r w:rsidRPr="00786ECA">
        <w:rPr>
          <w:rFonts w:eastAsiaTheme="minorHAnsi"/>
          <w:szCs w:val="22"/>
          <w:lang w:eastAsia="en-US"/>
        </w:rPr>
        <w:t xml:space="preserve"> Sterling LLP fungerer som international rådgiver for Freudenberg i forbindelse med transaktionen, mens Moalem Weitemeyer Advokatpartnerselskab fungerer som dansk rådgiver for Freudenberg i forbindelse med transaktionen. Freudenberg har udpeget Danske Bank A/S som afviklingsbank i forbindelse med Tilbuddet.</w:t>
      </w:r>
    </w:p>
    <w:p w14:paraId="64B74DEF" w14:textId="77777777" w:rsidR="00786ECA" w:rsidRDefault="00786ECA" w:rsidP="00BB2FEC">
      <w:pPr>
        <w:rPr>
          <w:rFonts w:eastAsiaTheme="minorHAnsi"/>
          <w:szCs w:val="22"/>
          <w:lang w:eastAsia="en-US"/>
        </w:rPr>
      </w:pPr>
    </w:p>
    <w:p w14:paraId="2ACF850C" w14:textId="0C1DD875" w:rsidR="00786ECA" w:rsidRPr="0072631A" w:rsidRDefault="00786ECA" w:rsidP="00BB2FEC">
      <w:pPr>
        <w:rPr>
          <w:rFonts w:eastAsiaTheme="minorHAnsi"/>
          <w:b/>
          <w:bCs/>
          <w:szCs w:val="22"/>
          <w:lang w:eastAsia="en-US"/>
        </w:rPr>
      </w:pPr>
      <w:r w:rsidRPr="0072631A">
        <w:rPr>
          <w:rFonts w:eastAsiaTheme="minorHAnsi"/>
          <w:b/>
          <w:bCs/>
          <w:szCs w:val="22"/>
          <w:lang w:eastAsia="en-US"/>
        </w:rPr>
        <w:t>Kontakt</w:t>
      </w:r>
      <w:r>
        <w:rPr>
          <w:rFonts w:eastAsiaTheme="minorHAnsi"/>
          <w:b/>
          <w:bCs/>
          <w:szCs w:val="22"/>
          <w:lang w:eastAsia="en-US"/>
        </w:rPr>
        <w:t>personer</w:t>
      </w:r>
    </w:p>
    <w:p w14:paraId="667F7BAD" w14:textId="77777777" w:rsidR="00786ECA" w:rsidRPr="00541EEE" w:rsidRDefault="00786ECA" w:rsidP="00BB2FEC">
      <w:pPr>
        <w:rPr>
          <w:rFonts w:eastAsiaTheme="minorHAnsi"/>
          <w:i/>
          <w:iCs/>
          <w:szCs w:val="22"/>
          <w:lang w:eastAsia="en-US"/>
        </w:rPr>
      </w:pPr>
      <w:r w:rsidRPr="00541EEE">
        <w:rPr>
          <w:rFonts w:eastAsiaTheme="minorHAnsi"/>
          <w:i/>
          <w:iCs/>
          <w:szCs w:val="22"/>
          <w:lang w:eastAsia="en-US"/>
        </w:rPr>
        <w:t xml:space="preserve">Mediekontakt for internationale medier </w:t>
      </w:r>
    </w:p>
    <w:p w14:paraId="2E75C41A" w14:textId="1716D18A" w:rsidR="00786ECA" w:rsidRDefault="00786ECA" w:rsidP="00BB2FEC">
      <w:pPr>
        <w:rPr>
          <w:rFonts w:eastAsiaTheme="minorHAnsi"/>
          <w:szCs w:val="22"/>
          <w:lang w:eastAsia="en-US"/>
        </w:rPr>
      </w:pPr>
      <w:r w:rsidRPr="00541EEE">
        <w:rPr>
          <w:rFonts w:eastAsiaTheme="minorHAnsi"/>
          <w:szCs w:val="22"/>
          <w:lang w:eastAsia="en-US"/>
        </w:rPr>
        <w:t xml:space="preserve">Michael Scheuer, Global Head of </w:t>
      </w:r>
      <w:proofErr w:type="spellStart"/>
      <w:r w:rsidRPr="00541EEE">
        <w:rPr>
          <w:rFonts w:eastAsiaTheme="minorHAnsi"/>
          <w:szCs w:val="22"/>
          <w:lang w:eastAsia="en-US"/>
        </w:rPr>
        <w:t>Corporate</w:t>
      </w:r>
      <w:proofErr w:type="spellEnd"/>
      <w:r w:rsidRPr="00541EEE">
        <w:rPr>
          <w:rFonts w:eastAsiaTheme="minorHAnsi"/>
          <w:szCs w:val="22"/>
          <w:lang w:eastAsia="en-US"/>
        </w:rPr>
        <w:t xml:space="preserve"> Communications, Freudenberg &amp; Co. </w:t>
      </w:r>
      <w:r w:rsidRPr="00786ECA">
        <w:rPr>
          <w:rFonts w:eastAsiaTheme="minorHAnsi"/>
          <w:szCs w:val="22"/>
          <w:lang w:eastAsia="en-US"/>
        </w:rPr>
        <w:t xml:space="preserve">KG, +49 6201 80-4094, </w:t>
      </w:r>
      <w:hyperlink r:id="rId14" w:history="1">
        <w:r w:rsidRPr="00DE1B36">
          <w:rPr>
            <w:rStyle w:val="Hyperlink"/>
            <w:rFonts w:eastAsiaTheme="minorHAnsi"/>
            <w:szCs w:val="22"/>
            <w:lang w:eastAsia="en-US"/>
          </w:rPr>
          <w:t>michael.scheuer@freudenberg.com</w:t>
        </w:r>
      </w:hyperlink>
      <w:r w:rsidRPr="00786ECA">
        <w:rPr>
          <w:rFonts w:eastAsiaTheme="minorHAnsi"/>
          <w:szCs w:val="22"/>
          <w:lang w:eastAsia="en-US"/>
        </w:rPr>
        <w:t xml:space="preserve"> </w:t>
      </w:r>
    </w:p>
    <w:p w14:paraId="74501585" w14:textId="77777777" w:rsidR="00786ECA" w:rsidRDefault="00786ECA" w:rsidP="00BB2FEC">
      <w:pPr>
        <w:rPr>
          <w:rFonts w:eastAsiaTheme="minorHAnsi"/>
          <w:szCs w:val="22"/>
          <w:lang w:eastAsia="en-US"/>
        </w:rPr>
      </w:pPr>
    </w:p>
    <w:p w14:paraId="79F8640D" w14:textId="77777777" w:rsidR="00786ECA" w:rsidRPr="0072631A" w:rsidRDefault="00786ECA" w:rsidP="00BB2FEC">
      <w:pPr>
        <w:rPr>
          <w:rFonts w:eastAsiaTheme="minorHAnsi"/>
          <w:i/>
          <w:iCs/>
          <w:szCs w:val="22"/>
          <w:lang w:eastAsia="en-US"/>
        </w:rPr>
      </w:pPr>
      <w:r w:rsidRPr="0072631A">
        <w:rPr>
          <w:rFonts w:eastAsiaTheme="minorHAnsi"/>
          <w:i/>
          <w:iCs/>
          <w:szCs w:val="22"/>
          <w:lang w:eastAsia="en-US"/>
        </w:rPr>
        <w:t xml:space="preserve">Mediekontakt for danske medier </w:t>
      </w:r>
    </w:p>
    <w:p w14:paraId="7E0F2612" w14:textId="2972B3C4" w:rsidR="00786ECA" w:rsidRPr="0072631A" w:rsidRDefault="00786ECA" w:rsidP="00BB2FEC">
      <w:pPr>
        <w:rPr>
          <w:rFonts w:eastAsiaTheme="minorHAnsi"/>
          <w:szCs w:val="22"/>
          <w:lang w:val="en-GB" w:eastAsia="en-US"/>
        </w:rPr>
      </w:pPr>
      <w:r w:rsidRPr="0072631A">
        <w:rPr>
          <w:rFonts w:eastAsiaTheme="minorHAnsi"/>
          <w:szCs w:val="22"/>
          <w:lang w:val="en-GB" w:eastAsia="en-US"/>
        </w:rPr>
        <w:t xml:space="preserve">Poul Lykkesfeldt, Managing Partner, Reliance A/S, +45 20 21 71 30, </w:t>
      </w:r>
      <w:hyperlink r:id="rId15" w:history="1">
        <w:r w:rsidRPr="0072631A">
          <w:rPr>
            <w:rStyle w:val="Hyperlink"/>
            <w:rFonts w:eastAsiaTheme="minorHAnsi"/>
            <w:szCs w:val="22"/>
            <w:lang w:val="en-GB" w:eastAsia="en-US"/>
          </w:rPr>
          <w:t>pl@reliance.dk</w:t>
        </w:r>
      </w:hyperlink>
    </w:p>
    <w:p w14:paraId="4E5C0206" w14:textId="77777777" w:rsidR="00786ECA" w:rsidRDefault="00786ECA" w:rsidP="00BB2FEC">
      <w:pPr>
        <w:rPr>
          <w:rFonts w:eastAsiaTheme="minorHAnsi"/>
          <w:szCs w:val="22"/>
          <w:lang w:val="en-GB" w:eastAsia="en-US"/>
        </w:rPr>
      </w:pPr>
    </w:p>
    <w:p w14:paraId="7385C279" w14:textId="08C6C3E7" w:rsidR="00786ECA" w:rsidRDefault="00786ECA" w:rsidP="00BB2FEC">
      <w:pPr>
        <w:rPr>
          <w:rFonts w:eastAsiaTheme="minorHAnsi"/>
          <w:szCs w:val="22"/>
          <w:lang w:eastAsia="en-US"/>
        </w:rPr>
      </w:pPr>
      <w:r w:rsidRPr="00786ECA">
        <w:rPr>
          <w:rFonts w:eastAsiaTheme="minorHAnsi"/>
          <w:szCs w:val="22"/>
          <w:lang w:eastAsia="en-US"/>
        </w:rPr>
        <w:t xml:space="preserve">For yderligere information henvises til </w:t>
      </w:r>
      <w:hyperlink r:id="rId16" w:history="1">
        <w:r w:rsidRPr="00DE1B36">
          <w:rPr>
            <w:rStyle w:val="Hyperlink"/>
            <w:rFonts w:eastAsiaTheme="minorHAnsi"/>
            <w:szCs w:val="22"/>
            <w:lang w:eastAsia="en-US"/>
          </w:rPr>
          <w:t>https://www.freudenberg.com/en/documentsforoffer</w:t>
        </w:r>
      </w:hyperlink>
      <w:r w:rsidRPr="00786ECA">
        <w:rPr>
          <w:rFonts w:eastAsiaTheme="minorHAnsi"/>
          <w:szCs w:val="22"/>
          <w:lang w:eastAsia="en-US"/>
        </w:rPr>
        <w:t>.</w:t>
      </w:r>
    </w:p>
    <w:p w14:paraId="6161A011" w14:textId="77777777" w:rsidR="00786ECA" w:rsidRPr="004749C0" w:rsidRDefault="00786ECA" w:rsidP="00BB2FEC"/>
    <w:p w14:paraId="6C45B782" w14:textId="58993AAE" w:rsidR="00C730CD" w:rsidRPr="00786ECA" w:rsidRDefault="00786ECA" w:rsidP="005E13EC">
      <w:pPr>
        <w:rPr>
          <w:b/>
          <w:bCs/>
        </w:rPr>
      </w:pPr>
      <w:r w:rsidRPr="0072631A">
        <w:rPr>
          <w:rFonts w:eastAsiaTheme="minorHAnsi"/>
          <w:b/>
          <w:bCs/>
          <w:szCs w:val="22"/>
          <w:lang w:eastAsia="en-US"/>
        </w:rPr>
        <w:t>Versioner</w:t>
      </w:r>
    </w:p>
    <w:p w14:paraId="0267762C" w14:textId="35508998" w:rsidR="00786ECA" w:rsidRPr="004749C0" w:rsidRDefault="00786ECA" w:rsidP="005E13EC">
      <w:r w:rsidRPr="00786ECA">
        <w:t>Denne meddelelse er udarbejdet i både en dansk og en engelsk version. I tilfælde af uoverensstemmelser er den danske version gældende.</w:t>
      </w:r>
    </w:p>
    <w:p w14:paraId="309CD719" w14:textId="77777777" w:rsidR="00786ECA" w:rsidRDefault="00786ECA" w:rsidP="005E13EC"/>
    <w:p w14:paraId="358E0A13" w14:textId="12BDED5B" w:rsidR="00786ECA" w:rsidRPr="0072631A" w:rsidRDefault="00540F09" w:rsidP="005E13EC">
      <w:pPr>
        <w:rPr>
          <w:b/>
          <w:bCs/>
        </w:rPr>
      </w:pPr>
      <w:r w:rsidRPr="0072631A">
        <w:rPr>
          <w:b/>
          <w:bCs/>
        </w:rPr>
        <w:lastRenderedPageBreak/>
        <w:t xml:space="preserve">ANSVARSFRASKRIVELSE </w:t>
      </w:r>
    </w:p>
    <w:p w14:paraId="646BEADA" w14:textId="77777777" w:rsidR="00540F09" w:rsidRDefault="00540F09" w:rsidP="005E13EC">
      <w:r>
        <w:t>D</w:t>
      </w:r>
      <w:r w:rsidRPr="00540F09">
        <w:t xml:space="preserve">enne meddelelse udgør ikke et tilbud eller en opfordring til at købe værdipapirer i Nilfisk eller en opfordring til at afgive et tilbud om at købe værdipapirer i Nilfisk i henhold til Tilbuddet eller på anden måde. Tilbuddet fremsættes udelukkende på baggrund af det tilbudsdokument, der er godkendt af Finanstilsynet, og som indeholder de fulde vilkår og betingelser for Tilbuddet, herunder detaljer om, hvordan Tilbuddet kan accepteres. Aktionærerne i Nilfisk opfordres til at læse Tilbuddet og de tilhørende dokumenter, da de indeholder vigtige oplysninger. </w:t>
      </w:r>
    </w:p>
    <w:p w14:paraId="44974F93" w14:textId="77777777" w:rsidR="00540F09" w:rsidRDefault="00540F09" w:rsidP="005E13EC"/>
    <w:p w14:paraId="78D3CF17" w14:textId="40E36A59" w:rsidR="00540F09" w:rsidRDefault="00540F09" w:rsidP="005E13EC">
      <w:r w:rsidRPr="00540F09">
        <w:t>Bortset fra eventuelle forpligtelser og ansvar, der måtte være pålagt i henhold til dansk lovgivning eller i henhold til lovgivningen i andre jurisdiktioner, hvor udelukkelse af ansvar eller forpligtelser i henhold til den relevante lovgivning ville være ulovlig, ugyldig eller ikke kan håndhæves, påtager hverken J.P. Morgan, som finansiel rådgiver for Freudenberg</w:t>
      </w:r>
      <w:r>
        <w:t xml:space="preserve">-koncernen </w:t>
      </w:r>
      <w:r w:rsidRPr="00540F09">
        <w:t>eller i nogen anden egenskab (eller nogen af J.P. Morgans respektive datterselskaber, filialer eller tilknyttede selskaber) sig noget ansvar for indholdet af Tilbuddet, herunder med hensyn til dets nøjagtighed, korrekthed eller fuldstændighed eller for andre erklæringer, der er fremsat eller angiveligt fremsat af Freudenberg eller på vegne af Freudenberg i forbindelse med Tilbuddet. Med undtagelse af ovennævnte ansvar og forpligtelser, som måtte være pålagt i henhold til gældende lovgivning, fraskriver J.P. Morgan (og ethvert af J.P. Morgans respektive datterselskaber, filialer eller tilknyttede selskaber) sig ethvert ansvar, uanset om det opstår som følge af erstatningsret, kontrakt eller på anden måde (med undtagelse af ovennævnte), som de ellers måtte have i forbindelse med et sådant dokument eller en sådan erklæring.</w:t>
      </w:r>
    </w:p>
    <w:p w14:paraId="68276F82" w14:textId="77777777" w:rsidR="00540F09" w:rsidRDefault="00540F09" w:rsidP="005E13EC"/>
    <w:p w14:paraId="3357EF68" w14:textId="02932AE5" w:rsidR="00540F09" w:rsidRDefault="00540F09" w:rsidP="005E13EC">
      <w:r w:rsidRPr="00540F09">
        <w:t>I forbindelse med den normale forretningsgang kan J.P. Morgan (og J.P. Morgans respektive datterselskaber, filialer eller tilknyttede selskaber) foretage eller besidde en bred vifte af investeringer, herunder fungere som modpart i visse derivataftaler og sikringsaftaler og aktivt handle med gælds- og egenkapitalbaserede finansielle instrumenter (eller relaterede afledte finansielle instrumenter) og andre typer finansielle instrumenter (herunder banklån) for egen regning og for deres kunders regning, og sådanne investeringsaktiviteter og aktiviteter ve</w:t>
      </w:r>
      <w:r w:rsidR="004A1691">
        <w:t>d</w:t>
      </w:r>
      <w:r w:rsidRPr="00540F09">
        <w:t xml:space="preserve">rørende finansielle instrumenter kan omfatte værdipapirer og/eller instrumenter fra Nilfisk. </w:t>
      </w:r>
    </w:p>
    <w:p w14:paraId="204BE1E4" w14:textId="77777777" w:rsidR="00540F09" w:rsidRDefault="00540F09" w:rsidP="005E13EC"/>
    <w:p w14:paraId="529A437D" w14:textId="29254DB6" w:rsidR="00540F09" w:rsidRDefault="00540F09" w:rsidP="005E13EC">
      <w:r w:rsidRPr="00540F09">
        <w:t>J.P. Morgan fungerer udelukkende som finansiel rådgiver for Freudenberg</w:t>
      </w:r>
      <w:r>
        <w:t>-koncernen</w:t>
      </w:r>
      <w:r w:rsidRPr="00540F09">
        <w:t xml:space="preserve"> og ikke for nogen anden person i forbindelse med Tilbuddet. I denne egenskab er J.P. Morgan ikke ansvarlig over for andre end Freudenberg</w:t>
      </w:r>
      <w:r>
        <w:t>-koncernen</w:t>
      </w:r>
      <w:r w:rsidRPr="00540F09">
        <w:t xml:space="preserve"> for at yde den beskyttelse, der gives til sine tilbudsgivere, eller for at yde finansiel rådgivning i relation til Tilbuddet eller andre forhold, der er nævnt i </w:t>
      </w:r>
      <w:r w:rsidR="00F20964">
        <w:t>T</w:t>
      </w:r>
      <w:r w:rsidR="00F20964" w:rsidRPr="00540F09">
        <w:t>ilbudsdokumentet</w:t>
      </w:r>
      <w:r w:rsidRPr="00540F09">
        <w:t>.</w:t>
      </w:r>
    </w:p>
    <w:p w14:paraId="126A12C9" w14:textId="77777777" w:rsidR="00786ECA" w:rsidRDefault="00786ECA" w:rsidP="005E13EC"/>
    <w:p w14:paraId="0D9ED271" w14:textId="6FF26A03" w:rsidR="00786ECA" w:rsidRPr="0072631A" w:rsidRDefault="00A90E54" w:rsidP="005E13EC">
      <w:pPr>
        <w:rPr>
          <w:b/>
          <w:bCs/>
        </w:rPr>
      </w:pPr>
      <w:r w:rsidRPr="0072631A">
        <w:rPr>
          <w:b/>
          <w:bCs/>
        </w:rPr>
        <w:t>Fremadrette</w:t>
      </w:r>
      <w:r>
        <w:rPr>
          <w:b/>
          <w:bCs/>
        </w:rPr>
        <w:t>de</w:t>
      </w:r>
      <w:r w:rsidRPr="0072631A">
        <w:rPr>
          <w:b/>
          <w:bCs/>
        </w:rPr>
        <w:t xml:space="preserve"> </w:t>
      </w:r>
      <w:r w:rsidR="0072631A" w:rsidRPr="0072631A">
        <w:rPr>
          <w:b/>
          <w:bCs/>
        </w:rPr>
        <w:t>udsagn</w:t>
      </w:r>
    </w:p>
    <w:p w14:paraId="2898A705" w14:textId="77777777" w:rsidR="0072631A" w:rsidRDefault="0072631A" w:rsidP="005E13EC">
      <w:r w:rsidRPr="0072631A">
        <w:lastRenderedPageBreak/>
        <w:t xml:space="preserve">Denne meddelelse indeholder fremadrettede udsagn og udsagn om fremtidige forventninger, der afspejler </w:t>
      </w:r>
      <w:proofErr w:type="spellStart"/>
      <w:r w:rsidRPr="0072631A">
        <w:t>Freudenbergs</w:t>
      </w:r>
      <w:proofErr w:type="spellEnd"/>
      <w:r w:rsidRPr="0072631A">
        <w:t xml:space="preserve"> nuværende synspunkter og antagelser med hensyn til fremtidige begivenheder. Sådanne udsagn er underlagt kendte og ukendte risici og usikkerheder, der kan medføre, at de faktiske resultater, præstationer eller begivenheder afviger væsentligt fra de udtrykte eller underforståede, og som ligger uden for </w:t>
      </w:r>
      <w:proofErr w:type="spellStart"/>
      <w:r w:rsidRPr="0072631A">
        <w:t>Freudenbergs</w:t>
      </w:r>
      <w:proofErr w:type="spellEnd"/>
      <w:r w:rsidRPr="0072631A">
        <w:t xml:space="preserve"> kontrol eller præcise estimering. Ud over udsagn, der er fremadrettede på grund af konteksten, kan fremadrettede udsagn identificeres ved brug af fremadrettet terminologi, herunder ordene “mener”, “forventer”, “agter”, “forventer”, “kan”, “vil”, “skal”, “potentielt”, “fortsætte” og andre lignende udtryk. Fraværet af sådan terminologi betyder ikke nødvendigvis, at en erklæring ikke er fremadrettet. Faktiske resultater, præstationer eller begivenheder kan afvige væsentligt fra disse erklæringer på grund af, uden begrænsning, (i) generelle økonomiske forhold, (ii) fremtidige resultater på de finansielle markeder, (iii) renteniveauer, (iv) valutakurser, (v) andre markedsdeltageres adfærd, (vi) generelle konkurrencefaktorer, (vii) ændringer i love og regler, (viii) ændringer i centralbankers, offentlige tilsynsmyndigheders og/eller (udenlandske) regeringers politikker, (ix) evnen til at integrere erhvervede og fusionerede virksomheder og opnå forventede synergier, (x) reorganiseringsforanstaltninger, i hvert tilfælde på lokalt, nationalt, regionalt og/eller globalt plan, og (xi) retssager eller andre juridiske procedurer. De fremadrettede udsagn i denne meddelelse gælder kun på datoen for denne meddelelse. </w:t>
      </w:r>
    </w:p>
    <w:p w14:paraId="558C9369" w14:textId="77777777" w:rsidR="0072631A" w:rsidRDefault="0072631A" w:rsidP="005E13EC"/>
    <w:p w14:paraId="3C97BF11" w14:textId="33E99592" w:rsidR="0072631A" w:rsidRDefault="0072631A" w:rsidP="005E13EC">
      <w:r w:rsidRPr="0072631A">
        <w:t xml:space="preserve">Selvom Freudenberg mener, at forventningerne afspejlet i disse fremadrettede udsagn er rimelige på datoen for denne meddelelse, er sådanne fremadrettede udsagn baseret på </w:t>
      </w:r>
      <w:proofErr w:type="spellStart"/>
      <w:r w:rsidRPr="0072631A">
        <w:t>Freudenbergs</w:t>
      </w:r>
      <w:proofErr w:type="spellEnd"/>
      <w:r w:rsidRPr="0072631A">
        <w:t xml:space="preserve"> nuværende forventninger, skøn, prognoser, antagelser og fremskrivninger om Freudenberg-koncernens forretning, Nilfisks forretning og, efter gennemførelsen af Tilbuddet, herunder afvikling af Tilbuddet i overensstemmelse med de vilkår og betingelser, der er fastsat i </w:t>
      </w:r>
      <w:r w:rsidR="00F20964">
        <w:t>T</w:t>
      </w:r>
      <w:r w:rsidR="00F20964" w:rsidRPr="0072631A">
        <w:t>ilbudsdokumentet</w:t>
      </w:r>
      <w:r w:rsidRPr="0072631A">
        <w:t>, Freudenberg-koncernens og Nilfisks (den “</w:t>
      </w:r>
      <w:r w:rsidRPr="0072631A">
        <w:rPr>
          <w:b/>
          <w:bCs/>
        </w:rPr>
        <w:t>Samlede Koncern</w:t>
      </w:r>
      <w:r w:rsidRPr="0072631A">
        <w:t xml:space="preserve">”) forretning og den branche, hvor </w:t>
      </w:r>
      <w:r w:rsidR="004A1691">
        <w:t>den Samlede Koncern</w:t>
      </w:r>
      <w:r w:rsidRPr="0072631A">
        <w:t xml:space="preserve"> opererer, samt på oplysninger, som Freudenberg har modtaget fra Nilfisk (herunder med hensyn til prognoser udarbejdet af Nilfisks ledelse med hensyn til Nilfisks forventede fremtidige finansielle og driftsmæssige resultater) og/eller som er uddraget fra publikationer, rapporter og andre dokumenter udarbejdet af Nilfisk og/eller Freudenberg-koncernen og er ikke garantier for fremtidige resultater eller udvikling og indebærer kendte og ukendte risici, usikkerheder og andre vigtige faktorer uden for Freudenberg-koncernens, Nilfisks og/eller den Samlede Koncerns kontrol, som kan medføre, at Freudenberg-koncernens, Nilfisks eller den Samlede Koncerns faktiske resultater, præstationer eller resultater afviger væsentligt fra fremtidige resultater, præstationer eller resultater, der er udtrykt eller implicit angivet i sådanne fremadrettede udsagn.</w:t>
      </w:r>
    </w:p>
    <w:p w14:paraId="50015B9D" w14:textId="77777777" w:rsidR="0072631A" w:rsidRDefault="0072631A" w:rsidP="005E13EC"/>
    <w:p w14:paraId="1A404A20" w14:textId="317A99A1" w:rsidR="0072631A" w:rsidRDefault="0072631A" w:rsidP="005E13EC">
      <w:r w:rsidRPr="0072631A">
        <w:t xml:space="preserve">Medmindre det er påkrævet i henhold til lov eller regulering, påtager hverken Freudenberg eller nogen af dens rådgivere sig nogen forpligtelse til at opdatere sådanne fremadrettede </w:t>
      </w:r>
      <w:r w:rsidRPr="0072631A">
        <w:lastRenderedPageBreak/>
        <w:t>udsagn indeholdt heri eller til at afspejle ændringer i deres respektive forventninger med hensyn hertil eller ændringer i begivenheder, forhold eller omstændigheder, som sådanne udsagn er baseret på, og til at tilpasse dem til fremtidige begivenheder eller udviklinger.</w:t>
      </w:r>
    </w:p>
    <w:p w14:paraId="3B36729D" w14:textId="77777777" w:rsidR="0072631A" w:rsidRDefault="0072631A" w:rsidP="005E13EC"/>
    <w:p w14:paraId="50D16CA6" w14:textId="67CC251A" w:rsidR="0072631A" w:rsidRPr="0072631A" w:rsidRDefault="004A1691" w:rsidP="005E13EC">
      <w:pPr>
        <w:rPr>
          <w:b/>
          <w:bCs/>
        </w:rPr>
      </w:pPr>
      <w:r>
        <w:rPr>
          <w:b/>
          <w:bCs/>
        </w:rPr>
        <w:t>Udelukkede</w:t>
      </w:r>
      <w:r w:rsidR="0072631A" w:rsidRPr="0072631A">
        <w:rPr>
          <w:b/>
          <w:bCs/>
        </w:rPr>
        <w:t xml:space="preserve"> jurisdiktioner </w:t>
      </w:r>
    </w:p>
    <w:p w14:paraId="18AE5F2B" w14:textId="1BEBFF92" w:rsidR="0072631A" w:rsidRDefault="0072631A" w:rsidP="005E13EC">
      <w:r w:rsidRPr="0072631A">
        <w:t>Tilbuddet fremsættes ikke, og Nilfisk aktierne vil ikke blive accepteret til køb fra eller på vegne af personer i nogen jurisdiktion, hvor fremsættelsen eller accepten heraf ikke ville være i overensstemmelse med værdipapirlovgivningen eller andre love eller regler i den pågældende jurisdiktion (de “</w:t>
      </w:r>
      <w:r w:rsidR="004A1691">
        <w:rPr>
          <w:b/>
          <w:bCs/>
        </w:rPr>
        <w:t>Udelukkede</w:t>
      </w:r>
      <w:r w:rsidRPr="0072631A">
        <w:rPr>
          <w:b/>
          <w:bCs/>
        </w:rPr>
        <w:t xml:space="preserve"> Jurisdiktioner</w:t>
      </w:r>
      <w:r w:rsidRPr="0072631A">
        <w:t xml:space="preserve">”). Personer, der modtager denne meddelelse og/eller kommer i besiddelse af denne meddelelse, skal tage behørigt hensyn til og overholde alle sådanne begrænsninger og indhente de nødvendige tilladelser, godkendelser eller samtykker. Hverken Freudenberg eller nogen af dets rådgivere påtager sig noget ansvar for nogen persons overtrædelse af sådanne begrænsninger. Enhver person (herunder, men ikke begrænset til, depotforvaltere, </w:t>
      </w:r>
      <w:proofErr w:type="spellStart"/>
      <w:r w:rsidRPr="0072631A">
        <w:t>nominees</w:t>
      </w:r>
      <w:proofErr w:type="spellEnd"/>
      <w:r w:rsidRPr="0072631A">
        <w:t xml:space="preserve"> og </w:t>
      </w:r>
      <w:proofErr w:type="spellStart"/>
      <w:r w:rsidRPr="0072631A">
        <w:t>trustees</w:t>
      </w:r>
      <w:proofErr w:type="spellEnd"/>
      <w:r w:rsidRPr="0072631A">
        <w:t>), der har til hensigt at videresende denne meddelelse til en jurisdiktion uden for Danmark, bør informere sig om lovgivningen i den relevante jurisdiktion, inden der træffes nogen foranstaltninger. Distributionen af denne meddelelse i andre jurisdiktioner end Danmark kan være begrænset af lovgivningen, og personer, der kommer i besiddelse af denne meddelelse, bør derfor informere sig om og overholde sådanne begrænsninger. Manglende overholdelse af sådanne begrænsninger kan udgøre en overtrædelse af værdipapirlovgivningen og -reglerne i en sådan jurisdiktion.</w:t>
      </w:r>
      <w:r w:rsidRPr="0072631A" w:rsidDel="00540F09">
        <w:t xml:space="preserve"> </w:t>
      </w:r>
    </w:p>
    <w:p w14:paraId="43577F22" w14:textId="77777777" w:rsidR="0072631A" w:rsidRDefault="0072631A" w:rsidP="005E13EC"/>
    <w:p w14:paraId="169B2D6C" w14:textId="77777777" w:rsidR="0072631A" w:rsidRPr="0072631A" w:rsidRDefault="0072631A" w:rsidP="005E13EC">
      <w:pPr>
        <w:rPr>
          <w:b/>
          <w:bCs/>
        </w:rPr>
      </w:pPr>
      <w:r w:rsidRPr="0072631A">
        <w:rPr>
          <w:b/>
          <w:bCs/>
        </w:rPr>
        <w:t xml:space="preserve">Meddelelse til Nilfisks aktionærer i USA </w:t>
      </w:r>
    </w:p>
    <w:p w14:paraId="1FF4B539" w14:textId="7437843F" w:rsidR="003B0F9F" w:rsidRDefault="0072631A" w:rsidP="005E13EC">
      <w:r w:rsidRPr="0072631A">
        <w:t>Aktionærer i USA (“</w:t>
      </w:r>
      <w:r w:rsidRPr="0072631A">
        <w:rPr>
          <w:b/>
          <w:bCs/>
        </w:rPr>
        <w:t>USA</w:t>
      </w:r>
      <w:r w:rsidRPr="0072631A">
        <w:t xml:space="preserve">”) gøres opmærksom på, at aktierne ikke er noteret på en amerikansk fondsbørs, og at Nilfisk ikke er underlagt de periodiske rapporteringskrav i den amerikanske børslov (U.S. Exchange </w:t>
      </w:r>
      <w:proofErr w:type="spellStart"/>
      <w:r w:rsidRPr="0072631A">
        <w:t>Act</w:t>
      </w:r>
      <w:proofErr w:type="spellEnd"/>
      <w:r w:rsidRPr="0072631A">
        <w:t xml:space="preserve">) og ikke er forpligtet til at indsende rapporter til den amerikanske børstilsynsmyndighed (U.S. </w:t>
      </w:r>
      <w:proofErr w:type="spellStart"/>
      <w:r w:rsidRPr="0072631A">
        <w:t>Securities</w:t>
      </w:r>
      <w:proofErr w:type="spellEnd"/>
      <w:r w:rsidRPr="0072631A">
        <w:t xml:space="preserve"> and Exchange </w:t>
      </w:r>
      <w:proofErr w:type="spellStart"/>
      <w:r w:rsidRPr="0072631A">
        <w:t>Commission</w:t>
      </w:r>
      <w:proofErr w:type="spellEnd"/>
      <w:r w:rsidRPr="0072631A">
        <w:t>, “</w:t>
      </w:r>
      <w:r w:rsidRPr="0072631A">
        <w:rPr>
          <w:b/>
          <w:bCs/>
        </w:rPr>
        <w:t>SEC</w:t>
      </w:r>
      <w:r w:rsidRPr="0072631A">
        <w:t xml:space="preserve">”) i henhold til denne lov. Tilbuddet fremsættes til amerikanske aktionærer i henhold til </w:t>
      </w:r>
      <w:proofErr w:type="spellStart"/>
      <w:r w:rsidR="00382AF9">
        <w:t>Section</w:t>
      </w:r>
      <w:proofErr w:type="spellEnd"/>
      <w:r w:rsidRPr="0072631A">
        <w:t xml:space="preserve"> 14(e) og </w:t>
      </w:r>
      <w:proofErr w:type="spellStart"/>
      <w:r w:rsidR="00382AF9">
        <w:t>Regulation</w:t>
      </w:r>
      <w:proofErr w:type="spellEnd"/>
      <w:r w:rsidR="00382AF9" w:rsidRPr="0072631A">
        <w:t xml:space="preserve"> </w:t>
      </w:r>
      <w:r w:rsidRPr="0072631A">
        <w:t xml:space="preserve">14E i </w:t>
      </w:r>
      <w:r w:rsidR="00382AF9">
        <w:t xml:space="preserve">U.S. Exchange </w:t>
      </w:r>
      <w:proofErr w:type="spellStart"/>
      <w:r w:rsidR="00382AF9">
        <w:t>Act</w:t>
      </w:r>
      <w:proofErr w:type="spellEnd"/>
      <w:r w:rsidRPr="0072631A">
        <w:t xml:space="preserve"> og på samme vilkår og betingelser som dem, der gælder for alle andre aktionærer, som </w:t>
      </w:r>
      <w:r w:rsidR="00F20964">
        <w:t>T</w:t>
      </w:r>
      <w:r w:rsidR="00F20964" w:rsidRPr="0072631A">
        <w:t xml:space="preserve">ilbuddet </w:t>
      </w:r>
      <w:r w:rsidRPr="0072631A">
        <w:t xml:space="preserve">fremsættes til. Alle informationsdokumenter, herunder </w:t>
      </w:r>
      <w:r w:rsidR="00F20964">
        <w:t>T</w:t>
      </w:r>
      <w:r w:rsidR="00F20964" w:rsidRPr="0072631A">
        <w:t>ilbudsdokumentet</w:t>
      </w:r>
      <w:r w:rsidRPr="0072631A">
        <w:t xml:space="preserve">, vil blive udsendt til amerikanske aktionærer på engelsk på samme måde, som sådanne dokumenter udleveres til de øvrige aktionærer, som Tilbuddet rettes til. </w:t>
      </w:r>
    </w:p>
    <w:p w14:paraId="09374EE3" w14:textId="77777777" w:rsidR="003B0F9F" w:rsidRDefault="003B0F9F" w:rsidP="005E13EC"/>
    <w:p w14:paraId="3A245C3C" w14:textId="1915D59B" w:rsidR="00145300" w:rsidRDefault="0072631A" w:rsidP="005E13EC">
      <w:r w:rsidRPr="0072631A">
        <w:t xml:space="preserve">Tilbuddet fremsættes af Freudenberg og ingen andre. Tilbuddet fremsættes til amerikanske aktionærer i henhold til Tier I-undtagelsen og i øvrigt i overensstemmelse med kravene i dansk lovgivning. Tilbuddet er derfor underlagt oplysnings- og andre procedurekrav, herunder med hensyn til </w:t>
      </w:r>
      <w:r w:rsidR="005913A1" w:rsidRPr="0072631A">
        <w:t>tilbage</w:t>
      </w:r>
      <w:r w:rsidR="005913A1">
        <w:t>kaldelse</w:t>
      </w:r>
      <w:r w:rsidR="005913A1" w:rsidRPr="0072631A">
        <w:t>sret</w:t>
      </w:r>
      <w:r w:rsidR="00E0477D">
        <w:t>tigheder</w:t>
      </w:r>
      <w:r w:rsidRPr="0072631A">
        <w:t xml:space="preserve">, </w:t>
      </w:r>
      <w:r w:rsidR="00E0477D">
        <w:t>tilbuds</w:t>
      </w:r>
      <w:r w:rsidRPr="0072631A">
        <w:t>tidsplan, af</w:t>
      </w:r>
      <w:r w:rsidR="005913A1">
        <w:t>viklings</w:t>
      </w:r>
      <w:r w:rsidRPr="0072631A">
        <w:t xml:space="preserve">procedurer, frafald af betingelser og </w:t>
      </w:r>
      <w:r w:rsidR="00E0477D" w:rsidRPr="0072631A">
        <w:t>betalings</w:t>
      </w:r>
      <w:r w:rsidR="00E0477D">
        <w:t>frister</w:t>
      </w:r>
      <w:r w:rsidRPr="0072631A">
        <w:t xml:space="preserve">, som adskiller sig fra de krav, der ville være gældende i henhold til de amerikanske regler for overtagelsestilbud. </w:t>
      </w:r>
    </w:p>
    <w:p w14:paraId="3F461B08" w14:textId="77777777" w:rsidR="00145300" w:rsidRDefault="00145300" w:rsidP="005E13EC"/>
    <w:p w14:paraId="3F536278" w14:textId="0C346D4B" w:rsidR="0072631A" w:rsidRDefault="0072631A" w:rsidP="005E13EC">
      <w:r w:rsidRPr="0072631A">
        <w:t xml:space="preserve">I det omfang det er tilladt i henhold til dansk lovgivning og praksis og i </w:t>
      </w:r>
      <w:r w:rsidR="00E0477D">
        <w:t xml:space="preserve">henhold til </w:t>
      </w:r>
      <w:proofErr w:type="spellStart"/>
      <w:r w:rsidR="005913A1">
        <w:t>Rule</w:t>
      </w:r>
      <w:proofErr w:type="spellEnd"/>
      <w:r w:rsidR="005913A1" w:rsidRPr="0072631A">
        <w:t xml:space="preserve"> </w:t>
      </w:r>
      <w:r w:rsidRPr="0072631A">
        <w:t xml:space="preserve">14e-5(b) i U.S. Exchange </w:t>
      </w:r>
      <w:proofErr w:type="spellStart"/>
      <w:r w:rsidRPr="0072631A">
        <w:t>Act</w:t>
      </w:r>
      <w:proofErr w:type="spellEnd"/>
      <w:r w:rsidRPr="0072631A">
        <w:t xml:space="preserve">, kan Freudenberg og dets tilknyttede selskaber eller mæglere (der fungerer som agenter for Freudenberg eller dets tilknyttede selskaber, alt efter </w:t>
      </w:r>
      <w:r w:rsidR="005913A1">
        <w:t>omstændighederne</w:t>
      </w:r>
      <w:r w:rsidRPr="0072631A">
        <w:t xml:space="preserve">) </w:t>
      </w:r>
      <w:r w:rsidR="00E0477D">
        <w:t xml:space="preserve">til enhver tid </w:t>
      </w:r>
      <w:r w:rsidRPr="0072631A">
        <w:t xml:space="preserve">og </w:t>
      </w:r>
      <w:r w:rsidR="00E0477D">
        <w:t xml:space="preserve">på anden måde end </w:t>
      </w:r>
      <w:r w:rsidRPr="0072631A">
        <w:t>i henhold til Tilbuddet, direkte eller indirekte</w:t>
      </w:r>
      <w:r w:rsidR="00E0477D">
        <w:t>,</w:t>
      </w:r>
      <w:r w:rsidRPr="0072631A">
        <w:t xml:space="preserve"> købe eller </w:t>
      </w:r>
      <w:r w:rsidR="00E0477D">
        <w:t xml:space="preserve">indgå aftale om </w:t>
      </w:r>
      <w:r w:rsidRPr="0072631A">
        <w:t xml:space="preserve">køb af aktier eller værdipapirer, der kan konverteres, ombyttes eller udnyttes til sådanne aktier uden for USA i den periode, hvor Tilbuddet er åbent for accept, så længe disse </w:t>
      </w:r>
      <w:r w:rsidR="00E0477D">
        <w:t>køb</w:t>
      </w:r>
      <w:r w:rsidR="00E0477D" w:rsidRPr="0072631A">
        <w:t xml:space="preserve"> </w:t>
      </w:r>
      <w:r w:rsidRPr="0072631A">
        <w:t xml:space="preserve">eller </w:t>
      </w:r>
      <w:r w:rsidR="00E0477D">
        <w:t>aftaler om køb</w:t>
      </w:r>
      <w:r w:rsidR="00E0477D" w:rsidRPr="0072631A">
        <w:t xml:space="preserve"> </w:t>
      </w:r>
      <w:r w:rsidRPr="0072631A">
        <w:t xml:space="preserve">er i overensstemmelse med gældende dansk </w:t>
      </w:r>
      <w:r w:rsidR="00E0477D">
        <w:t>lovgivning</w:t>
      </w:r>
      <w:r w:rsidRPr="0072631A">
        <w:t xml:space="preserve">. I det omfang oplysninger om sådanne køb eller aftaler om køb offentliggøres i Danmark, vil sådanne oplysninger blive offentliggjort i form af en pressemeddelelse på engelsk via et elektronisk informationsdistributionssystem i USA eller </w:t>
      </w:r>
      <w:r w:rsidR="00E0477D">
        <w:t>på anden vis</w:t>
      </w:r>
      <w:r w:rsidRPr="0072631A">
        <w:t xml:space="preserve">, der med rimelighed </w:t>
      </w:r>
      <w:r w:rsidR="00E0477D">
        <w:t xml:space="preserve">anses for at oplyse </w:t>
      </w:r>
      <w:r w:rsidRPr="0072631A">
        <w:t xml:space="preserve">amerikanske aktionærer </w:t>
      </w:r>
      <w:r w:rsidR="00E0477D">
        <w:t>her</w:t>
      </w:r>
      <w:r w:rsidRPr="0072631A">
        <w:t xml:space="preserve">om. </w:t>
      </w:r>
      <w:r w:rsidR="00E0477D">
        <w:t>Som led i</w:t>
      </w:r>
      <w:r w:rsidRPr="0072631A">
        <w:t xml:space="preserve"> den normale forretningsgang kan den finansielle rådgiver for Freudenberg og dets tilknyttede selskaber foretage eller besidde en bred vifte af investeringer, herunder fungere som modpart i visse </w:t>
      </w:r>
      <w:r w:rsidR="00E0477D" w:rsidRPr="0072631A">
        <w:t>derivat</w:t>
      </w:r>
      <w:r w:rsidR="00E0477D">
        <w:t>-</w:t>
      </w:r>
      <w:r w:rsidR="00E0477D" w:rsidRPr="0072631A">
        <w:t xml:space="preserve"> </w:t>
      </w:r>
      <w:r w:rsidRPr="0072631A">
        <w:t xml:space="preserve">og sikringsaftaler og aktivt handle med gælds- og </w:t>
      </w:r>
      <w:r w:rsidR="00E0477D">
        <w:t>aktieinstrumenter</w:t>
      </w:r>
      <w:r w:rsidRPr="0072631A">
        <w:t xml:space="preserve"> (eller relaterede afledte finansielle instrumenter) og andre typer finansielle instrumenter (herunder banklån) for egen regning og for deres kunders regning, og sådanne </w:t>
      </w:r>
      <w:r w:rsidR="00E0477D" w:rsidRPr="0072631A">
        <w:t>investering</w:t>
      </w:r>
      <w:r w:rsidR="00E0477D">
        <w:t>er</w:t>
      </w:r>
      <w:r w:rsidR="00E0477D" w:rsidRPr="0072631A">
        <w:t xml:space="preserve"> </w:t>
      </w:r>
      <w:r w:rsidRPr="0072631A">
        <w:t xml:space="preserve">og finansielle instrumenter kan omfatte værdipapirer og/eller instrumenter </w:t>
      </w:r>
      <w:r w:rsidR="00E0477D">
        <w:t>i</w:t>
      </w:r>
      <w:r w:rsidR="00E0477D" w:rsidRPr="0072631A">
        <w:t xml:space="preserve"> </w:t>
      </w:r>
      <w:r w:rsidRPr="0072631A">
        <w:t>Nilfisk.</w:t>
      </w:r>
    </w:p>
    <w:p w14:paraId="28D596C4" w14:textId="77777777" w:rsidR="0072631A" w:rsidRDefault="0072631A" w:rsidP="005E13EC"/>
    <w:p w14:paraId="724857D6" w14:textId="77777777" w:rsidR="0072631A" w:rsidRPr="0072631A" w:rsidRDefault="0072631A" w:rsidP="005E13EC">
      <w:pPr>
        <w:rPr>
          <w:b/>
          <w:bCs/>
        </w:rPr>
      </w:pPr>
      <w:r w:rsidRPr="0072631A">
        <w:rPr>
          <w:b/>
          <w:bCs/>
        </w:rPr>
        <w:t>Meddelelse til Nilfisks aktionærer i Storbritannien</w:t>
      </w:r>
    </w:p>
    <w:p w14:paraId="4AA2DAA1" w14:textId="1DE139A8" w:rsidR="0072631A" w:rsidRPr="0072631A" w:rsidRDefault="0072631A" w:rsidP="005E13EC">
      <w:r w:rsidRPr="0072631A">
        <w:t xml:space="preserve">Denne meddelelse og Tilbuddet er ikke godkendt af en autoriseret person i henhold til </w:t>
      </w:r>
      <w:proofErr w:type="spellStart"/>
      <w:r w:rsidR="005913A1">
        <w:t>Section</w:t>
      </w:r>
      <w:proofErr w:type="spellEnd"/>
      <w:r w:rsidR="005913A1" w:rsidRPr="0072631A">
        <w:t xml:space="preserve"> </w:t>
      </w:r>
      <w:r w:rsidRPr="0072631A">
        <w:t xml:space="preserve">21 i Financial Services and Markets </w:t>
      </w:r>
      <w:proofErr w:type="spellStart"/>
      <w:r w:rsidRPr="0072631A">
        <w:t>Act</w:t>
      </w:r>
      <w:proofErr w:type="spellEnd"/>
      <w:r w:rsidRPr="0072631A">
        <w:t xml:space="preserve"> 2000 (med senere ændringer). Den er kun rettet mod “</w:t>
      </w:r>
      <w:r w:rsidRPr="0072631A">
        <w:rPr>
          <w:b/>
          <w:bCs/>
        </w:rPr>
        <w:t>Relevante Personer</w:t>
      </w:r>
      <w:r w:rsidRPr="0072631A">
        <w:t>”, dvs. (i) personer i Det Forenede Kongerige (“</w:t>
      </w:r>
      <w:r w:rsidRPr="0072631A">
        <w:rPr>
          <w:b/>
          <w:bCs/>
        </w:rPr>
        <w:t>UK</w:t>
      </w:r>
      <w:r w:rsidRPr="0072631A">
        <w:t xml:space="preserve">”), der er </w:t>
      </w:r>
      <w:r w:rsidR="00E0477D">
        <w:t>”</w:t>
      </w:r>
      <w:proofErr w:type="spellStart"/>
      <w:r w:rsidR="00E0477D">
        <w:t>investment</w:t>
      </w:r>
      <w:proofErr w:type="spellEnd"/>
      <w:r w:rsidR="00E0477D">
        <w:t xml:space="preserve"> professionals” som defineret i </w:t>
      </w:r>
      <w:r w:rsidR="005913A1">
        <w:t>Article</w:t>
      </w:r>
      <w:r w:rsidR="005913A1" w:rsidRPr="0072631A">
        <w:t xml:space="preserve"> </w:t>
      </w:r>
      <w:r w:rsidRPr="0072631A">
        <w:t>19</w:t>
      </w:r>
      <w:r w:rsidR="005913A1">
        <w:t>(</w:t>
      </w:r>
      <w:r w:rsidRPr="0072631A">
        <w:t>5</w:t>
      </w:r>
      <w:r w:rsidR="005913A1">
        <w:t>)</w:t>
      </w:r>
      <w:r w:rsidR="005913A1" w:rsidRPr="0072631A">
        <w:t xml:space="preserve"> </w:t>
      </w:r>
      <w:r w:rsidRPr="0072631A">
        <w:t xml:space="preserve">i Financial Services and Markets </w:t>
      </w:r>
      <w:proofErr w:type="spellStart"/>
      <w:r w:rsidRPr="0072631A">
        <w:t>Act</w:t>
      </w:r>
      <w:proofErr w:type="spellEnd"/>
      <w:r w:rsidRPr="0072631A">
        <w:t xml:space="preserve"> 2000 (Financial Promotion) Order 2005, (ii) personer, der falder ind under </w:t>
      </w:r>
      <w:r w:rsidR="005913A1">
        <w:t>Article</w:t>
      </w:r>
      <w:r w:rsidRPr="0072631A">
        <w:t xml:space="preserve"> 49</w:t>
      </w:r>
      <w:r w:rsidR="005913A1">
        <w:t>(2)(a)-(d)</w:t>
      </w:r>
      <w:r w:rsidRPr="0072631A">
        <w:t xml:space="preserve"> i Financial Services and Markets </w:t>
      </w:r>
      <w:proofErr w:type="spellStart"/>
      <w:r w:rsidRPr="0072631A">
        <w:t>Act</w:t>
      </w:r>
      <w:proofErr w:type="spellEnd"/>
      <w:r w:rsidRPr="0072631A">
        <w:t xml:space="preserve"> 2000 (Financial Promotion) Order 2005 (</w:t>
      </w:r>
      <w:r w:rsidR="00E0477D">
        <w:t>selskaber med store formuer,</w:t>
      </w:r>
      <w:r w:rsidRPr="0072631A">
        <w:t xml:space="preserve"> foreninger uden selskabsform, partnerskaber og </w:t>
      </w:r>
      <w:proofErr w:type="spellStart"/>
      <w:r w:rsidRPr="0072631A">
        <w:t>trustees</w:t>
      </w:r>
      <w:proofErr w:type="spellEnd"/>
      <w:r w:rsidRPr="0072631A">
        <w:t xml:space="preserve"> for </w:t>
      </w:r>
      <w:r w:rsidR="00E0477D">
        <w:t>trusts med store formuer</w:t>
      </w:r>
      <w:r w:rsidRPr="0072631A">
        <w:t xml:space="preserve">), (iii) personer uden for UK, eller (iv) andre personer, til hvem det lovligt kan videregives i henhold til Financial Services and Markets </w:t>
      </w:r>
      <w:proofErr w:type="spellStart"/>
      <w:r w:rsidRPr="0072631A">
        <w:t>Act</w:t>
      </w:r>
      <w:proofErr w:type="spellEnd"/>
      <w:r w:rsidRPr="0072631A">
        <w:t xml:space="preserve"> 2000 (Financial Promotion) Order 2005. Enhver investering eller investeringsaktivitet, som Tilbuddet vedrører, er kun tilgængelig for og vil kun blive udført med </w:t>
      </w:r>
      <w:r w:rsidR="00145300">
        <w:t>R</w:t>
      </w:r>
      <w:r w:rsidRPr="0072631A">
        <w:t xml:space="preserve">elevante </w:t>
      </w:r>
      <w:r w:rsidR="00145300">
        <w:t>P</w:t>
      </w:r>
      <w:r w:rsidRPr="0072631A">
        <w:t xml:space="preserve">ersoner. Personer, der ikke er </w:t>
      </w:r>
      <w:r w:rsidR="00FE638E">
        <w:t>R</w:t>
      </w:r>
      <w:r w:rsidRPr="0072631A">
        <w:t xml:space="preserve">elevante </w:t>
      </w:r>
      <w:r w:rsidR="00FE638E">
        <w:t>P</w:t>
      </w:r>
      <w:r w:rsidRPr="0072631A">
        <w:t xml:space="preserve">ersoner (herunder, men ikke begrænset til, den brede offentlighed i UK), må ikke handle </w:t>
      </w:r>
      <w:r w:rsidR="00E0477D">
        <w:t>på baggrund af</w:t>
      </w:r>
      <w:r w:rsidRPr="0072631A">
        <w:t xml:space="preserve"> eller </w:t>
      </w:r>
      <w:r w:rsidR="00E0477D">
        <w:t>henholde sig til</w:t>
      </w:r>
      <w:r w:rsidR="00E0477D" w:rsidRPr="0072631A">
        <w:t xml:space="preserve"> </w:t>
      </w:r>
      <w:r w:rsidRPr="0072631A">
        <w:t>Tilbuddet</w:t>
      </w:r>
      <w:r w:rsidR="00145300">
        <w:t>.</w:t>
      </w:r>
    </w:p>
    <w:p w14:paraId="289075B1" w14:textId="77777777" w:rsidR="00F5778C" w:rsidRPr="00CA0877" w:rsidRDefault="00F5778C" w:rsidP="005E13EC"/>
    <w:sectPr w:rsidR="00F5778C" w:rsidRPr="00CA0877" w:rsidSect="004749C0">
      <w:headerReference w:type="even" r:id="rId17"/>
      <w:headerReference w:type="default" r:id="rId18"/>
      <w:footerReference w:type="even" r:id="rId19"/>
      <w:footerReference w:type="default" r:id="rId20"/>
      <w:headerReference w:type="first" r:id="rId21"/>
      <w:footerReference w:type="first" r:id="rId22"/>
      <w:pgSz w:w="11906" w:h="16838" w:code="9"/>
      <w:pgMar w:top="2268" w:right="2552" w:bottom="1361" w:left="1304" w:header="425" w:footer="425" w:gutter="0"/>
      <w:paperSrc w:first="1" w:other="3"/>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9837" w14:textId="77777777" w:rsidR="00F93C1F" w:rsidRPr="004749C0" w:rsidRDefault="00F93C1F">
      <w:r w:rsidRPr="004749C0">
        <w:separator/>
      </w:r>
    </w:p>
  </w:endnote>
  <w:endnote w:type="continuationSeparator" w:id="0">
    <w:p w14:paraId="0C103F59" w14:textId="77777777" w:rsidR="00F93C1F" w:rsidRPr="004749C0" w:rsidRDefault="00F93C1F">
      <w:r w:rsidRPr="004749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9A9A" w14:textId="77777777" w:rsidR="001C13A4" w:rsidRDefault="001C1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6753" w14:textId="77777777" w:rsidR="00CA4D22" w:rsidRPr="0072631A" w:rsidRDefault="00CA4D22" w:rsidP="00B56721">
    <w:pPr>
      <w:pStyle w:val="Header"/>
      <w:jc w:val="right"/>
      <w:rPr>
        <w:noProof w:val="0"/>
        <w:sz w:val="12"/>
        <w:szCs w:val="12"/>
      </w:rPr>
    </w:pPr>
    <w:r w:rsidRPr="0072631A">
      <w:rPr>
        <w:noProof w:val="0"/>
        <w:sz w:val="12"/>
        <w:szCs w:val="12"/>
      </w:rPr>
      <w:t xml:space="preserve">Page </w:t>
    </w:r>
    <w:r w:rsidRPr="0072631A">
      <w:rPr>
        <w:noProof w:val="0"/>
        <w:sz w:val="12"/>
        <w:szCs w:val="12"/>
      </w:rPr>
      <w:fldChar w:fldCharType="begin"/>
    </w:r>
    <w:r w:rsidRPr="0072631A">
      <w:rPr>
        <w:noProof w:val="0"/>
        <w:sz w:val="12"/>
        <w:szCs w:val="12"/>
      </w:rPr>
      <w:instrText xml:space="preserve"> PAGE </w:instrText>
    </w:r>
    <w:r w:rsidRPr="0072631A">
      <w:rPr>
        <w:noProof w:val="0"/>
        <w:sz w:val="12"/>
        <w:szCs w:val="12"/>
      </w:rPr>
      <w:fldChar w:fldCharType="separate"/>
    </w:r>
    <w:r w:rsidR="007035B6" w:rsidRPr="0072631A">
      <w:rPr>
        <w:noProof w:val="0"/>
        <w:sz w:val="12"/>
        <w:szCs w:val="12"/>
      </w:rPr>
      <w:t>3</w:t>
    </w:r>
    <w:r w:rsidRPr="0072631A">
      <w:rPr>
        <w:noProof w:val="0"/>
        <w:sz w:val="12"/>
        <w:szCs w:val="12"/>
      </w:rPr>
      <w:fldChar w:fldCharType="end"/>
    </w:r>
    <w:r w:rsidRPr="0072631A">
      <w:rPr>
        <w:noProof w:val="0"/>
        <w:sz w:val="12"/>
        <w:szCs w:val="12"/>
      </w:rPr>
      <w:t xml:space="preserve"> of </w:t>
    </w:r>
    <w:r w:rsidRPr="0072631A">
      <w:rPr>
        <w:noProof w:val="0"/>
        <w:sz w:val="12"/>
        <w:szCs w:val="12"/>
      </w:rPr>
      <w:fldChar w:fldCharType="begin"/>
    </w:r>
    <w:r w:rsidRPr="0072631A">
      <w:rPr>
        <w:noProof w:val="0"/>
        <w:sz w:val="12"/>
        <w:szCs w:val="12"/>
      </w:rPr>
      <w:instrText xml:space="preserve"> NUMPAGES </w:instrText>
    </w:r>
    <w:r w:rsidRPr="0072631A">
      <w:rPr>
        <w:noProof w:val="0"/>
        <w:sz w:val="12"/>
        <w:szCs w:val="12"/>
      </w:rPr>
      <w:fldChar w:fldCharType="separate"/>
    </w:r>
    <w:r w:rsidR="007035B6" w:rsidRPr="0072631A">
      <w:rPr>
        <w:noProof w:val="0"/>
        <w:sz w:val="12"/>
        <w:szCs w:val="12"/>
      </w:rPr>
      <w:t>3</w:t>
    </w:r>
    <w:r w:rsidRPr="0072631A">
      <w:rPr>
        <w:noProof w:val="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574E" w14:textId="77777777" w:rsidR="001C13A4" w:rsidRDefault="001C1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184EB" w14:textId="77777777" w:rsidR="00F93C1F" w:rsidRPr="004749C0" w:rsidRDefault="00F93C1F">
      <w:r w:rsidRPr="004749C0">
        <w:separator/>
      </w:r>
    </w:p>
  </w:footnote>
  <w:footnote w:type="continuationSeparator" w:id="0">
    <w:p w14:paraId="4DCEC179" w14:textId="77777777" w:rsidR="00F93C1F" w:rsidRPr="004749C0" w:rsidRDefault="00F93C1F">
      <w:r w:rsidRPr="004749C0">
        <w:continuationSeparator/>
      </w:r>
    </w:p>
  </w:footnote>
  <w:footnote w:id="1">
    <w:p w14:paraId="0489F37A" w14:textId="5F435D66" w:rsidR="004749C0" w:rsidRPr="003B0F9F" w:rsidRDefault="004749C0" w:rsidP="004749C0">
      <w:pPr>
        <w:pStyle w:val="FootnoteText"/>
      </w:pPr>
      <w:r w:rsidRPr="004749C0">
        <w:rPr>
          <w:rStyle w:val="FootnoteReference"/>
        </w:rPr>
        <w:footnoteRef/>
      </w:r>
      <w:r w:rsidRPr="00CB42F2">
        <w:t xml:space="preserve"> E</w:t>
      </w:r>
      <w:r w:rsidR="00CB42F2" w:rsidRPr="0072631A">
        <w:t>ks</w:t>
      </w:r>
      <w:r w:rsidR="00CB42F2">
        <w:t>k</w:t>
      </w:r>
      <w:r w:rsidRPr="00CB42F2">
        <w:t xml:space="preserve">lusive Nilfisks </w:t>
      </w:r>
      <w:r w:rsidR="00CB42F2" w:rsidRPr="0072631A">
        <w:t>beholdning af</w:t>
      </w:r>
      <w:r w:rsidRPr="00CB42F2">
        <w:t xml:space="preserve"> 243 </w:t>
      </w:r>
      <w:r w:rsidR="00CB42F2" w:rsidRPr="0072631A">
        <w:t>egne aktier pr.</w:t>
      </w:r>
      <w:r w:rsidRPr="00CB42F2">
        <w:t xml:space="preserve"> </w:t>
      </w:r>
      <w:r w:rsidR="003B0F9F">
        <w:t>7. januar 2026.</w:t>
      </w:r>
    </w:p>
  </w:footnote>
  <w:footnote w:id="2">
    <w:p w14:paraId="444D0734" w14:textId="56B951EA" w:rsidR="00CB42F2" w:rsidRPr="00CB42F2" w:rsidRDefault="00CB42F2" w:rsidP="00CB42F2">
      <w:pPr>
        <w:pStyle w:val="FootnoteText"/>
      </w:pPr>
      <w:r w:rsidRPr="004749C0">
        <w:rPr>
          <w:rStyle w:val="FootnoteReference"/>
        </w:rPr>
        <w:footnoteRef/>
      </w:r>
      <w:r w:rsidRPr="00CB42F2">
        <w:t xml:space="preserve"> </w:t>
      </w:r>
      <w:r w:rsidRPr="0072631A">
        <w:t>Valutakurs på</w:t>
      </w:r>
      <w:r w:rsidRPr="00CB42F2">
        <w:t xml:space="preserve"> 7</w:t>
      </w:r>
      <w:r w:rsidRPr="0072631A">
        <w:t>,</w:t>
      </w:r>
      <w:r w:rsidRPr="00CB42F2">
        <w:t xml:space="preserve">46944809 </w:t>
      </w:r>
      <w:r w:rsidRPr="0072631A">
        <w:t>pr.</w:t>
      </w:r>
      <w:r w:rsidRPr="00CB42F2">
        <w:t xml:space="preserve"> 10</w:t>
      </w:r>
      <w:r w:rsidRPr="0072631A">
        <w:t>.</w:t>
      </w:r>
      <w:r w:rsidRPr="00CB42F2">
        <w:t xml:space="preserve"> </w:t>
      </w:r>
      <w:r w:rsidRPr="0072631A">
        <w:t>d</w:t>
      </w:r>
      <w:r w:rsidRPr="00CB42F2">
        <w:t>ecember 2025.</w:t>
      </w:r>
    </w:p>
  </w:footnote>
  <w:footnote w:id="3">
    <w:p w14:paraId="38D07AA6" w14:textId="5F3FBF75" w:rsidR="00E62516" w:rsidRDefault="00E62516">
      <w:pPr>
        <w:pStyle w:val="FootnoteText"/>
      </w:pPr>
      <w:r>
        <w:rPr>
          <w:rStyle w:val="FootnoteReference"/>
        </w:rPr>
        <w:footnoteRef/>
      </w:r>
      <w:r>
        <w:t xml:space="preserve"> </w:t>
      </w:r>
      <w:r w:rsidRPr="00E62516">
        <w:t>Betaling til Aktionærer, der ikke har en dansk bankkonto, kan tage længere 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F45C" w14:textId="77777777" w:rsidR="001C13A4" w:rsidRDefault="001C1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6E0" w14:textId="62C3D331" w:rsidR="00C54518" w:rsidRPr="0072631A" w:rsidRDefault="00C54518" w:rsidP="00C54518">
    <w:pPr>
      <w:pStyle w:val="Header"/>
      <w:rPr>
        <w:rFonts w:ascii="Arial" w:hAnsi="Arial" w:cs="Arial"/>
        <w:noProof w:val="0"/>
        <w:color w:val="2C806F"/>
      </w:rPr>
    </w:pPr>
    <w:bookmarkStart w:id="2" w:name="_Hlk51693551"/>
    <w:bookmarkStart w:id="3" w:name="_Hlk51693552"/>
    <w:bookmarkStart w:id="4" w:name="_Hlk51693553"/>
    <w:bookmarkStart w:id="5" w:name="_Hlk51693554"/>
    <w:bookmarkStart w:id="6" w:name="_Hlk51693555"/>
    <w:bookmarkStart w:id="7" w:name="_Hlk51693556"/>
    <w:bookmarkStart w:id="8" w:name="_Hlk51693557"/>
    <w:bookmarkStart w:id="9" w:name="_Hlk51693558"/>
    <w:bookmarkStart w:id="10" w:name="_Hlk51693559"/>
    <w:bookmarkStart w:id="11" w:name="_Hlk51693560"/>
    <w:bookmarkStart w:id="12" w:name="_Hlk51693561"/>
    <w:bookmarkStart w:id="13" w:name="_Hlk51693562"/>
    <w:bookmarkStart w:id="14" w:name="_Hlk51693563"/>
    <w:bookmarkStart w:id="15" w:name="_Hlk51693564"/>
    <w:bookmarkStart w:id="16" w:name="_Hlk51693565"/>
    <w:bookmarkStart w:id="17" w:name="_Hlk51693566"/>
    <w:bookmarkStart w:id="18" w:name="_Hlk51693567"/>
    <w:bookmarkStart w:id="19" w:name="_Hlk51693568"/>
    <w:bookmarkStart w:id="20" w:name="_Hlk51693569"/>
    <w:bookmarkStart w:id="21" w:name="_Hlk51693570"/>
    <w:bookmarkStart w:id="22" w:name="_Hlk51693571"/>
    <w:bookmarkStart w:id="23" w:name="_Hlk51693572"/>
    <w:bookmarkStart w:id="24" w:name="_Hlk51693573"/>
    <w:bookmarkStart w:id="25" w:name="_Hlk51693574"/>
    <w:bookmarkStart w:id="26" w:name="_Hlk51693615"/>
    <w:bookmarkStart w:id="27" w:name="_Hlk51693616"/>
    <w:bookmarkStart w:id="28" w:name="_Hlk51693617"/>
    <w:bookmarkStart w:id="29" w:name="_Hlk51693618"/>
    <w:bookmarkStart w:id="30" w:name="_Hlk51693625"/>
    <w:bookmarkStart w:id="31" w:name="_Hlk51693626"/>
    <w:bookmarkStart w:id="32" w:name="_Hlk51693627"/>
    <w:bookmarkStart w:id="33" w:name="_Hlk51693628"/>
    <w:bookmarkStart w:id="34" w:name="_Hlk51693629"/>
    <w:bookmarkStart w:id="35" w:name="_Hlk51693630"/>
    <w:bookmarkStart w:id="36" w:name="_Hlk51693647"/>
    <w:bookmarkStart w:id="37" w:name="_Hlk51693648"/>
    <w:bookmarkStart w:id="38" w:name="_Hlk51693650"/>
    <w:bookmarkStart w:id="39" w:name="_Hlk51693651"/>
    <w:bookmarkStart w:id="40" w:name="_Hlk51693666"/>
    <w:bookmarkStart w:id="41" w:name="_Hlk51693667"/>
    <w:bookmarkStart w:id="42" w:name="_Hlk51693716"/>
    <w:bookmarkStart w:id="43" w:name="_Hlk51693717"/>
    <w:bookmarkStart w:id="44" w:name="_Hlk51693718"/>
    <w:bookmarkStart w:id="45" w:name="_Hlk51693719"/>
    <w:bookmarkStart w:id="46" w:name="_Hlk51693783"/>
    <w:bookmarkStart w:id="47" w:name="_Hlk51693784"/>
    <w:bookmarkStart w:id="48" w:name="_Hlk51851976"/>
    <w:bookmarkStart w:id="49" w:name="_Hlk51851977"/>
    <w:bookmarkStart w:id="50" w:name="_Hlk51851992"/>
    <w:bookmarkStart w:id="51" w:name="_Hlk51851993"/>
    <w:bookmarkStart w:id="52" w:name="_Hlk51852027"/>
    <w:bookmarkStart w:id="53" w:name="_Hlk51852028"/>
    <w:bookmarkStart w:id="54" w:name="_Hlk51852031"/>
    <w:bookmarkStart w:id="55" w:name="_Hlk51852032"/>
    <w:bookmarkStart w:id="56" w:name="_Hlk51852035"/>
    <w:bookmarkStart w:id="57" w:name="_Hlk51852036"/>
    <w:bookmarkStart w:id="58" w:name="_Hlk51852039"/>
    <w:bookmarkStart w:id="59" w:name="_Hlk51852040"/>
    <w:bookmarkStart w:id="60" w:name="_Hlk51852043"/>
    <w:bookmarkStart w:id="61" w:name="_Hlk51852044"/>
    <w:bookmarkStart w:id="62" w:name="_Hlk51852122"/>
    <w:bookmarkStart w:id="63" w:name="_Hlk51852123"/>
    <w:bookmarkStart w:id="64" w:name="_Hlk51852126"/>
    <w:bookmarkStart w:id="65" w:name="_Hlk51852127"/>
    <w:bookmarkStart w:id="66" w:name="_Hlk51852130"/>
    <w:bookmarkStart w:id="67" w:name="_Hlk51852131"/>
    <w:bookmarkStart w:id="68" w:name="_Hlk51852170"/>
    <w:bookmarkStart w:id="69" w:name="_Hlk51852171"/>
    <w:bookmarkStart w:id="70" w:name="_Hlk51852278"/>
    <w:bookmarkStart w:id="71" w:name="_Hlk51852279"/>
    <w:bookmarkStart w:id="72" w:name="_Hlk51852282"/>
    <w:bookmarkStart w:id="73" w:name="_Hlk51852283"/>
    <w:bookmarkStart w:id="74" w:name="_Hlk51852286"/>
    <w:bookmarkStart w:id="75" w:name="_Hlk51852287"/>
  </w:p>
  <w:p w14:paraId="7C46F413" w14:textId="77777777" w:rsidR="00C54518" w:rsidRPr="0072631A" w:rsidRDefault="00C54518" w:rsidP="00C54518">
    <w:pPr>
      <w:pStyle w:val="Header"/>
      <w:jc w:val="right"/>
      <w:rPr>
        <w:rFonts w:ascii="Poppins" w:hAnsi="Poppins" w:cs="Poppins"/>
        <w:i/>
        <w:iCs/>
        <w:noProof w:val="0"/>
        <w:color w:val="2C806F"/>
        <w:sz w:val="15"/>
        <w:szCs w:val="15"/>
      </w:rPr>
    </w:pPr>
  </w:p>
  <w:p w14:paraId="490E81E6" w14:textId="77777777" w:rsidR="00C54518" w:rsidRPr="0072631A" w:rsidRDefault="00C54518" w:rsidP="00C54518">
    <w:pPr>
      <w:pStyle w:val="Header"/>
      <w:jc w:val="right"/>
      <w:rPr>
        <w:rFonts w:ascii="Poppins" w:hAnsi="Poppins" w:cs="Poppins"/>
        <w:i/>
        <w:iCs/>
        <w:noProof w:val="0"/>
        <w:color w:val="2C806F"/>
        <w:sz w:val="15"/>
        <w:szCs w:val="15"/>
      </w:rPr>
    </w:pPr>
  </w:p>
  <w:p w14:paraId="7543BB3E" w14:textId="470F13F9" w:rsidR="00990933" w:rsidRPr="0072631A" w:rsidRDefault="00990933" w:rsidP="00990933">
    <w:pPr>
      <w:pStyle w:val="Header"/>
      <w:rPr>
        <w:noProof w:val="0"/>
      </w:rPr>
    </w:pPr>
  </w:p>
  <w:p w14:paraId="42734005" w14:textId="77777777" w:rsidR="00990933" w:rsidRPr="0072631A" w:rsidRDefault="00990933" w:rsidP="00990933">
    <w:pPr>
      <w:pStyle w:val="Header"/>
      <w:rPr>
        <w:noProof w:val="0"/>
      </w:rPr>
    </w:pPr>
  </w:p>
  <w:p w14:paraId="5A6BDB74" w14:textId="77777777" w:rsidR="00990933" w:rsidRPr="0072631A" w:rsidRDefault="00990933" w:rsidP="00990933">
    <w:pPr>
      <w:pStyle w:val="Header"/>
      <w:rPr>
        <w:noProof w:val="0"/>
      </w:rPr>
    </w:pPr>
  </w:p>
  <w:p w14:paraId="76CED099" w14:textId="77777777" w:rsidR="00990933" w:rsidRPr="0072631A" w:rsidRDefault="00990933" w:rsidP="00990933">
    <w:pPr>
      <w:pStyle w:val="Header"/>
      <w:rPr>
        <w:noProof w:val="0"/>
      </w:rPr>
    </w:pPr>
    <w:bookmarkStart w:id="76" w:name="Udkast2"/>
    <w:bookmarkEnd w:id="76"/>
    <w:r w:rsidRPr="0072631A">
      <w:rPr>
        <w:noProof w:val="0"/>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7256727" w14:textId="77777777" w:rsidR="00CA4D22" w:rsidRPr="0072631A" w:rsidRDefault="00CA4D22" w:rsidP="00990933">
    <w:pPr>
      <w:pStyle w:val="Header"/>
      <w:rPr>
        <w:noProof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4394" w14:textId="77777777" w:rsidR="00C54518" w:rsidRPr="0072631A" w:rsidRDefault="00C54518" w:rsidP="00C54518">
    <w:pPr>
      <w:pStyle w:val="Header"/>
      <w:jc w:val="right"/>
      <w:rPr>
        <w:rFonts w:ascii="Poppins" w:hAnsi="Poppins" w:cs="Poppins"/>
        <w:i/>
        <w:iCs/>
        <w:noProof w:val="0"/>
        <w:color w:val="2C806F"/>
        <w:sz w:val="15"/>
        <w:szCs w:val="15"/>
      </w:rPr>
    </w:pPr>
    <w:bookmarkStart w:id="77" w:name="_Hlk51693781"/>
    <w:bookmarkStart w:id="78" w:name="_Hlk51693782"/>
    <w:bookmarkStart w:id="79" w:name="_Hlk51693815"/>
    <w:bookmarkStart w:id="80" w:name="_Hlk51693816"/>
    <w:bookmarkStart w:id="81" w:name="_Hlk51693817"/>
    <w:bookmarkStart w:id="82" w:name="_Hlk51693818"/>
    <w:bookmarkStart w:id="83" w:name="_Hlk51693823"/>
    <w:bookmarkStart w:id="84" w:name="_Hlk51693824"/>
    <w:bookmarkStart w:id="85" w:name="_Hlk51693825"/>
    <w:bookmarkStart w:id="86" w:name="_Hlk51693826"/>
    <w:bookmarkStart w:id="87" w:name="_Hlk51693827"/>
    <w:bookmarkStart w:id="88" w:name="_Hlk51693828"/>
    <w:bookmarkStart w:id="89" w:name="_Hlk51693829"/>
    <w:bookmarkStart w:id="90" w:name="_Hlk51693830"/>
    <w:bookmarkStart w:id="91" w:name="_Hlk51693831"/>
    <w:bookmarkStart w:id="92" w:name="_Hlk51693832"/>
    <w:bookmarkStart w:id="93" w:name="_Hlk51693833"/>
    <w:bookmarkStart w:id="94" w:name="_Hlk51693834"/>
    <w:bookmarkStart w:id="95" w:name="_Hlk51693835"/>
    <w:bookmarkStart w:id="96" w:name="_Hlk51693836"/>
    <w:bookmarkStart w:id="97" w:name="_Hlk51693837"/>
    <w:bookmarkStart w:id="98" w:name="_Hlk51693838"/>
    <w:bookmarkStart w:id="99" w:name="_Hlk51693839"/>
    <w:bookmarkStart w:id="100" w:name="_Hlk51693840"/>
    <w:bookmarkStart w:id="101" w:name="_Hlk51693841"/>
    <w:bookmarkStart w:id="102" w:name="_Hlk51693842"/>
    <w:bookmarkStart w:id="103" w:name="_Hlk51851974"/>
    <w:bookmarkStart w:id="104" w:name="_Hlk51851975"/>
    <w:bookmarkStart w:id="105" w:name="_Hlk51851990"/>
    <w:bookmarkStart w:id="106" w:name="_Hlk51851991"/>
    <w:bookmarkStart w:id="107" w:name="_Hlk51852025"/>
    <w:bookmarkStart w:id="108" w:name="_Hlk51852026"/>
    <w:bookmarkStart w:id="109" w:name="_Hlk51852029"/>
    <w:bookmarkStart w:id="110" w:name="_Hlk51852030"/>
    <w:bookmarkStart w:id="111" w:name="_Hlk51852033"/>
    <w:bookmarkStart w:id="112" w:name="_Hlk51852034"/>
    <w:bookmarkStart w:id="113" w:name="_Hlk51852037"/>
    <w:bookmarkStart w:id="114" w:name="_Hlk51852038"/>
    <w:bookmarkStart w:id="115" w:name="_Hlk51852041"/>
    <w:bookmarkStart w:id="116" w:name="_Hlk51852042"/>
    <w:bookmarkStart w:id="117" w:name="_Hlk51852120"/>
    <w:bookmarkStart w:id="118" w:name="_Hlk51852121"/>
    <w:bookmarkStart w:id="119" w:name="_Hlk51852124"/>
    <w:bookmarkStart w:id="120" w:name="_Hlk51852125"/>
    <w:bookmarkStart w:id="121" w:name="_Hlk51852128"/>
    <w:bookmarkStart w:id="122" w:name="_Hlk51852129"/>
    <w:bookmarkStart w:id="123" w:name="_Hlk51852140"/>
    <w:bookmarkStart w:id="124" w:name="_Hlk51852141"/>
    <w:bookmarkStart w:id="125" w:name="_Hlk51852276"/>
    <w:bookmarkStart w:id="126" w:name="_Hlk51852277"/>
    <w:bookmarkStart w:id="127" w:name="_Hlk51852280"/>
    <w:bookmarkStart w:id="128" w:name="_Hlk51852281"/>
    <w:bookmarkStart w:id="129" w:name="_Hlk51852284"/>
    <w:bookmarkStart w:id="130" w:name="_Hlk51852285"/>
  </w:p>
  <w:p w14:paraId="2FDE3A91" w14:textId="77777777" w:rsidR="00C54518" w:rsidRPr="0072631A" w:rsidRDefault="00C54518" w:rsidP="00C54518">
    <w:pPr>
      <w:pStyle w:val="Header"/>
      <w:jc w:val="right"/>
      <w:rPr>
        <w:rFonts w:ascii="Poppins" w:hAnsi="Poppins" w:cs="Poppins"/>
        <w:i/>
        <w:iCs/>
        <w:noProof w:val="0"/>
        <w:color w:val="2C806F"/>
        <w:sz w:val="15"/>
        <w:szCs w:val="15"/>
      </w:rPr>
    </w:pPr>
  </w:p>
  <w:p w14:paraId="69F55CB4" w14:textId="59E82812" w:rsidR="00990933" w:rsidRPr="0072631A" w:rsidRDefault="00990933" w:rsidP="00990933">
    <w:pPr>
      <w:pStyle w:val="Header"/>
      <w:rPr>
        <w:noProof w:val="0"/>
      </w:rPr>
    </w:pPr>
    <w:r w:rsidRPr="0072631A">
      <mc:AlternateContent>
        <mc:Choice Requires="wps">
          <w:drawing>
            <wp:anchor distT="0" distB="0" distL="114300" distR="114300" simplePos="0" relativeHeight="251658240" behindDoc="0" locked="0" layoutInCell="1" allowOverlap="1" wp14:anchorId="4C245AEB" wp14:editId="3A562683">
              <wp:simplePos x="0" y="0"/>
              <wp:positionH relativeFrom="page">
                <wp:posOffset>5939790</wp:posOffset>
              </wp:positionH>
              <wp:positionV relativeFrom="page">
                <wp:posOffset>300990</wp:posOffset>
              </wp:positionV>
              <wp:extent cx="1282700" cy="12954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2700" cy="1295400"/>
                      </a:xfrm>
                      <a:prstGeom prst="rect">
                        <a:avLst/>
                      </a:prstGeom>
                      <a:noFill/>
                      <a:ln w="6350">
                        <a:noFill/>
                      </a:ln>
                    </wps:spPr>
                    <wps:txbx>
                      <w:txbxContent>
                        <w:p w14:paraId="79328B5D" w14:textId="102719A2" w:rsidR="00990933" w:rsidRPr="004749C0" w:rsidRDefault="00990933" w:rsidP="00990933">
                          <w:pPr>
                            <w:tabs>
                              <w:tab w:val="clear" w:pos="851"/>
                              <w:tab w:val="left" w:pos="426"/>
                            </w:tabs>
                            <w:spacing w:line="170" w:lineRule="exact"/>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45AEB" id="_x0000_t202" coordsize="21600,21600" o:spt="202" path="m,l,21600r21600,l21600,xe">
              <v:stroke joinstyle="miter"/>
              <v:path gradientshapeok="t" o:connecttype="rect"/>
            </v:shapetype>
            <v:shape id="Text Box 4" o:spid="_x0000_s1026" type="#_x0000_t202" style="position:absolute;left:0;text-align:left;margin-left:467.7pt;margin-top:23.7pt;width:101pt;height:1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" filled="f" stroked="f" strokeweight=".5pt">
              <v:textbox>
                <w:txbxContent>
                  <w:p w14:paraId="79328B5D" w14:textId="102719A2" w:rsidR="00990933" w:rsidRPr="004749C0" w:rsidRDefault="00990933" w:rsidP="00990933">
                    <w:pPr>
                      <w:tabs>
                        <w:tab w:val="clear" w:pos="851"/>
                        <w:tab w:val="left" w:pos="426"/>
                      </w:tabs>
                      <w:spacing w:line="170" w:lineRule="exact"/>
                      <w:rPr>
                        <w:sz w:val="13"/>
                        <w:szCs w:val="13"/>
                      </w:rPr>
                    </w:pPr>
                  </w:p>
                </w:txbxContent>
              </v:textbox>
              <w10:wrap anchorx="page" anchory="page"/>
            </v:shape>
          </w:pict>
        </mc:Fallback>
      </mc:AlternateConten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04F2618D" w14:textId="0EF3D9C9" w:rsidR="00D962CA" w:rsidRPr="0072631A" w:rsidRDefault="00D962CA" w:rsidP="00990933">
    <w:pPr>
      <w:pStyle w:val="Header"/>
      <w:rPr>
        <w:noProof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A2C875CE"/>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decimal"/>
      <w:pStyle w:val="Heading5"/>
      <w:lvlText w:val="%5."/>
      <w:lvlJc w:val="left"/>
      <w:pPr>
        <w:tabs>
          <w:tab w:val="num" w:pos="851"/>
        </w:tabs>
        <w:ind w:left="851" w:hanging="851"/>
      </w:pPr>
      <w:rPr>
        <w:rFonts w:hint="default"/>
      </w:rPr>
    </w:lvl>
    <w:lvl w:ilvl="5">
      <w:start w:val="1"/>
      <w:numFmt w:val="decimal"/>
      <w:pStyle w:val="Heading6"/>
      <w:lvlText w:val="%5.%6"/>
      <w:lvlJc w:val="left"/>
      <w:pPr>
        <w:tabs>
          <w:tab w:val="num" w:pos="851"/>
        </w:tabs>
        <w:ind w:left="851" w:hanging="851"/>
      </w:pPr>
      <w:rPr>
        <w:rFonts w:hint="default"/>
      </w:rPr>
    </w:lvl>
    <w:lvl w:ilvl="6">
      <w:start w:val="1"/>
      <w:numFmt w:val="decimal"/>
      <w:pStyle w:val="Heading7"/>
      <w:lvlText w:val="%5.%6.%7"/>
      <w:lvlJc w:val="left"/>
      <w:pPr>
        <w:tabs>
          <w:tab w:val="num" w:pos="851"/>
        </w:tabs>
        <w:ind w:left="851" w:hanging="851"/>
      </w:pPr>
      <w:rPr>
        <w:rFonts w:hint="default"/>
      </w:rPr>
    </w:lvl>
    <w:lvl w:ilvl="7">
      <w:start w:val="1"/>
      <w:numFmt w:val="decimal"/>
      <w:pStyle w:val="Heading8"/>
      <w:lvlText w:val="%5.%6.%7.%8"/>
      <w:lvlJc w:val="left"/>
      <w:pPr>
        <w:tabs>
          <w:tab w:val="num" w:pos="851"/>
        </w:tabs>
        <w:ind w:left="851" w:hanging="851"/>
      </w:pPr>
      <w:rPr>
        <w:rFonts w:hint="default"/>
      </w:rPr>
    </w:lvl>
    <w:lvl w:ilvl="8">
      <w:start w:val="1"/>
      <w:numFmt w:val="decimal"/>
      <w:pStyle w:val="Heading9"/>
      <w:lvlText w:val="%5.%6.%7.%8.%9"/>
      <w:lvlJc w:val="left"/>
      <w:pPr>
        <w:tabs>
          <w:tab w:val="num" w:pos="851"/>
        </w:tabs>
        <w:ind w:left="851" w:hanging="851"/>
      </w:pPr>
      <w:rPr>
        <w:rFonts w:hint="default"/>
      </w:rPr>
    </w:lvl>
  </w:abstractNum>
  <w:abstractNum w:abstractNumId="1" w15:restartNumberingAfterBreak="0">
    <w:nsid w:val="0251796A"/>
    <w:multiLevelType w:val="singleLevel"/>
    <w:tmpl w:val="9482DAD0"/>
    <w:lvl w:ilvl="0">
      <w:start w:val="1"/>
      <w:numFmt w:val="lowerLetter"/>
      <w:pStyle w:val="Opstilmbogstav"/>
      <w:lvlText w:val="%1)"/>
      <w:legacy w:legacy="1" w:legacySpace="0" w:legacyIndent="567"/>
      <w:lvlJc w:val="left"/>
      <w:pPr>
        <w:ind w:left="567" w:hanging="567"/>
      </w:pPr>
    </w:lvl>
  </w:abstractNum>
  <w:abstractNum w:abstractNumId="2" w15:restartNumberingAfterBreak="0">
    <w:nsid w:val="090F2BDC"/>
    <w:multiLevelType w:val="hybridMultilevel"/>
    <w:tmpl w:val="A3347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C2040"/>
    <w:multiLevelType w:val="hybridMultilevel"/>
    <w:tmpl w:val="A6A804BC"/>
    <w:lvl w:ilvl="0" w:tplc="35264C3A">
      <w:start w:val="1"/>
      <w:numFmt w:val="decimal"/>
      <w:pStyle w:val="Heading2"/>
      <w:lvlText w:val="1.%1."/>
      <w:lvlJc w:val="left"/>
      <w:pPr>
        <w:ind w:left="1571" w:hanging="360"/>
      </w:pPr>
      <w:rPr>
        <w:rFonts w:hint="defaul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4" w15:restartNumberingAfterBreak="0">
    <w:nsid w:val="1BC51770"/>
    <w:multiLevelType w:val="hybridMultilevel"/>
    <w:tmpl w:val="B0E2790E"/>
    <w:lvl w:ilvl="0" w:tplc="16AE76CA">
      <w:start w:val="1"/>
      <w:numFmt w:val="bullet"/>
      <w:pStyle w:val="Opstilmedprikmfyld"/>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E3EC7"/>
    <w:multiLevelType w:val="singleLevel"/>
    <w:tmpl w:val="4442172C"/>
    <w:lvl w:ilvl="0">
      <w:start w:val="1"/>
      <w:numFmt w:val="decimal"/>
      <w:pStyle w:val="Opstilmtal"/>
      <w:lvlText w:val="%1."/>
      <w:legacy w:legacy="1" w:legacySpace="0" w:legacyIndent="567"/>
      <w:lvlJc w:val="left"/>
      <w:pPr>
        <w:ind w:left="567" w:hanging="567"/>
      </w:pPr>
    </w:lvl>
  </w:abstractNum>
  <w:abstractNum w:abstractNumId="6" w15:restartNumberingAfterBreak="0">
    <w:nsid w:val="288B0662"/>
    <w:multiLevelType w:val="singleLevel"/>
    <w:tmpl w:val="6226CAFE"/>
    <w:lvl w:ilvl="0">
      <w:start w:val="1"/>
      <w:numFmt w:val="bullet"/>
      <w:pStyle w:val="Opstilmpunkt-"/>
      <w:lvlText w:val="–"/>
      <w:lvlJc w:val="left"/>
      <w:pPr>
        <w:tabs>
          <w:tab w:val="num" w:pos="851"/>
        </w:tabs>
        <w:ind w:left="851" w:hanging="851"/>
      </w:pPr>
      <w:rPr>
        <w:rFonts w:ascii="Times New Roman" w:hAnsi="Times New Roman" w:cs="Times New Roman" w:hint="default"/>
      </w:rPr>
    </w:lvl>
  </w:abstractNum>
  <w:abstractNum w:abstractNumId="7" w15:restartNumberingAfterBreak="0">
    <w:nsid w:val="2EC036BC"/>
    <w:multiLevelType w:val="singleLevel"/>
    <w:tmpl w:val="31865D8A"/>
    <w:lvl w:ilvl="0">
      <w:start w:val="1"/>
      <w:numFmt w:val="none"/>
      <w:pStyle w:val="Opstilmat"/>
      <w:lvlText w:val="at"/>
      <w:legacy w:legacy="1" w:legacySpace="0" w:legacyIndent="567"/>
      <w:lvlJc w:val="left"/>
      <w:pPr>
        <w:ind w:left="567" w:hanging="567"/>
      </w:pPr>
      <w:rPr>
        <w:u w:val="single"/>
      </w:rPr>
    </w:lvl>
  </w:abstractNum>
  <w:abstractNum w:abstractNumId="8" w15:restartNumberingAfterBreak="0">
    <w:nsid w:val="444D7A6A"/>
    <w:multiLevelType w:val="multilevel"/>
    <w:tmpl w:val="2EDACE8E"/>
    <w:lvl w:ilvl="0">
      <w:start w:val="1"/>
      <w:numFmt w:val="decimal"/>
      <w:pStyle w:val="L1Heading"/>
      <w:lvlText w:val="%1."/>
      <w:lvlJc w:val="left"/>
      <w:pPr>
        <w:ind w:left="851" w:hanging="851"/>
      </w:pPr>
      <w:rPr>
        <w:rFonts w:hint="default"/>
        <w:sz w:val="22"/>
      </w:rPr>
    </w:lvl>
    <w:lvl w:ilvl="1">
      <w:start w:val="1"/>
      <w:numFmt w:val="decimal"/>
      <w:pStyle w:val="L2Paragraph"/>
      <w:lvlText w:val="%1.%2"/>
      <w:lvlJc w:val="left"/>
      <w:pPr>
        <w:ind w:left="851" w:hanging="851"/>
      </w:pPr>
      <w:rPr>
        <w:rFonts w:hint="default"/>
        <w:sz w:val="22"/>
      </w:rPr>
    </w:lvl>
    <w:lvl w:ilvl="2">
      <w:start w:val="1"/>
      <w:numFmt w:val="decimal"/>
      <w:pStyle w:val="L3Paragraph"/>
      <w:lvlText w:val="%1.%2.%3"/>
      <w:lvlJc w:val="left"/>
      <w:pPr>
        <w:ind w:left="851" w:hanging="851"/>
      </w:pPr>
      <w:rPr>
        <w:rFonts w:hint="default"/>
        <w:b w:val="0"/>
        <w:bCs w:val="0"/>
        <w:sz w:val="22"/>
      </w:rPr>
    </w:lvl>
    <w:lvl w:ilvl="3">
      <w:start w:val="1"/>
      <w:numFmt w:val="decimal"/>
      <w:pStyle w:val="L4Paragraph"/>
      <w:lvlText w:val="%1.%2.%3.%4"/>
      <w:lvlJc w:val="left"/>
      <w:pPr>
        <w:ind w:left="851" w:hanging="851"/>
      </w:pPr>
      <w:rPr>
        <w:rFonts w:hint="default"/>
        <w:sz w:val="22"/>
      </w:rPr>
    </w:lvl>
    <w:lvl w:ilvl="4">
      <w:start w:val="1"/>
      <w:numFmt w:val="decimal"/>
      <w:pStyle w:val="L5Paragraph"/>
      <w:lvlText w:val="%1.%2.%3.%4.%5"/>
      <w:lvlJc w:val="left"/>
      <w:pPr>
        <w:ind w:left="851" w:hanging="851"/>
      </w:pPr>
      <w:rPr>
        <w:rFonts w:hint="default"/>
        <w:sz w:val="22"/>
      </w:rPr>
    </w:lvl>
    <w:lvl w:ilvl="5">
      <w:start w:val="1"/>
      <w:numFmt w:val="none"/>
      <w:pStyle w:val="L6Paragraph"/>
      <w:lvlText w:val="at"/>
      <w:lvlJc w:val="left"/>
      <w:pPr>
        <w:ind w:left="851" w:hanging="851"/>
      </w:pPr>
      <w:rPr>
        <w:rFonts w:hint="default"/>
        <w:sz w:val="22"/>
        <w:u w:val="single"/>
      </w:rPr>
    </w:lvl>
    <w:lvl w:ilvl="6">
      <w:start w:val="1"/>
      <w:numFmt w:val="none"/>
      <w:pStyle w:val="L7Paragraph"/>
      <w:lvlText w:val="Not Defined"/>
      <w:lvlJc w:val="left"/>
      <w:pPr>
        <w:tabs>
          <w:tab w:val="num" w:pos="0"/>
        </w:tabs>
        <w:ind w:left="0" w:firstLine="0"/>
      </w:pPr>
      <w:rPr>
        <w:rFonts w:hint="default"/>
      </w:rPr>
    </w:lvl>
    <w:lvl w:ilvl="7">
      <w:start w:val="1"/>
      <w:numFmt w:val="none"/>
      <w:lvlText w:val="Not Defined"/>
      <w:lvlJc w:val="left"/>
      <w:pPr>
        <w:tabs>
          <w:tab w:val="num" w:pos="0"/>
        </w:tabs>
        <w:ind w:left="0" w:firstLine="0"/>
      </w:pPr>
      <w:rPr>
        <w:rFonts w:hint="default"/>
      </w:rPr>
    </w:lvl>
    <w:lvl w:ilvl="8">
      <w:start w:val="1"/>
      <w:numFmt w:val="none"/>
      <w:lvlText w:val="Not Defined"/>
      <w:lvlJc w:val="left"/>
      <w:pPr>
        <w:tabs>
          <w:tab w:val="num" w:pos="0"/>
        </w:tabs>
        <w:ind w:left="0" w:firstLine="0"/>
      </w:pPr>
      <w:rPr>
        <w:rFonts w:hint="default"/>
      </w:rPr>
    </w:lvl>
  </w:abstractNum>
  <w:abstractNum w:abstractNumId="9" w15:restartNumberingAfterBreak="0">
    <w:nsid w:val="475E1D64"/>
    <w:multiLevelType w:val="hybridMultilevel"/>
    <w:tmpl w:val="FC7CA490"/>
    <w:lvl w:ilvl="0" w:tplc="D2CEBE78">
      <w:start w:val="1"/>
      <w:numFmt w:val="bullet"/>
      <w:pStyle w:val="Opstilmedfirkant"/>
      <w:lvlText w:val=""/>
      <w:lvlJc w:val="left"/>
      <w:pPr>
        <w:tabs>
          <w:tab w:val="num" w:pos="851"/>
        </w:tabs>
        <w:ind w:left="851" w:hanging="85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971CC1"/>
    <w:multiLevelType w:val="hybridMultilevel"/>
    <w:tmpl w:val="B942B1E6"/>
    <w:lvl w:ilvl="0" w:tplc="B4943460">
      <w:start w:val="1"/>
      <w:numFmt w:val="decimal"/>
      <w:pStyle w:val="Heading1"/>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17021832">
    <w:abstractNumId w:val="6"/>
  </w:num>
  <w:num w:numId="2" w16cid:durableId="1601647679">
    <w:abstractNumId w:val="9"/>
  </w:num>
  <w:num w:numId="3" w16cid:durableId="2082486623">
    <w:abstractNumId w:val="4"/>
  </w:num>
  <w:num w:numId="4" w16cid:durableId="1002003377">
    <w:abstractNumId w:val="0"/>
  </w:num>
  <w:num w:numId="5" w16cid:durableId="558785000">
    <w:abstractNumId w:val="1"/>
  </w:num>
  <w:num w:numId="6" w16cid:durableId="1418475466">
    <w:abstractNumId w:val="5"/>
  </w:num>
  <w:num w:numId="7" w16cid:durableId="760881574">
    <w:abstractNumId w:val="7"/>
  </w:num>
  <w:num w:numId="8" w16cid:durableId="1433013781">
    <w:abstractNumId w:val="10"/>
  </w:num>
  <w:num w:numId="9" w16cid:durableId="1173496510">
    <w:abstractNumId w:val="3"/>
  </w:num>
  <w:num w:numId="10" w16cid:durableId="257956495">
    <w:abstractNumId w:val="2"/>
  </w:num>
  <w:num w:numId="11" w16cid:durableId="154320336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S:\Dokumenter\11123\999022\data_000535.doc"/>
  </w:mailMerge>
  <w:defaultTabStop w:val="851"/>
  <w:autoHyphenation/>
  <w:hyphenationZone w:val="142"/>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2A"/>
    <w:rsid w:val="00003F2D"/>
    <w:rsid w:val="00017F3A"/>
    <w:rsid w:val="00043CFE"/>
    <w:rsid w:val="0004468D"/>
    <w:rsid w:val="000542FA"/>
    <w:rsid w:val="0006130E"/>
    <w:rsid w:val="00062A8D"/>
    <w:rsid w:val="00066EF2"/>
    <w:rsid w:val="000675C3"/>
    <w:rsid w:val="00075CC6"/>
    <w:rsid w:val="000841A0"/>
    <w:rsid w:val="00087F4E"/>
    <w:rsid w:val="000930CF"/>
    <w:rsid w:val="00094998"/>
    <w:rsid w:val="000A56A5"/>
    <w:rsid w:val="000A5B84"/>
    <w:rsid w:val="000C1E4A"/>
    <w:rsid w:val="000D38D9"/>
    <w:rsid w:val="000D79B1"/>
    <w:rsid w:val="000E79FA"/>
    <w:rsid w:val="000F3FF6"/>
    <w:rsid w:val="000F4114"/>
    <w:rsid w:val="001036C9"/>
    <w:rsid w:val="00112EEC"/>
    <w:rsid w:val="0011303B"/>
    <w:rsid w:val="001140A6"/>
    <w:rsid w:val="00116298"/>
    <w:rsid w:val="00127820"/>
    <w:rsid w:val="00145300"/>
    <w:rsid w:val="001547ED"/>
    <w:rsid w:val="00184C6C"/>
    <w:rsid w:val="001C13A4"/>
    <w:rsid w:val="001C4A16"/>
    <w:rsid w:val="001C4BA5"/>
    <w:rsid w:val="001C580D"/>
    <w:rsid w:val="001E3EE1"/>
    <w:rsid w:val="00220C28"/>
    <w:rsid w:val="00241F02"/>
    <w:rsid w:val="00245BAF"/>
    <w:rsid w:val="00256567"/>
    <w:rsid w:val="00261766"/>
    <w:rsid w:val="00270DEF"/>
    <w:rsid w:val="002747D7"/>
    <w:rsid w:val="002760C6"/>
    <w:rsid w:val="002906C3"/>
    <w:rsid w:val="00293221"/>
    <w:rsid w:val="002A4696"/>
    <w:rsid w:val="002B0169"/>
    <w:rsid w:val="002C1847"/>
    <w:rsid w:val="002C2132"/>
    <w:rsid w:val="002C2605"/>
    <w:rsid w:val="002C28ED"/>
    <w:rsid w:val="002C5703"/>
    <w:rsid w:val="002E1D01"/>
    <w:rsid w:val="002E50E6"/>
    <w:rsid w:val="002E641A"/>
    <w:rsid w:val="002F1473"/>
    <w:rsid w:val="00302E36"/>
    <w:rsid w:val="003041A4"/>
    <w:rsid w:val="00320527"/>
    <w:rsid w:val="00325A67"/>
    <w:rsid w:val="0034002D"/>
    <w:rsid w:val="00346A26"/>
    <w:rsid w:val="00346D72"/>
    <w:rsid w:val="00355333"/>
    <w:rsid w:val="0035653B"/>
    <w:rsid w:val="0035691B"/>
    <w:rsid w:val="00357A22"/>
    <w:rsid w:val="00363E6C"/>
    <w:rsid w:val="00365EA5"/>
    <w:rsid w:val="00367284"/>
    <w:rsid w:val="00382AF9"/>
    <w:rsid w:val="003A0B36"/>
    <w:rsid w:val="003B0F9F"/>
    <w:rsid w:val="003B2FB9"/>
    <w:rsid w:val="003B53CD"/>
    <w:rsid w:val="003E1CF7"/>
    <w:rsid w:val="003E2085"/>
    <w:rsid w:val="003E240F"/>
    <w:rsid w:val="004048AB"/>
    <w:rsid w:val="00405A67"/>
    <w:rsid w:val="0040696A"/>
    <w:rsid w:val="00412A88"/>
    <w:rsid w:val="00430961"/>
    <w:rsid w:val="00437E54"/>
    <w:rsid w:val="00455EA7"/>
    <w:rsid w:val="004749C0"/>
    <w:rsid w:val="004A1691"/>
    <w:rsid w:val="004D47A8"/>
    <w:rsid w:val="004E08B8"/>
    <w:rsid w:val="004E5A75"/>
    <w:rsid w:val="004F0DB9"/>
    <w:rsid w:val="005174E0"/>
    <w:rsid w:val="00522804"/>
    <w:rsid w:val="00524F4D"/>
    <w:rsid w:val="005302B9"/>
    <w:rsid w:val="00540F09"/>
    <w:rsid w:val="00541710"/>
    <w:rsid w:val="00541EEE"/>
    <w:rsid w:val="00550961"/>
    <w:rsid w:val="00554248"/>
    <w:rsid w:val="00564F9B"/>
    <w:rsid w:val="00587305"/>
    <w:rsid w:val="005913A1"/>
    <w:rsid w:val="005A3A3A"/>
    <w:rsid w:val="005B6B41"/>
    <w:rsid w:val="005C360A"/>
    <w:rsid w:val="005D08D2"/>
    <w:rsid w:val="005D3F46"/>
    <w:rsid w:val="005E13EC"/>
    <w:rsid w:val="005E43F3"/>
    <w:rsid w:val="005F4FA2"/>
    <w:rsid w:val="00602087"/>
    <w:rsid w:val="00602C73"/>
    <w:rsid w:val="00605FE8"/>
    <w:rsid w:val="006247CF"/>
    <w:rsid w:val="006349D3"/>
    <w:rsid w:val="00636686"/>
    <w:rsid w:val="00647B24"/>
    <w:rsid w:val="00652120"/>
    <w:rsid w:val="006574E0"/>
    <w:rsid w:val="006644E0"/>
    <w:rsid w:val="00685B31"/>
    <w:rsid w:val="00687E77"/>
    <w:rsid w:val="00694D67"/>
    <w:rsid w:val="006B1EA2"/>
    <w:rsid w:val="006B24A8"/>
    <w:rsid w:val="006F6D24"/>
    <w:rsid w:val="007035B6"/>
    <w:rsid w:val="007234F0"/>
    <w:rsid w:val="0072631A"/>
    <w:rsid w:val="007274D8"/>
    <w:rsid w:val="00735754"/>
    <w:rsid w:val="0073734E"/>
    <w:rsid w:val="007419A1"/>
    <w:rsid w:val="00743204"/>
    <w:rsid w:val="007502CD"/>
    <w:rsid w:val="0075221A"/>
    <w:rsid w:val="00752C88"/>
    <w:rsid w:val="00771921"/>
    <w:rsid w:val="007736A5"/>
    <w:rsid w:val="00784E2A"/>
    <w:rsid w:val="007867A2"/>
    <w:rsid w:val="00786ECA"/>
    <w:rsid w:val="007B2052"/>
    <w:rsid w:val="007C2747"/>
    <w:rsid w:val="007C2F8C"/>
    <w:rsid w:val="007C4EC2"/>
    <w:rsid w:val="007D205C"/>
    <w:rsid w:val="007E0B23"/>
    <w:rsid w:val="007F034D"/>
    <w:rsid w:val="007F42A1"/>
    <w:rsid w:val="007F7A69"/>
    <w:rsid w:val="008141D1"/>
    <w:rsid w:val="00832E11"/>
    <w:rsid w:val="00851221"/>
    <w:rsid w:val="00856D50"/>
    <w:rsid w:val="00861499"/>
    <w:rsid w:val="00883DAC"/>
    <w:rsid w:val="00884F67"/>
    <w:rsid w:val="008A5127"/>
    <w:rsid w:val="008B4B7E"/>
    <w:rsid w:val="008E67EA"/>
    <w:rsid w:val="008F2202"/>
    <w:rsid w:val="008F6E19"/>
    <w:rsid w:val="009115C6"/>
    <w:rsid w:val="009174BF"/>
    <w:rsid w:val="00917D35"/>
    <w:rsid w:val="00921B52"/>
    <w:rsid w:val="00922BEE"/>
    <w:rsid w:val="00955624"/>
    <w:rsid w:val="0096568D"/>
    <w:rsid w:val="00972938"/>
    <w:rsid w:val="009756D8"/>
    <w:rsid w:val="009818A3"/>
    <w:rsid w:val="00990933"/>
    <w:rsid w:val="00994A66"/>
    <w:rsid w:val="009A0B44"/>
    <w:rsid w:val="009A21DA"/>
    <w:rsid w:val="009A2D79"/>
    <w:rsid w:val="009C04BC"/>
    <w:rsid w:val="009C72E7"/>
    <w:rsid w:val="00A01B19"/>
    <w:rsid w:val="00A228FF"/>
    <w:rsid w:val="00A42F27"/>
    <w:rsid w:val="00A462FE"/>
    <w:rsid w:val="00A55CEC"/>
    <w:rsid w:val="00A6703E"/>
    <w:rsid w:val="00A7364F"/>
    <w:rsid w:val="00A909EE"/>
    <w:rsid w:val="00A90E54"/>
    <w:rsid w:val="00A92216"/>
    <w:rsid w:val="00A934EC"/>
    <w:rsid w:val="00A93CD8"/>
    <w:rsid w:val="00A96B74"/>
    <w:rsid w:val="00AA363F"/>
    <w:rsid w:val="00AA7D3F"/>
    <w:rsid w:val="00AB2B60"/>
    <w:rsid w:val="00AB5058"/>
    <w:rsid w:val="00AC65E1"/>
    <w:rsid w:val="00AC7961"/>
    <w:rsid w:val="00AD4135"/>
    <w:rsid w:val="00AD45C0"/>
    <w:rsid w:val="00AD7653"/>
    <w:rsid w:val="00AE28F6"/>
    <w:rsid w:val="00AF5ED0"/>
    <w:rsid w:val="00B002B1"/>
    <w:rsid w:val="00B02136"/>
    <w:rsid w:val="00B15372"/>
    <w:rsid w:val="00B22E17"/>
    <w:rsid w:val="00B25F37"/>
    <w:rsid w:val="00B33100"/>
    <w:rsid w:val="00B45A3A"/>
    <w:rsid w:val="00B47E5B"/>
    <w:rsid w:val="00B56721"/>
    <w:rsid w:val="00B64FC3"/>
    <w:rsid w:val="00B70D59"/>
    <w:rsid w:val="00B75FA0"/>
    <w:rsid w:val="00BB2FEC"/>
    <w:rsid w:val="00BC5BFF"/>
    <w:rsid w:val="00BC6869"/>
    <w:rsid w:val="00BC7909"/>
    <w:rsid w:val="00BF0642"/>
    <w:rsid w:val="00BF7743"/>
    <w:rsid w:val="00C15031"/>
    <w:rsid w:val="00C250DF"/>
    <w:rsid w:val="00C31535"/>
    <w:rsid w:val="00C3210F"/>
    <w:rsid w:val="00C43903"/>
    <w:rsid w:val="00C45EC2"/>
    <w:rsid w:val="00C4630C"/>
    <w:rsid w:val="00C470C2"/>
    <w:rsid w:val="00C50F87"/>
    <w:rsid w:val="00C54518"/>
    <w:rsid w:val="00C71CA4"/>
    <w:rsid w:val="00C7251C"/>
    <w:rsid w:val="00C730CD"/>
    <w:rsid w:val="00C733A5"/>
    <w:rsid w:val="00C819CB"/>
    <w:rsid w:val="00CA0877"/>
    <w:rsid w:val="00CA4D22"/>
    <w:rsid w:val="00CB376A"/>
    <w:rsid w:val="00CB42F2"/>
    <w:rsid w:val="00CD52BE"/>
    <w:rsid w:val="00CE5A87"/>
    <w:rsid w:val="00CE788B"/>
    <w:rsid w:val="00CF34A4"/>
    <w:rsid w:val="00CF64D6"/>
    <w:rsid w:val="00D041FD"/>
    <w:rsid w:val="00D11A0E"/>
    <w:rsid w:val="00D21A8A"/>
    <w:rsid w:val="00D31273"/>
    <w:rsid w:val="00D3307F"/>
    <w:rsid w:val="00D45DF4"/>
    <w:rsid w:val="00D460D6"/>
    <w:rsid w:val="00D475C8"/>
    <w:rsid w:val="00D507BE"/>
    <w:rsid w:val="00D613BA"/>
    <w:rsid w:val="00D649E5"/>
    <w:rsid w:val="00D72395"/>
    <w:rsid w:val="00D73849"/>
    <w:rsid w:val="00D86EDE"/>
    <w:rsid w:val="00D92D0F"/>
    <w:rsid w:val="00D93CC4"/>
    <w:rsid w:val="00D962CA"/>
    <w:rsid w:val="00DA0B12"/>
    <w:rsid w:val="00DB0617"/>
    <w:rsid w:val="00DD0619"/>
    <w:rsid w:val="00E0477D"/>
    <w:rsid w:val="00E14BEB"/>
    <w:rsid w:val="00E2024F"/>
    <w:rsid w:val="00E22BD7"/>
    <w:rsid w:val="00E24F52"/>
    <w:rsid w:val="00E254E9"/>
    <w:rsid w:val="00E44881"/>
    <w:rsid w:val="00E4507C"/>
    <w:rsid w:val="00E5298B"/>
    <w:rsid w:val="00E54D3E"/>
    <w:rsid w:val="00E556B2"/>
    <w:rsid w:val="00E62516"/>
    <w:rsid w:val="00E769F7"/>
    <w:rsid w:val="00E903F2"/>
    <w:rsid w:val="00EB09F5"/>
    <w:rsid w:val="00EB4E63"/>
    <w:rsid w:val="00EB5225"/>
    <w:rsid w:val="00EC75DF"/>
    <w:rsid w:val="00EC7EAB"/>
    <w:rsid w:val="00ED0933"/>
    <w:rsid w:val="00ED67A3"/>
    <w:rsid w:val="00EE6560"/>
    <w:rsid w:val="00F12848"/>
    <w:rsid w:val="00F13A00"/>
    <w:rsid w:val="00F20964"/>
    <w:rsid w:val="00F21D4E"/>
    <w:rsid w:val="00F21FB8"/>
    <w:rsid w:val="00F30A00"/>
    <w:rsid w:val="00F315B3"/>
    <w:rsid w:val="00F44F24"/>
    <w:rsid w:val="00F47FDF"/>
    <w:rsid w:val="00F5376E"/>
    <w:rsid w:val="00F5778C"/>
    <w:rsid w:val="00F84680"/>
    <w:rsid w:val="00F93C1F"/>
    <w:rsid w:val="00FB3091"/>
    <w:rsid w:val="00FB34F6"/>
    <w:rsid w:val="00FB4ACF"/>
    <w:rsid w:val="00FB5A22"/>
    <w:rsid w:val="00FC66E1"/>
    <w:rsid w:val="00FE0199"/>
    <w:rsid w:val="00FE0565"/>
    <w:rsid w:val="00FE4E7D"/>
    <w:rsid w:val="00FE5D11"/>
    <w:rsid w:val="00FE63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DB3989B"/>
  <w15:chartTrackingRefBased/>
  <w15:docId w15:val="{299DFFAE-4722-46E1-A48C-FE26106A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47ED"/>
    <w:pPr>
      <w:tabs>
        <w:tab w:val="left" w:pos="851"/>
        <w:tab w:val="left" w:pos="1701"/>
        <w:tab w:val="left" w:pos="2552"/>
        <w:tab w:val="left" w:pos="3402"/>
        <w:tab w:val="left" w:pos="4253"/>
        <w:tab w:val="left" w:pos="5103"/>
        <w:tab w:val="left" w:pos="5954"/>
        <w:tab w:val="left" w:pos="6804"/>
        <w:tab w:val="left" w:pos="7655"/>
        <w:tab w:val="left" w:pos="8505"/>
      </w:tabs>
      <w:spacing w:line="320" w:lineRule="atLeast"/>
      <w:jc w:val="both"/>
    </w:pPr>
    <w:rPr>
      <w:sz w:val="22"/>
    </w:rPr>
  </w:style>
  <w:style w:type="paragraph" w:styleId="Heading1">
    <w:name w:val="heading 1"/>
    <w:basedOn w:val="Normal"/>
    <w:next w:val="Normal"/>
    <w:qFormat/>
    <w:rsid w:val="001C580D"/>
    <w:pPr>
      <w:keepNext/>
      <w:numPr>
        <w:numId w:val="8"/>
      </w:numPr>
      <w:spacing w:before="640" w:after="320"/>
      <w:ind w:left="714" w:hanging="357"/>
      <w:outlineLvl w:val="0"/>
    </w:pPr>
    <w:rPr>
      <w:b/>
      <w:kern w:val="28"/>
    </w:rPr>
  </w:style>
  <w:style w:type="paragraph" w:styleId="Heading2">
    <w:name w:val="heading 2"/>
    <w:basedOn w:val="Normal"/>
    <w:next w:val="Normal"/>
    <w:qFormat/>
    <w:rsid w:val="001C580D"/>
    <w:pPr>
      <w:keepNext/>
      <w:numPr>
        <w:numId w:val="9"/>
      </w:numPr>
      <w:spacing w:before="120" w:after="120"/>
      <w:outlineLvl w:val="1"/>
    </w:pPr>
    <w:rPr>
      <w:u w:val="single"/>
    </w:rPr>
  </w:style>
  <w:style w:type="paragraph" w:styleId="Heading3">
    <w:name w:val="heading 3"/>
    <w:basedOn w:val="Normal"/>
    <w:next w:val="Normal"/>
    <w:qFormat/>
    <w:rsid w:val="001C580D"/>
    <w:pPr>
      <w:keepNext/>
      <w:spacing w:before="240" w:after="60"/>
      <w:outlineLvl w:val="2"/>
    </w:pPr>
    <w:rPr>
      <w:rFonts w:ascii="Arial" w:hAnsi="Arial"/>
    </w:rPr>
  </w:style>
  <w:style w:type="paragraph" w:styleId="Heading4">
    <w:name w:val="heading 4"/>
    <w:basedOn w:val="Normal"/>
    <w:next w:val="Normal"/>
    <w:qFormat/>
    <w:rsid w:val="00367284"/>
    <w:pPr>
      <w:keepNext/>
      <w:tabs>
        <w:tab w:val="num" w:pos="0"/>
      </w:tabs>
      <w:autoSpaceDE w:val="0"/>
      <w:autoSpaceDN w:val="0"/>
      <w:spacing w:after="60"/>
      <w:outlineLvl w:val="3"/>
    </w:pPr>
    <w:rPr>
      <w:b/>
      <w:bCs/>
      <w:szCs w:val="22"/>
      <w:lang w:eastAsia="en-US"/>
    </w:rPr>
  </w:style>
  <w:style w:type="paragraph" w:styleId="Heading5">
    <w:name w:val="heading 5"/>
    <w:aliases w:val="Level 3 - i,h5,Lev 5,s,H5,5,Heading 5 StGeorge,(A),A,Heading 5(unused),1.1.1.1.1,Level 3 - (i),Para5,Para51,h51,h52,L5,Document Title 2,Dot GS,level5,H51,H52,H53,H54,H55,H56,H57,H58,H59,H510,H511,H512,H513,H514,H515,H516,H517,H518,H519,FMH1"/>
    <w:basedOn w:val="Heading1"/>
    <w:next w:val="NormalIndent"/>
    <w:qFormat/>
    <w:rsid w:val="001C580D"/>
    <w:pPr>
      <w:keepLines/>
      <w:numPr>
        <w:ilvl w:val="4"/>
        <w:numId w:val="4"/>
      </w:numPr>
      <w:tabs>
        <w:tab w:val="clear" w:pos="851"/>
      </w:tabs>
      <w:jc w:val="left"/>
      <w:outlineLvl w:val="4"/>
    </w:pPr>
    <w:rPr>
      <w:szCs w:val="22"/>
    </w:rPr>
  </w:style>
  <w:style w:type="paragraph" w:styleId="Heading6">
    <w:name w:val="heading 6"/>
    <w:aliases w:val="Legal Level 1.,h6,H6,a.,dash GS,level6,L1 PIP,Name of Org,Body Text 5,as Char,Heading 6(unused),Points in Text,(I),6,as,a.1,Lev 6,Heading 6 Interstar,a,Sub5Para,Appendix,T1,level 6,Square Bullet list,Heading 6  Appendix Y &amp; Z,not Kinhill"/>
    <w:basedOn w:val="Normal"/>
    <w:link w:val="Heading6Char"/>
    <w:qFormat/>
    <w:rsid w:val="001C580D"/>
    <w:pPr>
      <w:numPr>
        <w:ilvl w:val="5"/>
        <w:numId w:val="4"/>
      </w:numPr>
      <w:spacing w:after="320"/>
      <w:outlineLvl w:val="5"/>
    </w:pPr>
  </w:style>
  <w:style w:type="paragraph" w:styleId="Heading7">
    <w:name w:val="heading 7"/>
    <w:aliases w:val="Legal Level 1.1."/>
    <w:basedOn w:val="Normal"/>
    <w:qFormat/>
    <w:rsid w:val="001C580D"/>
    <w:pPr>
      <w:numPr>
        <w:ilvl w:val="6"/>
        <w:numId w:val="4"/>
      </w:numPr>
      <w:tabs>
        <w:tab w:val="clear" w:pos="851"/>
      </w:tabs>
      <w:spacing w:after="320"/>
      <w:outlineLvl w:val="6"/>
    </w:pPr>
  </w:style>
  <w:style w:type="paragraph" w:styleId="Heading8">
    <w:name w:val="heading 8"/>
    <w:aliases w:val="Legal Level 1.1.1."/>
    <w:basedOn w:val="Normal"/>
    <w:qFormat/>
    <w:rsid w:val="001C580D"/>
    <w:pPr>
      <w:numPr>
        <w:ilvl w:val="7"/>
        <w:numId w:val="4"/>
      </w:numPr>
      <w:tabs>
        <w:tab w:val="clear" w:pos="851"/>
      </w:tabs>
      <w:spacing w:after="320"/>
      <w:outlineLvl w:val="7"/>
    </w:pPr>
  </w:style>
  <w:style w:type="paragraph" w:styleId="Heading9">
    <w:name w:val="heading 9"/>
    <w:aliases w:val="Legal Level 1.1.1.1."/>
    <w:basedOn w:val="Normal"/>
    <w:qFormat/>
    <w:rsid w:val="001C580D"/>
    <w:pPr>
      <w:numPr>
        <w:ilvl w:val="8"/>
        <w:numId w:val="4"/>
      </w:numPr>
      <w:tabs>
        <w:tab w:val="clear" w:pos="851"/>
      </w:tabs>
      <w:spacing w:after="3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1C580D"/>
    <w:pPr>
      <w:ind w:left="851"/>
    </w:pPr>
  </w:style>
  <w:style w:type="paragraph" w:styleId="Header">
    <w:name w:val="header"/>
    <w:basedOn w:val="Normal"/>
    <w:link w:val="HeaderChar"/>
    <w:uiPriority w:val="99"/>
    <w:rsid w:val="001C580D"/>
    <w:pPr>
      <w:tabs>
        <w:tab w:val="center" w:pos="4819"/>
        <w:tab w:val="right" w:pos="9638"/>
      </w:tabs>
    </w:pPr>
    <w:rPr>
      <w:noProof/>
      <w:sz w:val="20"/>
    </w:rPr>
  </w:style>
  <w:style w:type="paragraph" w:styleId="Footer">
    <w:name w:val="footer"/>
    <w:basedOn w:val="Normal"/>
    <w:rsid w:val="001C580D"/>
    <w:pPr>
      <w:tabs>
        <w:tab w:val="center" w:pos="4819"/>
        <w:tab w:val="right" w:pos="9638"/>
      </w:tabs>
    </w:pPr>
    <w:rPr>
      <w:noProof/>
      <w:sz w:val="20"/>
    </w:rPr>
  </w:style>
  <w:style w:type="paragraph" w:styleId="BodyText">
    <w:name w:val="Body Text"/>
    <w:basedOn w:val="Normal"/>
    <w:rsid w:val="001C580D"/>
    <w:pPr>
      <w:tabs>
        <w:tab w:val="left" w:pos="7371"/>
        <w:tab w:val="right" w:pos="9639"/>
      </w:tabs>
      <w:ind w:right="3117"/>
    </w:pPr>
  </w:style>
  <w:style w:type="paragraph" w:customStyle="1" w:styleId="Vedr">
    <w:name w:val="Vedr"/>
    <w:basedOn w:val="Normal"/>
    <w:rsid w:val="00184C6C"/>
    <w:pPr>
      <w:pBdr>
        <w:bottom w:val="single" w:sz="6" w:space="2" w:color="auto"/>
      </w:pBdr>
      <w:ind w:left="851" w:hanging="851"/>
    </w:pPr>
    <w:rPr>
      <w:b/>
    </w:rPr>
  </w:style>
  <w:style w:type="paragraph" w:customStyle="1" w:styleId="Modtager">
    <w:name w:val="Modtager"/>
    <w:basedOn w:val="Normal"/>
    <w:rsid w:val="00184C6C"/>
    <w:pPr>
      <w:spacing w:line="240" w:lineRule="auto"/>
    </w:pPr>
  </w:style>
  <w:style w:type="paragraph" w:customStyle="1" w:styleId="Opstilmat">
    <w:name w:val="Opstil m. at"/>
    <w:basedOn w:val="Normal"/>
    <w:rsid w:val="001C580D"/>
    <w:pPr>
      <w:numPr>
        <w:numId w:val="7"/>
      </w:numPr>
    </w:pPr>
    <w:rPr>
      <w:szCs w:val="22"/>
    </w:rPr>
  </w:style>
  <w:style w:type="paragraph" w:customStyle="1" w:styleId="Datoogjnr">
    <w:name w:val="Dato og j.nr."/>
    <w:basedOn w:val="Normal"/>
    <w:semiHidden/>
    <w:rsid w:val="00367284"/>
    <w:pPr>
      <w:framePr w:w="2268" w:vSpace="181" w:wrap="around" w:vAnchor="page" w:hAnchor="page" w:x="9016" w:y="5784"/>
      <w:spacing w:line="280" w:lineRule="atLeast"/>
    </w:pPr>
    <w:rPr>
      <w:spacing w:val="3"/>
      <w:sz w:val="12"/>
      <w:szCs w:val="12"/>
      <w:lang w:eastAsia="en-US"/>
    </w:rPr>
  </w:style>
  <w:style w:type="paragraph" w:customStyle="1" w:styleId="Advokat">
    <w:name w:val="Advokat"/>
    <w:basedOn w:val="Normal"/>
    <w:semiHidden/>
    <w:rsid w:val="00367284"/>
    <w:pPr>
      <w:framePr w:w="2552" w:vSpace="181" w:wrap="around" w:vAnchor="page" w:hAnchor="page" w:x="9016" w:y="6578"/>
      <w:spacing w:line="280" w:lineRule="atLeast"/>
    </w:pPr>
    <w:rPr>
      <w:spacing w:val="3"/>
      <w:sz w:val="12"/>
      <w:szCs w:val="12"/>
      <w:lang w:eastAsia="en-US"/>
    </w:rPr>
  </w:style>
  <w:style w:type="paragraph" w:customStyle="1" w:styleId="tabulator">
    <w:name w:val="tabulator"/>
    <w:basedOn w:val="Normal"/>
    <w:rsid w:val="001C580D"/>
    <w:pPr>
      <w:tabs>
        <w:tab w:val="right" w:pos="8789"/>
      </w:tabs>
      <w:ind w:right="3402"/>
    </w:pPr>
  </w:style>
  <w:style w:type="table" w:styleId="TableGrid">
    <w:name w:val="Table Grid"/>
    <w:basedOn w:val="TableNormal"/>
    <w:rsid w:val="00367284"/>
    <w:pPr>
      <w:spacing w:line="320" w:lineRule="atLeast"/>
      <w:jc w:val="both"/>
    </w:pPr>
    <w:tblPr/>
  </w:style>
  <w:style w:type="paragraph" w:customStyle="1" w:styleId="Nysidetal">
    <w:name w:val="Nysidetal"/>
    <w:basedOn w:val="Normal"/>
    <w:semiHidden/>
    <w:rsid w:val="00367284"/>
    <w:pPr>
      <w:framePr w:w="1418" w:vSpace="181" w:wrap="around" w:vAnchor="page" w:hAnchor="page" w:x="9016" w:y="15792"/>
      <w:tabs>
        <w:tab w:val="center" w:pos="4819"/>
        <w:tab w:val="right" w:pos="9638"/>
      </w:tabs>
      <w:spacing w:line="280" w:lineRule="atLeast"/>
      <w:jc w:val="right"/>
    </w:pPr>
    <w:rPr>
      <w:b/>
      <w:sz w:val="12"/>
      <w:szCs w:val="12"/>
      <w:lang w:eastAsia="en-US"/>
    </w:rPr>
  </w:style>
  <w:style w:type="character" w:styleId="PageNumber">
    <w:name w:val="page number"/>
    <w:basedOn w:val="DefaultParagraphFont"/>
    <w:semiHidden/>
    <w:rsid w:val="00367284"/>
  </w:style>
  <w:style w:type="paragraph" w:customStyle="1" w:styleId="Opstilmbogstav">
    <w:name w:val="Opstil m. bogstav"/>
    <w:basedOn w:val="Normal"/>
    <w:rsid w:val="001C580D"/>
    <w:pPr>
      <w:numPr>
        <w:numId w:val="5"/>
      </w:numPr>
      <w:tabs>
        <w:tab w:val="left" w:pos="2268"/>
      </w:tabs>
      <w:ind w:left="1702" w:hanging="851"/>
    </w:pPr>
    <w:rPr>
      <w:szCs w:val="22"/>
    </w:rPr>
  </w:style>
  <w:style w:type="paragraph" w:customStyle="1" w:styleId="Opstilmpunkt-">
    <w:name w:val="Opstil m. punkt -"/>
    <w:basedOn w:val="Normal"/>
    <w:rsid w:val="001C580D"/>
    <w:pPr>
      <w:numPr>
        <w:numId w:val="1"/>
      </w:numPr>
      <w:ind w:left="1702"/>
    </w:pPr>
    <w:rPr>
      <w:szCs w:val="22"/>
    </w:rPr>
  </w:style>
  <w:style w:type="paragraph" w:customStyle="1" w:styleId="Opstilmtal">
    <w:name w:val="Opstil m. tal"/>
    <w:basedOn w:val="Normal"/>
    <w:rsid w:val="001C580D"/>
    <w:pPr>
      <w:numPr>
        <w:numId w:val="6"/>
      </w:numPr>
      <w:tabs>
        <w:tab w:val="left" w:pos="6521"/>
      </w:tabs>
      <w:ind w:left="1702" w:hanging="851"/>
    </w:pPr>
    <w:rPr>
      <w:szCs w:val="22"/>
    </w:rPr>
  </w:style>
  <w:style w:type="paragraph" w:customStyle="1" w:styleId="Opstilmedfirkant">
    <w:name w:val="Opstil med firkant"/>
    <w:basedOn w:val="Normal"/>
    <w:rsid w:val="001C580D"/>
    <w:pPr>
      <w:numPr>
        <w:numId w:val="2"/>
      </w:numPr>
      <w:autoSpaceDE w:val="0"/>
      <w:autoSpaceDN w:val="0"/>
    </w:pPr>
    <w:rPr>
      <w:szCs w:val="22"/>
      <w:lang w:eastAsia="en-US"/>
    </w:rPr>
  </w:style>
  <w:style w:type="paragraph" w:customStyle="1" w:styleId="Opstilmedprikmfyld">
    <w:name w:val="Opstil med prik m/fyld"/>
    <w:basedOn w:val="Opstilmpunkt-"/>
    <w:rsid w:val="001C580D"/>
    <w:pPr>
      <w:numPr>
        <w:numId w:val="3"/>
      </w:numPr>
    </w:pPr>
  </w:style>
  <w:style w:type="paragraph" w:customStyle="1" w:styleId="dokumentoverskrift">
    <w:name w:val="dokumentoverskrift"/>
    <w:basedOn w:val="Normal"/>
    <w:next w:val="Normal"/>
    <w:rsid w:val="001C580D"/>
    <w:pPr>
      <w:keepNext/>
      <w:spacing w:after="640"/>
      <w:jc w:val="left"/>
    </w:pPr>
    <w:rPr>
      <w:b/>
      <w:caps/>
      <w:spacing w:val="26"/>
      <w:sz w:val="24"/>
    </w:rPr>
  </w:style>
  <w:style w:type="paragraph" w:styleId="TOC1">
    <w:name w:val="toc 1"/>
    <w:basedOn w:val="Normal"/>
    <w:next w:val="Normal"/>
    <w:autoRedefine/>
    <w:semiHidden/>
    <w:rsid w:val="001C580D"/>
    <w:pPr>
      <w:tabs>
        <w:tab w:val="clear" w:pos="1701"/>
        <w:tab w:val="clear" w:pos="2552"/>
        <w:tab w:val="clear" w:pos="3402"/>
        <w:tab w:val="clear" w:pos="4253"/>
        <w:tab w:val="clear" w:pos="5103"/>
        <w:tab w:val="clear" w:pos="5954"/>
        <w:tab w:val="clear" w:pos="6804"/>
        <w:tab w:val="clear" w:pos="7655"/>
        <w:tab w:val="clear" w:pos="8505"/>
        <w:tab w:val="right" w:leader="dot" w:pos="7938"/>
      </w:tabs>
    </w:pPr>
  </w:style>
  <w:style w:type="character" w:styleId="CommentReference">
    <w:name w:val="annotation reference"/>
    <w:semiHidden/>
    <w:rsid w:val="00BC6869"/>
    <w:rPr>
      <w:sz w:val="16"/>
      <w:szCs w:val="16"/>
    </w:rPr>
  </w:style>
  <w:style w:type="paragraph" w:styleId="CommentText">
    <w:name w:val="annotation text"/>
    <w:basedOn w:val="Normal"/>
    <w:semiHidden/>
    <w:rsid w:val="00BC6869"/>
    <w:rPr>
      <w:sz w:val="20"/>
    </w:rPr>
  </w:style>
  <w:style w:type="paragraph" w:styleId="CommentSubject">
    <w:name w:val="annotation subject"/>
    <w:basedOn w:val="CommentText"/>
    <w:next w:val="CommentText"/>
    <w:semiHidden/>
    <w:rsid w:val="00BC6869"/>
    <w:rPr>
      <w:b/>
      <w:bCs/>
    </w:rPr>
  </w:style>
  <w:style w:type="paragraph" w:styleId="BalloonText">
    <w:name w:val="Balloon Text"/>
    <w:basedOn w:val="Normal"/>
    <w:semiHidden/>
    <w:rsid w:val="00BC6869"/>
    <w:rPr>
      <w:rFonts w:ascii="Tahoma" w:hAnsi="Tahoma" w:cs="Tahoma"/>
      <w:sz w:val="16"/>
      <w:szCs w:val="16"/>
    </w:rPr>
  </w:style>
  <w:style w:type="character" w:styleId="FootnoteReference">
    <w:name w:val="footnote reference"/>
    <w:basedOn w:val="DefaultParagraphFont"/>
    <w:rsid w:val="001C580D"/>
    <w:rPr>
      <w:rFonts w:ascii="Times New Roman" w:hAnsi="Times New Roman"/>
      <w:sz w:val="20"/>
      <w:vertAlign w:val="superscript"/>
    </w:rPr>
  </w:style>
  <w:style w:type="paragraph" w:styleId="FootnoteText">
    <w:name w:val="footnote text"/>
    <w:basedOn w:val="Normal"/>
    <w:link w:val="FootnoteTextChar"/>
    <w:rsid w:val="001C580D"/>
    <w:pPr>
      <w:spacing w:line="240" w:lineRule="auto"/>
    </w:pPr>
    <w:rPr>
      <w:sz w:val="20"/>
    </w:rPr>
  </w:style>
  <w:style w:type="character" w:customStyle="1" w:styleId="FootnoteTextChar">
    <w:name w:val="Footnote Text Char"/>
    <w:basedOn w:val="DefaultParagraphFont"/>
    <w:link w:val="FootnoteText"/>
    <w:rsid w:val="001C580D"/>
    <w:rPr>
      <w:lang w:val="en-GB"/>
    </w:rPr>
  </w:style>
  <w:style w:type="character" w:customStyle="1" w:styleId="Heading6Char">
    <w:name w:val="Heading 6 Char"/>
    <w:aliases w:val="Legal Level 1. Char,h6 Char,H6 Char,a. Char,dash GS Char,level6 Char,L1 PIP Char,Name of Org Char,Body Text 5 Char,as Char Char,Heading 6(unused) Char,Points in Text Char,(I) Char,6 Char,as Char1,a.1 Char,Lev 6 Char,a Char,Sub5Para Char"/>
    <w:basedOn w:val="DefaultParagraphFont"/>
    <w:link w:val="Heading6"/>
    <w:rsid w:val="001C580D"/>
    <w:rPr>
      <w:sz w:val="22"/>
    </w:rPr>
  </w:style>
  <w:style w:type="paragraph" w:styleId="Revision">
    <w:name w:val="Revision"/>
    <w:hidden/>
    <w:uiPriority w:val="99"/>
    <w:semiHidden/>
    <w:rsid w:val="009115C6"/>
    <w:rPr>
      <w:sz w:val="22"/>
      <w:lang w:val="en-GB"/>
    </w:rPr>
  </w:style>
  <w:style w:type="character" w:styleId="Hyperlink">
    <w:name w:val="Hyperlink"/>
    <w:basedOn w:val="DefaultParagraphFont"/>
    <w:uiPriority w:val="99"/>
    <w:rsid w:val="005B6B41"/>
    <w:rPr>
      <w:color w:val="0563C1" w:themeColor="hyperlink"/>
      <w:u w:val="single"/>
    </w:rPr>
  </w:style>
  <w:style w:type="character" w:styleId="UnresolvedMention">
    <w:name w:val="Unresolved Mention"/>
    <w:basedOn w:val="DefaultParagraphFont"/>
    <w:uiPriority w:val="99"/>
    <w:semiHidden/>
    <w:unhideWhenUsed/>
    <w:rsid w:val="005B6B41"/>
    <w:rPr>
      <w:color w:val="605E5C"/>
      <w:shd w:val="clear" w:color="auto" w:fill="E1DFDD"/>
    </w:rPr>
  </w:style>
  <w:style w:type="character" w:customStyle="1" w:styleId="HeaderChar">
    <w:name w:val="Header Char"/>
    <w:basedOn w:val="DefaultParagraphFont"/>
    <w:link w:val="Header"/>
    <w:uiPriority w:val="99"/>
    <w:rsid w:val="00C54518"/>
    <w:rPr>
      <w:noProof/>
      <w:lang w:val="en-GB"/>
    </w:rPr>
  </w:style>
  <w:style w:type="paragraph" w:styleId="ListParagraph">
    <w:name w:val="List Paragraph"/>
    <w:basedOn w:val="Normal"/>
    <w:uiPriority w:val="34"/>
    <w:qFormat/>
    <w:rsid w:val="00A55CEC"/>
    <w:pPr>
      <w:ind w:left="720"/>
      <w:contextualSpacing/>
    </w:pPr>
  </w:style>
  <w:style w:type="character" w:styleId="FollowedHyperlink">
    <w:name w:val="FollowedHyperlink"/>
    <w:basedOn w:val="DefaultParagraphFont"/>
    <w:rsid w:val="00B45A3A"/>
    <w:rPr>
      <w:color w:val="954F72" w:themeColor="followedHyperlink"/>
      <w:u w:val="single"/>
    </w:rPr>
  </w:style>
  <w:style w:type="paragraph" w:customStyle="1" w:styleId="L3Paragraph">
    <w:name w:val="L3 Paragraph"/>
    <w:basedOn w:val="Normal"/>
    <w:uiPriority w:val="6"/>
    <w:qFormat/>
    <w:rsid w:val="00E2024F"/>
    <w:pPr>
      <w:numPr>
        <w:ilvl w:val="2"/>
        <w:numId w:val="11"/>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pPr>
    <w:rPr>
      <w:rFonts w:eastAsiaTheme="minorHAnsi" w:cs="Arial"/>
      <w:szCs w:val="22"/>
      <w:lang w:eastAsia="en-US"/>
    </w:rPr>
  </w:style>
  <w:style w:type="paragraph" w:customStyle="1" w:styleId="L1Heading">
    <w:name w:val="L1 Heading"/>
    <w:basedOn w:val="Normal"/>
    <w:next w:val="Normal"/>
    <w:uiPriority w:val="6"/>
    <w:qFormat/>
    <w:rsid w:val="00E2024F"/>
    <w:pPr>
      <w:keepNext/>
      <w:numPr>
        <w:numId w:val="11"/>
      </w:numPr>
      <w:tabs>
        <w:tab w:val="clear" w:pos="851"/>
        <w:tab w:val="clear" w:pos="1701"/>
        <w:tab w:val="clear" w:pos="2552"/>
        <w:tab w:val="clear" w:pos="3402"/>
        <w:tab w:val="clear" w:pos="4253"/>
        <w:tab w:val="clear" w:pos="5103"/>
        <w:tab w:val="clear" w:pos="5954"/>
        <w:tab w:val="clear" w:pos="6804"/>
        <w:tab w:val="clear" w:pos="7655"/>
        <w:tab w:val="clear" w:pos="8505"/>
      </w:tabs>
      <w:spacing w:before="640" w:after="320" w:line="320" w:lineRule="exact"/>
      <w:outlineLvl w:val="0"/>
    </w:pPr>
    <w:rPr>
      <w:rFonts w:eastAsiaTheme="minorHAnsi" w:cs="Arial"/>
      <w:b/>
      <w:szCs w:val="22"/>
      <w:lang w:eastAsia="en-US"/>
    </w:rPr>
  </w:style>
  <w:style w:type="paragraph" w:customStyle="1" w:styleId="L2Paragraph">
    <w:name w:val="L2 Paragraph"/>
    <w:basedOn w:val="Normal"/>
    <w:uiPriority w:val="6"/>
    <w:qFormat/>
    <w:rsid w:val="00E2024F"/>
    <w:pPr>
      <w:numPr>
        <w:ilvl w:val="1"/>
        <w:numId w:val="11"/>
      </w:numPr>
      <w:tabs>
        <w:tab w:val="clear" w:pos="851"/>
        <w:tab w:val="clear" w:pos="1701"/>
        <w:tab w:val="clear" w:pos="2552"/>
        <w:tab w:val="clear" w:pos="3402"/>
        <w:tab w:val="clear" w:pos="4253"/>
        <w:tab w:val="clear" w:pos="5103"/>
        <w:tab w:val="clear" w:pos="5954"/>
        <w:tab w:val="clear" w:pos="6804"/>
        <w:tab w:val="clear" w:pos="7655"/>
        <w:tab w:val="clear" w:pos="8505"/>
      </w:tabs>
      <w:spacing w:after="320" w:line="320" w:lineRule="exact"/>
    </w:pPr>
    <w:rPr>
      <w:rFonts w:eastAsiaTheme="minorHAnsi" w:cs="Arial"/>
      <w:b/>
      <w:bCs/>
      <w:szCs w:val="22"/>
      <w:lang w:eastAsia="en-US"/>
    </w:rPr>
  </w:style>
  <w:style w:type="paragraph" w:customStyle="1" w:styleId="L4Paragraph">
    <w:name w:val="L4 Paragraph"/>
    <w:basedOn w:val="L3Paragraph"/>
    <w:uiPriority w:val="6"/>
    <w:qFormat/>
    <w:rsid w:val="00E2024F"/>
    <w:pPr>
      <w:numPr>
        <w:ilvl w:val="3"/>
      </w:numPr>
    </w:pPr>
  </w:style>
  <w:style w:type="paragraph" w:customStyle="1" w:styleId="L5Paragraph">
    <w:name w:val="L5 Paragraph"/>
    <w:basedOn w:val="L4Paragraph"/>
    <w:uiPriority w:val="6"/>
    <w:qFormat/>
    <w:rsid w:val="00E2024F"/>
    <w:pPr>
      <w:numPr>
        <w:ilvl w:val="4"/>
      </w:numPr>
      <w:tabs>
        <w:tab w:val="num" w:pos="360"/>
      </w:tabs>
      <w:ind w:left="0" w:firstLine="0"/>
    </w:pPr>
  </w:style>
  <w:style w:type="paragraph" w:customStyle="1" w:styleId="L6Paragraph">
    <w:name w:val="L6 Paragraph"/>
    <w:basedOn w:val="L5Paragraph"/>
    <w:uiPriority w:val="6"/>
    <w:qFormat/>
    <w:rsid w:val="00E2024F"/>
    <w:pPr>
      <w:numPr>
        <w:ilvl w:val="5"/>
      </w:numPr>
      <w:tabs>
        <w:tab w:val="num" w:pos="360"/>
      </w:tabs>
      <w:ind w:left="0" w:firstLine="0"/>
    </w:pPr>
  </w:style>
  <w:style w:type="paragraph" w:customStyle="1" w:styleId="L7Paragraph">
    <w:name w:val="L7 Paragraph"/>
    <w:basedOn w:val="L6Paragraph"/>
    <w:uiPriority w:val="6"/>
    <w:semiHidden/>
    <w:qFormat/>
    <w:rsid w:val="00E2024F"/>
    <w:pPr>
      <w:numPr>
        <w:ilvl w:val="6"/>
      </w:numPr>
      <w:tabs>
        <w:tab w:val="clear" w:pos="0"/>
        <w:tab w:val="num" w:pos="360"/>
      </w:tabs>
      <w:spacing w:before="120" w:after="120" w:line="259" w:lineRule="auto"/>
    </w:pPr>
  </w:style>
  <w:style w:type="paragraph" w:customStyle="1" w:styleId="Style1">
    <w:name w:val="Style1"/>
    <w:basedOn w:val="L2Paragraph"/>
    <w:link w:val="Style1Char"/>
    <w:qFormat/>
    <w:rsid w:val="00E2024F"/>
    <w:rPr>
      <w:b w:val="0"/>
      <w:bCs w:val="0"/>
    </w:rPr>
  </w:style>
  <w:style w:type="character" w:customStyle="1" w:styleId="Style1Char">
    <w:name w:val="Style1 Char"/>
    <w:basedOn w:val="DefaultParagraphFont"/>
    <w:link w:val="Style1"/>
    <w:rsid w:val="00E2024F"/>
    <w:rPr>
      <w:rFonts w:eastAsiaTheme="minorHAns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5115">
      <w:bodyDiv w:val="1"/>
      <w:marLeft w:val="0"/>
      <w:marRight w:val="0"/>
      <w:marTop w:val="0"/>
      <w:marBottom w:val="0"/>
      <w:divBdr>
        <w:top w:val="none" w:sz="0" w:space="0" w:color="auto"/>
        <w:left w:val="none" w:sz="0" w:space="0" w:color="auto"/>
        <w:bottom w:val="none" w:sz="0" w:space="0" w:color="auto"/>
        <w:right w:val="none" w:sz="0" w:space="0" w:color="auto"/>
      </w:divBdr>
    </w:div>
    <w:div w:id="266083479">
      <w:bodyDiv w:val="1"/>
      <w:marLeft w:val="0"/>
      <w:marRight w:val="0"/>
      <w:marTop w:val="0"/>
      <w:marBottom w:val="0"/>
      <w:divBdr>
        <w:top w:val="none" w:sz="0" w:space="0" w:color="auto"/>
        <w:left w:val="none" w:sz="0" w:space="0" w:color="auto"/>
        <w:bottom w:val="none" w:sz="0" w:space="0" w:color="auto"/>
        <w:right w:val="none" w:sz="0" w:space="0" w:color="auto"/>
      </w:divBdr>
    </w:div>
    <w:div w:id="303002798">
      <w:bodyDiv w:val="1"/>
      <w:marLeft w:val="0"/>
      <w:marRight w:val="0"/>
      <w:marTop w:val="0"/>
      <w:marBottom w:val="0"/>
      <w:divBdr>
        <w:top w:val="none" w:sz="0" w:space="0" w:color="auto"/>
        <w:left w:val="none" w:sz="0" w:space="0" w:color="auto"/>
        <w:bottom w:val="none" w:sz="0" w:space="0" w:color="auto"/>
        <w:right w:val="none" w:sz="0" w:space="0" w:color="auto"/>
      </w:divBdr>
    </w:div>
    <w:div w:id="331224796">
      <w:bodyDiv w:val="1"/>
      <w:marLeft w:val="0"/>
      <w:marRight w:val="0"/>
      <w:marTop w:val="0"/>
      <w:marBottom w:val="0"/>
      <w:divBdr>
        <w:top w:val="none" w:sz="0" w:space="0" w:color="auto"/>
        <w:left w:val="none" w:sz="0" w:space="0" w:color="auto"/>
        <w:bottom w:val="none" w:sz="0" w:space="0" w:color="auto"/>
        <w:right w:val="none" w:sz="0" w:space="0" w:color="auto"/>
      </w:divBdr>
    </w:div>
    <w:div w:id="354699039">
      <w:bodyDiv w:val="1"/>
      <w:marLeft w:val="0"/>
      <w:marRight w:val="0"/>
      <w:marTop w:val="0"/>
      <w:marBottom w:val="0"/>
      <w:divBdr>
        <w:top w:val="none" w:sz="0" w:space="0" w:color="auto"/>
        <w:left w:val="none" w:sz="0" w:space="0" w:color="auto"/>
        <w:bottom w:val="none" w:sz="0" w:space="0" w:color="auto"/>
        <w:right w:val="none" w:sz="0" w:space="0" w:color="auto"/>
      </w:divBdr>
    </w:div>
    <w:div w:id="433288426">
      <w:bodyDiv w:val="1"/>
      <w:marLeft w:val="0"/>
      <w:marRight w:val="0"/>
      <w:marTop w:val="0"/>
      <w:marBottom w:val="0"/>
      <w:divBdr>
        <w:top w:val="none" w:sz="0" w:space="0" w:color="auto"/>
        <w:left w:val="none" w:sz="0" w:space="0" w:color="auto"/>
        <w:bottom w:val="none" w:sz="0" w:space="0" w:color="auto"/>
        <w:right w:val="none" w:sz="0" w:space="0" w:color="auto"/>
      </w:divBdr>
    </w:div>
    <w:div w:id="507402986">
      <w:bodyDiv w:val="1"/>
      <w:marLeft w:val="0"/>
      <w:marRight w:val="0"/>
      <w:marTop w:val="0"/>
      <w:marBottom w:val="0"/>
      <w:divBdr>
        <w:top w:val="none" w:sz="0" w:space="0" w:color="auto"/>
        <w:left w:val="none" w:sz="0" w:space="0" w:color="auto"/>
        <w:bottom w:val="none" w:sz="0" w:space="0" w:color="auto"/>
        <w:right w:val="none" w:sz="0" w:space="0" w:color="auto"/>
      </w:divBdr>
    </w:div>
    <w:div w:id="570506498">
      <w:bodyDiv w:val="1"/>
      <w:marLeft w:val="0"/>
      <w:marRight w:val="0"/>
      <w:marTop w:val="0"/>
      <w:marBottom w:val="0"/>
      <w:divBdr>
        <w:top w:val="none" w:sz="0" w:space="0" w:color="auto"/>
        <w:left w:val="none" w:sz="0" w:space="0" w:color="auto"/>
        <w:bottom w:val="none" w:sz="0" w:space="0" w:color="auto"/>
        <w:right w:val="none" w:sz="0" w:space="0" w:color="auto"/>
      </w:divBdr>
    </w:div>
    <w:div w:id="666983769">
      <w:bodyDiv w:val="1"/>
      <w:marLeft w:val="0"/>
      <w:marRight w:val="0"/>
      <w:marTop w:val="0"/>
      <w:marBottom w:val="0"/>
      <w:divBdr>
        <w:top w:val="none" w:sz="0" w:space="0" w:color="auto"/>
        <w:left w:val="none" w:sz="0" w:space="0" w:color="auto"/>
        <w:bottom w:val="none" w:sz="0" w:space="0" w:color="auto"/>
        <w:right w:val="none" w:sz="0" w:space="0" w:color="auto"/>
      </w:divBdr>
    </w:div>
    <w:div w:id="669257441">
      <w:bodyDiv w:val="1"/>
      <w:marLeft w:val="0"/>
      <w:marRight w:val="0"/>
      <w:marTop w:val="0"/>
      <w:marBottom w:val="0"/>
      <w:divBdr>
        <w:top w:val="none" w:sz="0" w:space="0" w:color="auto"/>
        <w:left w:val="none" w:sz="0" w:space="0" w:color="auto"/>
        <w:bottom w:val="none" w:sz="0" w:space="0" w:color="auto"/>
        <w:right w:val="none" w:sz="0" w:space="0" w:color="auto"/>
      </w:divBdr>
    </w:div>
    <w:div w:id="688608887">
      <w:bodyDiv w:val="1"/>
      <w:marLeft w:val="0"/>
      <w:marRight w:val="0"/>
      <w:marTop w:val="0"/>
      <w:marBottom w:val="0"/>
      <w:divBdr>
        <w:top w:val="none" w:sz="0" w:space="0" w:color="auto"/>
        <w:left w:val="none" w:sz="0" w:space="0" w:color="auto"/>
        <w:bottom w:val="none" w:sz="0" w:space="0" w:color="auto"/>
        <w:right w:val="none" w:sz="0" w:space="0" w:color="auto"/>
      </w:divBdr>
    </w:div>
    <w:div w:id="691153292">
      <w:bodyDiv w:val="1"/>
      <w:marLeft w:val="0"/>
      <w:marRight w:val="0"/>
      <w:marTop w:val="0"/>
      <w:marBottom w:val="0"/>
      <w:divBdr>
        <w:top w:val="none" w:sz="0" w:space="0" w:color="auto"/>
        <w:left w:val="none" w:sz="0" w:space="0" w:color="auto"/>
        <w:bottom w:val="none" w:sz="0" w:space="0" w:color="auto"/>
        <w:right w:val="none" w:sz="0" w:space="0" w:color="auto"/>
      </w:divBdr>
    </w:div>
    <w:div w:id="805200473">
      <w:bodyDiv w:val="1"/>
      <w:marLeft w:val="0"/>
      <w:marRight w:val="0"/>
      <w:marTop w:val="0"/>
      <w:marBottom w:val="0"/>
      <w:divBdr>
        <w:top w:val="none" w:sz="0" w:space="0" w:color="auto"/>
        <w:left w:val="none" w:sz="0" w:space="0" w:color="auto"/>
        <w:bottom w:val="none" w:sz="0" w:space="0" w:color="auto"/>
        <w:right w:val="none" w:sz="0" w:space="0" w:color="auto"/>
      </w:divBdr>
    </w:div>
    <w:div w:id="827089444">
      <w:bodyDiv w:val="1"/>
      <w:marLeft w:val="0"/>
      <w:marRight w:val="0"/>
      <w:marTop w:val="0"/>
      <w:marBottom w:val="0"/>
      <w:divBdr>
        <w:top w:val="none" w:sz="0" w:space="0" w:color="auto"/>
        <w:left w:val="none" w:sz="0" w:space="0" w:color="auto"/>
        <w:bottom w:val="none" w:sz="0" w:space="0" w:color="auto"/>
        <w:right w:val="none" w:sz="0" w:space="0" w:color="auto"/>
      </w:divBdr>
    </w:div>
    <w:div w:id="1062871705">
      <w:bodyDiv w:val="1"/>
      <w:marLeft w:val="0"/>
      <w:marRight w:val="0"/>
      <w:marTop w:val="0"/>
      <w:marBottom w:val="0"/>
      <w:divBdr>
        <w:top w:val="none" w:sz="0" w:space="0" w:color="auto"/>
        <w:left w:val="none" w:sz="0" w:space="0" w:color="auto"/>
        <w:bottom w:val="none" w:sz="0" w:space="0" w:color="auto"/>
        <w:right w:val="none" w:sz="0" w:space="0" w:color="auto"/>
      </w:divBdr>
    </w:div>
    <w:div w:id="1141845363">
      <w:bodyDiv w:val="1"/>
      <w:marLeft w:val="0"/>
      <w:marRight w:val="0"/>
      <w:marTop w:val="0"/>
      <w:marBottom w:val="0"/>
      <w:divBdr>
        <w:top w:val="none" w:sz="0" w:space="0" w:color="auto"/>
        <w:left w:val="none" w:sz="0" w:space="0" w:color="auto"/>
        <w:bottom w:val="none" w:sz="0" w:space="0" w:color="auto"/>
        <w:right w:val="none" w:sz="0" w:space="0" w:color="auto"/>
      </w:divBdr>
    </w:div>
    <w:div w:id="1148741013">
      <w:bodyDiv w:val="1"/>
      <w:marLeft w:val="0"/>
      <w:marRight w:val="0"/>
      <w:marTop w:val="0"/>
      <w:marBottom w:val="0"/>
      <w:divBdr>
        <w:top w:val="none" w:sz="0" w:space="0" w:color="auto"/>
        <w:left w:val="none" w:sz="0" w:space="0" w:color="auto"/>
        <w:bottom w:val="none" w:sz="0" w:space="0" w:color="auto"/>
        <w:right w:val="none" w:sz="0" w:space="0" w:color="auto"/>
      </w:divBdr>
    </w:div>
    <w:div w:id="1163743619">
      <w:bodyDiv w:val="1"/>
      <w:marLeft w:val="0"/>
      <w:marRight w:val="0"/>
      <w:marTop w:val="0"/>
      <w:marBottom w:val="0"/>
      <w:divBdr>
        <w:top w:val="none" w:sz="0" w:space="0" w:color="auto"/>
        <w:left w:val="none" w:sz="0" w:space="0" w:color="auto"/>
        <w:bottom w:val="none" w:sz="0" w:space="0" w:color="auto"/>
        <w:right w:val="none" w:sz="0" w:space="0" w:color="auto"/>
      </w:divBdr>
    </w:div>
    <w:div w:id="1184319222">
      <w:bodyDiv w:val="1"/>
      <w:marLeft w:val="0"/>
      <w:marRight w:val="0"/>
      <w:marTop w:val="0"/>
      <w:marBottom w:val="0"/>
      <w:divBdr>
        <w:top w:val="none" w:sz="0" w:space="0" w:color="auto"/>
        <w:left w:val="none" w:sz="0" w:space="0" w:color="auto"/>
        <w:bottom w:val="none" w:sz="0" w:space="0" w:color="auto"/>
        <w:right w:val="none" w:sz="0" w:space="0" w:color="auto"/>
      </w:divBdr>
    </w:div>
    <w:div w:id="1214000911">
      <w:bodyDiv w:val="1"/>
      <w:marLeft w:val="0"/>
      <w:marRight w:val="0"/>
      <w:marTop w:val="0"/>
      <w:marBottom w:val="0"/>
      <w:divBdr>
        <w:top w:val="none" w:sz="0" w:space="0" w:color="auto"/>
        <w:left w:val="none" w:sz="0" w:space="0" w:color="auto"/>
        <w:bottom w:val="none" w:sz="0" w:space="0" w:color="auto"/>
        <w:right w:val="none" w:sz="0" w:space="0" w:color="auto"/>
      </w:divBdr>
    </w:div>
    <w:div w:id="1228301191">
      <w:bodyDiv w:val="1"/>
      <w:marLeft w:val="0"/>
      <w:marRight w:val="0"/>
      <w:marTop w:val="0"/>
      <w:marBottom w:val="0"/>
      <w:divBdr>
        <w:top w:val="none" w:sz="0" w:space="0" w:color="auto"/>
        <w:left w:val="none" w:sz="0" w:space="0" w:color="auto"/>
        <w:bottom w:val="none" w:sz="0" w:space="0" w:color="auto"/>
        <w:right w:val="none" w:sz="0" w:space="0" w:color="auto"/>
      </w:divBdr>
    </w:div>
    <w:div w:id="1786079156">
      <w:bodyDiv w:val="1"/>
      <w:marLeft w:val="0"/>
      <w:marRight w:val="0"/>
      <w:marTop w:val="0"/>
      <w:marBottom w:val="0"/>
      <w:divBdr>
        <w:top w:val="none" w:sz="0" w:space="0" w:color="auto"/>
        <w:left w:val="none" w:sz="0" w:space="0" w:color="auto"/>
        <w:bottom w:val="none" w:sz="0" w:space="0" w:color="auto"/>
        <w:right w:val="none" w:sz="0" w:space="0" w:color="auto"/>
      </w:divBdr>
    </w:div>
    <w:div w:id="1842550072">
      <w:bodyDiv w:val="1"/>
      <w:marLeft w:val="0"/>
      <w:marRight w:val="0"/>
      <w:marTop w:val="0"/>
      <w:marBottom w:val="0"/>
      <w:divBdr>
        <w:top w:val="none" w:sz="0" w:space="0" w:color="auto"/>
        <w:left w:val="none" w:sz="0" w:space="0" w:color="auto"/>
        <w:bottom w:val="none" w:sz="0" w:space="0" w:color="auto"/>
        <w:right w:val="none" w:sz="0" w:space="0" w:color="auto"/>
      </w:divBdr>
    </w:div>
    <w:div w:id="2071493674">
      <w:bodyDiv w:val="1"/>
      <w:marLeft w:val="0"/>
      <w:marRight w:val="0"/>
      <w:marTop w:val="0"/>
      <w:marBottom w:val="0"/>
      <w:divBdr>
        <w:top w:val="none" w:sz="0" w:space="0" w:color="auto"/>
        <w:left w:val="none" w:sz="0" w:space="0" w:color="auto"/>
        <w:bottom w:val="none" w:sz="0" w:space="0" w:color="auto"/>
        <w:right w:val="none" w:sz="0" w:space="0" w:color="auto"/>
      </w:divBdr>
    </w:div>
    <w:div w:id="2097708992">
      <w:bodyDiv w:val="1"/>
      <w:marLeft w:val="0"/>
      <w:marRight w:val="0"/>
      <w:marTop w:val="0"/>
      <w:marBottom w:val="0"/>
      <w:divBdr>
        <w:top w:val="none" w:sz="0" w:space="0" w:color="auto"/>
        <w:left w:val="none" w:sz="0" w:space="0" w:color="auto"/>
        <w:bottom w:val="none" w:sz="0" w:space="0" w:color="auto"/>
        <w:right w:val="none" w:sz="0" w:space="0" w:color="auto"/>
      </w:divBdr>
    </w:div>
    <w:div w:id="211898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freudenberg.com/en/documentsforoff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reudenberg.com/en/documentsforoff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l@reliance.d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chael.scheuer@freudenberg.com"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System\DokumentBasisU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F375076D9AA0E439F50B1A00765E04E" ma:contentTypeVersion="3" ma:contentTypeDescription="Opret et nyt dokument." ma:contentTypeScope="" ma:versionID="fd3990716365774ef581be545c0af9cb">
  <xsd:schema xmlns:xsd="http://www.w3.org/2001/XMLSchema" xmlns:xs="http://www.w3.org/2001/XMLSchema" xmlns:p="http://schemas.microsoft.com/office/2006/metadata/properties" xmlns:ns2="d1d7fb31-1949-43ed-a7e9-d84d58c39545" targetNamespace="http://schemas.microsoft.com/office/2006/metadata/properties" ma:root="true" ma:fieldsID="debb1572b9fcba1a23a3018300d04ad2" ns2:_="">
    <xsd:import namespace="d1d7fb31-1949-43ed-a7e9-d84d58c395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7fb31-1949-43ed-a7e9-d84d58c39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629483-DFA4-4880-A657-4397891285A1}">
  <ds:schemaRefs>
    <ds:schemaRef ds:uri="http://schemas.microsoft.com/office/2006/metadata/longProperties"/>
  </ds:schemaRefs>
</ds:datastoreItem>
</file>

<file path=customXml/itemProps2.xml><?xml version="1.0" encoding="utf-8"?>
<ds:datastoreItem xmlns:ds="http://schemas.openxmlformats.org/officeDocument/2006/customXml" ds:itemID="{94919832-6A27-4201-960E-8DC883F19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7fb31-1949-43ed-a7e9-d84d58c39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E0B3D-D254-488B-A849-033CC9BE2398}">
  <ds:schemaRefs>
    <ds:schemaRef ds:uri="http://schemas.openxmlformats.org/officeDocument/2006/bibliography"/>
  </ds:schemaRefs>
</ds:datastoreItem>
</file>

<file path=customXml/itemProps4.xml><?xml version="1.0" encoding="utf-8"?>
<ds:datastoreItem xmlns:ds="http://schemas.openxmlformats.org/officeDocument/2006/customXml" ds:itemID="{736A888F-C1D4-4C83-982D-2CAB8631FFA1}">
  <ds:schemaRefs>
    <ds:schemaRef ds:uri="http://schemas.microsoft.com/sharepoint/v3/contenttype/forms"/>
  </ds:schemaRefs>
</ds:datastoreItem>
</file>

<file path=customXml/itemProps5.xml><?xml version="1.0" encoding="utf-8"?>
<ds:datastoreItem xmlns:ds="http://schemas.openxmlformats.org/officeDocument/2006/customXml" ds:itemID="{5D406DBE-77A8-40B6-959A-F7741C0944C1}">
  <ds:schemaRefs>
    <ds:schemaRef ds:uri="http://purl.org/dc/terms/"/>
    <ds:schemaRef ds:uri="http://schemas.microsoft.com/office/infopath/2007/PartnerControls"/>
    <ds:schemaRef ds:uri="http://schemas.microsoft.com/office/2006/documentManagement/types"/>
    <ds:schemaRef ds:uri="266a33ad-9bb2-4321-bbb2-14894cf73052"/>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DokumentBasisUK</Template>
  <TotalTime>3</TotalTime>
  <Pages>10</Pages>
  <Words>3296</Words>
  <Characters>21362</Characters>
  <Application>Microsoft Office Word</Application>
  <DocSecurity>0</DocSecurity>
  <Lines>388</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 1 Notice of termination - ikke fritstilling-suspension - UK</vt:lpstr>
      <vt:lpstr>3 1 Notice of termination - ikke fritstilling-suspension - UK</vt:lpstr>
    </vt:vector>
  </TitlesOfParts>
  <Company>Moalem Weitemeyer Bendtsen Advokatpartnerselskab</Company>
  <LinksUpToDate>false</LinksUpToDate>
  <CharactersWithSpaces>24561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1 Notice of termination - ikke fritstilling-suspension - UK</dc:title>
  <dc:subject/>
  <dc:creator>MWB</dc:creator>
  <cp:keywords/>
  <dc:description/>
  <cp:lastModifiedBy>Nils Nissen Homann</cp:lastModifiedBy>
  <cp:revision>5</cp:revision>
  <cp:lastPrinted>2008-09-01T09:21:00Z</cp:lastPrinted>
  <dcterms:created xsi:type="dcterms:W3CDTF">2026-01-06T18:58:00Z</dcterms:created>
  <dcterms:modified xsi:type="dcterms:W3CDTF">2026-01-06T18:58:00Z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gFAA9xAl/vizjZhWL2g6umP4azxxNnyWgtGgHMFD8epJoKIBeYqjvQyb8A32G+a7nSk53BXJ9uAVhOJX_x000d_
hFx4hv1qBkHtFUiEMQ45i1JlWwXUFyjxZ3nnwTz2aC2+5c8oPQGP/lpXWPfNJba8AA/IF5a2Yb4i_x000d_
mvMhFSTJveoMHEKMceQteaYjII0X+PweYldvT1SahwB+6mZSH6u7le/6AfGya75ZopAjyUo51s/Z_x000d_
CxKV+e7sTBKQWLvrM</vt:lpwstr>
  </property>
  <property fmtid="{D5CDD505-2E9C-101B-9397-08002B2CF9AE}" pid="3" name="MAIL_MSG_ID2">
    <vt:lpwstr>H277JJR5CRCm+Iq6ZMIUBI37v+SGEZ9uLI4POYuzx4sig5lauV/6LtzCJUO_x000d_
s+ARA+r+SmBMlU+C8ZAYmri5unJrYP5pH7sDjQ==</vt:lpwstr>
  </property>
  <property fmtid="{D5CDD505-2E9C-101B-9397-08002B2CF9AE}" pid="4" name="RESPONSE_SENDER_NAME">
    <vt:lpwstr>gAAAJ+PfKkF/6hjVoeqmkmq+x54hvVJPzBgH</vt:lpwstr>
  </property>
  <property fmtid="{D5CDD505-2E9C-101B-9397-08002B2CF9AE}" pid="5" name="EMAIL_OWNER_ADDRESS">
    <vt:lpwstr>sAAA4E8dREqJqIqv1a674gQ+nx5Wyb/68fBCR/d1eRMKYNg=</vt:lpwstr>
  </property>
  <property fmtid="{D5CDD505-2E9C-101B-9397-08002B2CF9AE}" pid="6" name="ContentType">
    <vt:lpwstr>Dokument</vt:lpwstr>
  </property>
  <property fmtid="{D5CDD505-2E9C-101B-9397-08002B2CF9AE}" pid="7" name="_dlc_DocId">
    <vt:lpwstr>2P2VU67DSCMU-29-3890</vt:lpwstr>
  </property>
  <property fmtid="{D5CDD505-2E9C-101B-9397-08002B2CF9AE}" pid="8" name="_dlc_DocIdItemGuid">
    <vt:lpwstr>c3ce06bc-7664-4f4b-9554-2d52f4f263d9</vt:lpwstr>
  </property>
  <property fmtid="{D5CDD505-2E9C-101B-9397-08002B2CF9AE}" pid="9" name="_dlc_DocIdUrl">
    <vt:lpwstr>http://intra02.mwblaw.local/paradigma/_layouts/DocIdRedir.aspx?ID=2P2VU67DSCMU-29-3890, 2P2VU67DSCMU-29-3890</vt:lpwstr>
  </property>
  <property fmtid="{D5CDD505-2E9C-101B-9397-08002B2CF9AE}" pid="10" name="ContentTypeId">
    <vt:lpwstr>0x0101004F375076D9AA0E439F50B1A00765E04E</vt:lpwstr>
  </property>
  <property fmtid="{D5CDD505-2E9C-101B-9397-08002B2CF9AE}" pid="11" name="iManageFooter">
    <vt:lpwstr>1773450v1</vt:lpwstr>
  </property>
  <property fmtid="{D5CDD505-2E9C-101B-9397-08002B2CF9AE}" pid="12" name="docLang">
    <vt:lpwstr>da</vt:lpwstr>
  </property>
</Properties>
</file>