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8E0F9D" w:rsidR="009A5DB8" w:rsidP="008E0F9D" w:rsidRDefault="00596256" w14:paraId="2B66DDBD" w14:textId="5A78B1CD">
      <w:pPr>
        <w:pStyle w:val="Titel"/>
      </w:pPr>
      <w:r w:rsidRPr="00596256">
        <w:t>Virksomhederne har brug for seniorerne</w:t>
      </w:r>
    </w:p>
    <w:p w:rsidR="004F6F4D" w:rsidP="00C572A8" w:rsidRDefault="004F6F4D" w14:paraId="4E2EDBAF" w14:textId="16743C5A">
      <w:pPr>
        <w:rPr>
          <w:rFonts w:eastAsiaTheme="majorEastAsia" w:cstheme="majorBidi"/>
          <w:color w:val="009283" w:themeColor="accent1" w:themeShade="BF"/>
          <w:sz w:val="28"/>
          <w:szCs w:val="28"/>
        </w:rPr>
      </w:pPr>
      <w:r w:rsidRPr="004F6F4D">
        <w:rPr>
          <w:rFonts w:eastAsiaTheme="majorEastAsia" w:cstheme="majorBidi"/>
          <w:color w:val="009283" w:themeColor="accent1" w:themeShade="BF"/>
          <w:sz w:val="28"/>
          <w:szCs w:val="28"/>
        </w:rPr>
        <w:t xml:space="preserve">Rekruttering af nye medarbejdere i det tekniske erhvervsliv bliver vanskeligere i de kommende år. Derfor får fastholdelse af erfarne medarbejdere – herunder seniorer – </w:t>
      </w:r>
      <w:r w:rsidR="00AD3AF5">
        <w:rPr>
          <w:rFonts w:eastAsiaTheme="majorEastAsia" w:cstheme="majorBidi"/>
          <w:color w:val="009283" w:themeColor="accent1" w:themeShade="BF"/>
          <w:sz w:val="28"/>
          <w:szCs w:val="28"/>
        </w:rPr>
        <w:t xml:space="preserve">stadig større </w:t>
      </w:r>
      <w:r w:rsidRPr="004F6F4D">
        <w:rPr>
          <w:rFonts w:eastAsiaTheme="majorEastAsia" w:cstheme="majorBidi"/>
          <w:color w:val="009283" w:themeColor="accent1" w:themeShade="BF"/>
          <w:sz w:val="28"/>
          <w:szCs w:val="28"/>
        </w:rPr>
        <w:t>betydning.</w:t>
      </w:r>
    </w:p>
    <w:p w:rsidR="003D2508" w:rsidP="00C572A8" w:rsidRDefault="003D2508" w14:paraId="70437ECC" w14:textId="77777777">
      <w:r w:rsidRPr="003D2508">
        <w:t>Manglen på faglærte medarbejdere har præget det tekniske erhvervsliv i flere år. Høj aktivitet på markedet og store årgange, der er på vej på pension, forstærker udfordringen.</w:t>
      </w:r>
    </w:p>
    <w:p w:rsidR="00D82128" w:rsidP="00D82128" w:rsidRDefault="00D82128" w14:paraId="71B0964C" w14:textId="2B2571BF">
      <w:r w:rsidRPr="00D82128">
        <w:t>Aldersfordelingen blandt medarbejderne har ændret sig markant de seneste 10 år. Andelen af medarbejdere over 55 år er vokset betydeligt siden 201</w:t>
      </w:r>
      <w:r w:rsidR="00731BA6">
        <w:t>4</w:t>
      </w:r>
      <w:r w:rsidRPr="00D82128">
        <w:t xml:space="preserve">. Den </w:t>
      </w:r>
      <w:r w:rsidR="00D279EE">
        <w:t xml:space="preserve">gode </w:t>
      </w:r>
      <w:r w:rsidRPr="00D82128">
        <w:t>nyhed er dog, at flere venter med at gå på pension. På sigt vil mange dog forlade arbejdsmarkedet, da en udskydelse af pensionen ikke er nok til at løse alle problemerne.</w:t>
      </w:r>
    </w:p>
    <w:p w:rsidR="00A13669" w:rsidP="00A13669" w:rsidRDefault="00A13669" w14:paraId="716774E6" w14:textId="0B19A3E1">
      <w:pPr>
        <w:pStyle w:val="Overskrift3"/>
      </w:pPr>
      <w:r w:rsidRPr="00992732">
        <w:t xml:space="preserve">Figur </w:t>
      </w:r>
      <w:r w:rsidR="007B4F3F">
        <w:t>1</w:t>
      </w:r>
      <w:r w:rsidRPr="00992732">
        <w:t xml:space="preserve">: </w:t>
      </w:r>
      <w:r w:rsidRPr="00A13669">
        <w:t>Medarbejderne i det tekniske erhvervsliv bliver ældre og ældre</w:t>
      </w:r>
    </w:p>
    <w:p w:rsidR="00A13669" w:rsidP="00C572A8" w:rsidRDefault="009733D5" w14:paraId="0EC9B966" w14:textId="44686495">
      <w:pPr>
        <w:contextualSpacing/>
      </w:pPr>
      <w:r>
        <w:rPr>
          <w:noProof/>
        </w:rPr>
        <w:drawing>
          <wp:inline distT="0" distB="0" distL="0" distR="0" wp14:anchorId="4ADCA3F1" wp14:editId="606A8ADA">
            <wp:extent cx="6084062" cy="3800475"/>
            <wp:effectExtent l="0" t="0" r="0" b="0"/>
            <wp:docPr id="64239605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546" cy="3805775"/>
                    </a:xfrm>
                    <a:prstGeom prst="rect">
                      <a:avLst/>
                    </a:prstGeom>
                    <a:noFill/>
                  </pic:spPr>
                </pic:pic>
              </a:graphicData>
            </a:graphic>
          </wp:inline>
        </w:drawing>
      </w:r>
    </w:p>
    <w:p w:rsidR="00A13669" w:rsidP="00A13669" w:rsidRDefault="00A13669" w14:paraId="3D628DAB" w14:textId="77777777">
      <w:pPr>
        <w:contextualSpacing/>
        <w:rPr>
          <w:sz w:val="18"/>
          <w:szCs w:val="18"/>
        </w:rPr>
      </w:pPr>
      <w:r w:rsidRPr="00CD52D3">
        <w:rPr>
          <w:sz w:val="18"/>
          <w:szCs w:val="18"/>
        </w:rPr>
        <w:t xml:space="preserve">Kilde: </w:t>
      </w:r>
      <w:r>
        <w:rPr>
          <w:sz w:val="18"/>
          <w:szCs w:val="18"/>
        </w:rPr>
        <w:t>Danmarks Statistik, RAS300</w:t>
      </w:r>
      <w:r w:rsidRPr="00CD52D3">
        <w:rPr>
          <w:sz w:val="18"/>
          <w:szCs w:val="18"/>
        </w:rPr>
        <w:t>.</w:t>
      </w:r>
    </w:p>
    <w:p w:rsidRPr="004A24F3" w:rsidR="003A332B" w:rsidP="00C572A8" w:rsidRDefault="00A13669" w14:paraId="47C55350" w14:textId="55397BC3">
      <w:pPr>
        <w:contextualSpacing/>
        <w:rPr>
          <w:sz w:val="18"/>
          <w:szCs w:val="18"/>
        </w:rPr>
      </w:pPr>
      <w:r>
        <w:rPr>
          <w:sz w:val="18"/>
          <w:szCs w:val="18"/>
        </w:rPr>
        <w:t xml:space="preserve">Anm.: </w:t>
      </w:r>
      <w:r w:rsidR="004F651B">
        <w:rPr>
          <w:sz w:val="18"/>
          <w:szCs w:val="18"/>
        </w:rPr>
        <w:t>Det tekniske erhvervsliv er her defineret som bra</w:t>
      </w:r>
      <w:r w:rsidR="004F091F">
        <w:rPr>
          <w:sz w:val="18"/>
          <w:szCs w:val="18"/>
        </w:rPr>
        <w:t>n</w:t>
      </w:r>
      <w:r w:rsidR="004F651B">
        <w:rPr>
          <w:sz w:val="18"/>
          <w:szCs w:val="18"/>
        </w:rPr>
        <w:t xml:space="preserve">cherne fremstilling af metal, metalvareindustri, bygningsinstallation, fremstilling af motorer, </w:t>
      </w:r>
      <w:r w:rsidR="004F091F">
        <w:rPr>
          <w:sz w:val="18"/>
          <w:szCs w:val="18"/>
        </w:rPr>
        <w:t>vindmøller og pumper samt fremstilling af andre maskiner.</w:t>
      </w:r>
      <w:r w:rsidRPr="00CD52D3">
        <w:rPr>
          <w:sz w:val="18"/>
          <w:szCs w:val="18"/>
        </w:rPr>
        <w:t xml:space="preserve"> </w:t>
      </w:r>
    </w:p>
    <w:p w:rsidR="006143DE" w:rsidP="003A332B" w:rsidRDefault="003A332B" w14:paraId="134FAB26" w14:textId="328998EB">
      <w:pPr>
        <w:spacing w:before="240"/>
      </w:pPr>
      <w:r>
        <w:br/>
      </w:r>
      <w:r w:rsidRPr="006143DE" w:rsidR="006143DE">
        <w:t>I 201</w:t>
      </w:r>
      <w:r w:rsidR="0042243B">
        <w:t>4</w:t>
      </w:r>
      <w:r w:rsidRPr="006143DE" w:rsidR="006143DE">
        <w:t xml:space="preserve"> udgjorde medarbejdere på 60 år eller derover 9 % af arbejdsstyrken i det tekniske erhvervsliv. I 202</w:t>
      </w:r>
      <w:r w:rsidR="00F17507">
        <w:t>4</w:t>
      </w:r>
      <w:r w:rsidRPr="006143DE" w:rsidR="006143DE">
        <w:t xml:space="preserve"> var andelen steget til 1</w:t>
      </w:r>
      <w:r w:rsidR="00F17507">
        <w:t>5</w:t>
      </w:r>
      <w:r w:rsidRPr="006143DE" w:rsidR="006143DE">
        <w:t xml:space="preserve"> %. Udviklingen skyldes både demografiske forhold og </w:t>
      </w:r>
      <w:r w:rsidR="008C466C">
        <w:t>en for lav</w:t>
      </w:r>
      <w:r w:rsidRPr="006143DE" w:rsidR="006143DE">
        <w:t xml:space="preserve"> tilgang til erhvervsuddannelserne.</w:t>
      </w:r>
    </w:p>
    <w:p w:rsidR="00CE2F23" w:rsidP="00F96773" w:rsidRDefault="00CE2F23" w14:paraId="2C5780BD" w14:textId="780769FB">
      <w:r w:rsidRPr="00011D0D">
        <w:rPr>
          <w:rFonts w:eastAsiaTheme="majorEastAsia" w:cstheme="majorBidi"/>
          <w:color w:val="009283" w:themeColor="accent1" w:themeShade="BF"/>
          <w:sz w:val="28"/>
          <w:szCs w:val="28"/>
        </w:rPr>
        <w:lastRenderedPageBreak/>
        <w:t>Virksomhederne arbejder aktivt for at fastholde seniorer</w:t>
      </w:r>
    </w:p>
    <w:p w:rsidR="00612315" w:rsidP="00612315" w:rsidRDefault="00612315" w14:paraId="0ED13E7A" w14:textId="0664BE65">
      <w:r w:rsidRPr="00612315">
        <w:t xml:space="preserve">46 % af virksomhederne i det tekniske erhvervsliv har i dag </w:t>
      </w:r>
      <w:r w:rsidR="002F5CE1">
        <w:t>medarbejdere ansat, der har nået en alder, hvor det kan give mening at have en seniorsamtale</w:t>
      </w:r>
      <w:r w:rsidRPr="00612315">
        <w:t>. Branchen oplever, at seniorerne bidrager med erfaring</w:t>
      </w:r>
      <w:r w:rsidR="00C60D8C">
        <w:t>, ro</w:t>
      </w:r>
      <w:r w:rsidRPr="00612315">
        <w:t xml:space="preserve"> og stabilitet. </w:t>
      </w:r>
      <w:r w:rsidR="00A663A1">
        <w:t>Nogle virksomheder har som eksempel nævnt at de ældre medarbejdere</w:t>
      </w:r>
      <w:r w:rsidRPr="00612315">
        <w:t xml:space="preserve"> fungerer som mentorer og </w:t>
      </w:r>
      <w:r w:rsidR="00C60D8C">
        <w:t>sørger for,</w:t>
      </w:r>
      <w:r w:rsidRPr="00612315">
        <w:t xml:space="preserve"> at viden og erfaring gives videre til yngre kolleg</w:t>
      </w:r>
      <w:r w:rsidR="00E110DE">
        <w:t>a</w:t>
      </w:r>
      <w:r w:rsidRPr="00612315">
        <w:t>er. Seniorernes tilstedeværelse styrker hverdagen og hjælper med at løse fremtidens udfordringer.</w:t>
      </w:r>
    </w:p>
    <w:p w:rsidR="00992732" w:rsidP="00992732" w:rsidRDefault="00992732" w14:paraId="02B99CE3" w14:textId="552BDD2F">
      <w:pPr>
        <w:pStyle w:val="Overskrift3"/>
      </w:pPr>
      <w:r w:rsidRPr="00992732">
        <w:t xml:space="preserve">Figur </w:t>
      </w:r>
      <w:r w:rsidR="007B4F3F">
        <w:t>2</w:t>
      </w:r>
      <w:r w:rsidRPr="00992732">
        <w:t xml:space="preserve">: Smede- og metalvirksomhederne har flest seniorer ansat (pct.) </w:t>
      </w:r>
    </w:p>
    <w:p w:rsidRPr="006909B5" w:rsidR="006909B5" w:rsidP="5F85A46F" w:rsidRDefault="006909B5" w14:paraId="3B4D80F1" w14:textId="0EE05A17">
      <w:pPr>
        <w:spacing/>
        <w:contextualSpacing w:val="1"/>
      </w:pPr>
      <w:r>
        <w:rPr>
          <w:noProof/>
        </w:rPr>
        <w:drawing>
          <wp:inline distT="0" distB="0" distL="0" distR="0" wp14:anchorId="4FECEA0A" wp14:editId="158114A9">
            <wp:extent cx="6086475" cy="3067050"/>
            <wp:effectExtent l="0" t="0" r="9525" b="0"/>
            <wp:docPr id="878345305" name="Diagram 1">
              <a:extLst xmlns:a="http://schemas.openxmlformats.org/drawingml/2006/main">
                <a:ext uri="{FF2B5EF4-FFF2-40B4-BE49-F238E27FC236}">
                  <a16:creationId xmlns:a16="http://schemas.microsoft.com/office/drawing/2014/main" id="{7011233F-C2BE-07CD-7917-1669FBF25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CD52D3" w:rsidR="00CD52D3" w:rsidP="00CD52D3" w:rsidRDefault="00CD52D3" w14:paraId="35C4EE53" w14:textId="77777777">
      <w:pPr>
        <w:contextualSpacing/>
        <w:rPr>
          <w:sz w:val="18"/>
          <w:szCs w:val="18"/>
        </w:rPr>
      </w:pPr>
      <w:r w:rsidRPr="00CD52D3">
        <w:rPr>
          <w:sz w:val="18"/>
          <w:szCs w:val="18"/>
        </w:rPr>
        <w:t xml:space="preserve">Kilde: TEKNIQ’s arbejdskraftsundersøgelse april 2025. </w:t>
      </w:r>
    </w:p>
    <w:p w:rsidRPr="00CD52D3" w:rsidR="00CD52D3" w:rsidP="00CD52D3" w:rsidRDefault="00CD52D3" w14:paraId="5EF7A670" w14:textId="5CACA5CA">
      <w:pPr>
        <w:rPr>
          <w:sz w:val="18"/>
          <w:szCs w:val="18"/>
        </w:rPr>
      </w:pPr>
      <w:r w:rsidRPr="00CD52D3">
        <w:rPr>
          <w:sz w:val="18"/>
          <w:szCs w:val="18"/>
        </w:rPr>
        <w:t xml:space="preserve">Anm.: ”Har I medarbejdere der har nået en alder, hvor det giver mening at have en seniorsamtale?” N = 890. </w:t>
      </w:r>
      <w:r w:rsidR="004E5782">
        <w:rPr>
          <w:sz w:val="18"/>
          <w:szCs w:val="18"/>
        </w:rPr>
        <w:t>Svarkategorier med mindre end 10 besvarelser er ikke medtaget.</w:t>
      </w:r>
    </w:p>
    <w:p w:rsidRPr="0026562A" w:rsidR="0026562A" w:rsidP="0026562A" w:rsidRDefault="0026562A" w14:paraId="3A223595" w14:textId="77777777">
      <w:pPr>
        <w:pStyle w:val="Overskrift3"/>
      </w:pPr>
      <w:r w:rsidRPr="0026562A">
        <w:t>Fleksibilitet fastholder erfaring</w:t>
      </w:r>
    </w:p>
    <w:p w:rsidR="00FC0053" w:rsidP="0026562A" w:rsidRDefault="00FC0053" w14:paraId="6AF6A99F" w14:textId="6CFBE38B">
      <w:r w:rsidRPr="00FC0053">
        <w:t xml:space="preserve">Fleksible løsninger spiller en central rolle i at fastholde seniorer længere på arbejdsmarkedet. Otte ud af ti virksomheder </w:t>
      </w:r>
      <w:r w:rsidR="00761C52">
        <w:t xml:space="preserve">i TEKNIQs Arbejdskraftsundersøgelse angav, at </w:t>
      </w:r>
      <w:r w:rsidR="00457A6A">
        <w:t xml:space="preserve">de </w:t>
      </w:r>
      <w:r w:rsidRPr="00FC0053">
        <w:t>er åbne for at tilbyde fleksibilitet – både til nuværende og nye medarbejdere med mange års erfaring.</w:t>
      </w:r>
    </w:p>
    <w:p w:rsidR="00025F62" w:rsidP="0026562A" w:rsidRDefault="00025F62" w14:paraId="5979C10A" w14:textId="772F506D">
      <w:r w:rsidRPr="00025F62">
        <w:t>Blandt smede- og metalvirksomhederne har 42 % seniorer ansat på nedsat tid, og ni ud af ti er villige til at tilbyde fleksible ordninger. Virksomheder inden for maskinfremstilling, reparation og engroshandel, viser det samme mønster.</w:t>
      </w:r>
    </w:p>
    <w:p w:rsidR="00025F62" w:rsidP="0026562A" w:rsidRDefault="00025F62" w14:paraId="56B9A1B2" w14:textId="58586391">
      <w:r w:rsidRPr="00025F62">
        <w:t xml:space="preserve">El-installationsvirksomheder samt VVS- og blikkenslagervirksomheder ligger lidt lavere, men også her er der en overvægt, </w:t>
      </w:r>
      <w:r w:rsidR="00457A6A">
        <w:t>som</w:t>
      </w:r>
      <w:r w:rsidRPr="00025F62">
        <w:t xml:space="preserve"> er positivt stemt over for seniorer. 60 % af el-installationsvirksomhederne er i høj eller meget høj grad villige til at tilbyde øget fleksibilitet, mens tallet for VVS- og blikkenslagervirksomheder er 47 %.</w:t>
      </w:r>
    </w:p>
    <w:p w:rsidR="001A50C6" w:rsidP="001A50C6" w:rsidRDefault="001A50C6" w14:paraId="429C3A53" w14:textId="77777777">
      <w:r w:rsidRPr="001A50C6">
        <w:t>Kun omkring 4 % af virksomhederne ønsker slet ikke at tilbyde øget fleksibilitet til nuværende eller kommende medarbejdere. Det er på niveau med resten af det tekniske erhvervsliv.</w:t>
      </w:r>
    </w:p>
    <w:p w:rsidR="002B40E2" w:rsidP="00FD5B29" w:rsidRDefault="002B40E2" w14:paraId="46C7A1BC" w14:textId="2A7416D2">
      <w:pPr>
        <w:pStyle w:val="Overskrift3"/>
      </w:pPr>
      <w:r w:rsidRPr="002B40E2">
        <w:lastRenderedPageBreak/>
        <w:t xml:space="preserve">Figur </w:t>
      </w:r>
      <w:r w:rsidR="007B4F3F">
        <w:t>3:</w:t>
      </w:r>
      <w:r w:rsidRPr="002B40E2">
        <w:t xml:space="preserve"> </w:t>
      </w:r>
      <w:r w:rsidR="00BA06FC">
        <w:t>56</w:t>
      </w:r>
      <w:r w:rsidR="008E2685">
        <w:t xml:space="preserve"> % er villige til at tilbyde øget fleksibilitet til seniorer i enten høj, meget høj grad. </w:t>
      </w:r>
    </w:p>
    <w:p w:rsidRPr="002B40E2" w:rsidR="002B40E2" w:rsidP="5F85A46F" w:rsidRDefault="00A079C2" w14:paraId="73E75BE8" w14:textId="507393AF">
      <w:pPr>
        <w:spacing/>
        <w:contextualSpacing w:val="1"/>
        <w:rPr>
          <w:sz w:val="18"/>
          <w:szCs w:val="18"/>
        </w:rPr>
      </w:pPr>
      <w:r>
        <w:rPr>
          <w:noProof/>
        </w:rPr>
        <w:drawing>
          <wp:inline distT="0" distB="0" distL="0" distR="0" wp14:anchorId="7CF5910A" wp14:editId="6DB03CC3">
            <wp:extent cx="6120130" cy="3824605"/>
            <wp:effectExtent l="0" t="0" r="13970" b="4445"/>
            <wp:docPr id="378731140" name="Diagram 1">
              <a:extLst xmlns:a="http://schemas.openxmlformats.org/drawingml/2006/main">
                <a:ext uri="{FF2B5EF4-FFF2-40B4-BE49-F238E27FC236}">
                  <a16:creationId xmlns:a16="http://schemas.microsoft.com/office/drawing/2014/main" id="{1AF3AC72-CBFE-77EA-4A11-059B3E01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B40E2" w:rsidR="002B40E2">
        <w:br/>
      </w:r>
      <w:r w:rsidRPr="002B40E2" w:rsidR="002B40E2">
        <w:rPr>
          <w:sz w:val="18"/>
          <w:szCs w:val="18"/>
        </w:rPr>
        <w:t xml:space="preserve">Kilde: </w:t>
      </w:r>
      <w:r w:rsidRPr="002B40E2" w:rsidR="002B40E2">
        <w:rPr>
          <w:sz w:val="18"/>
          <w:szCs w:val="18"/>
        </w:rPr>
        <w:t xml:space="preserve">TEKNIQ’s</w:t>
      </w:r>
      <w:r w:rsidRPr="002B40E2" w:rsidR="002B40E2">
        <w:rPr>
          <w:sz w:val="18"/>
          <w:szCs w:val="18"/>
        </w:rPr>
        <w:t xml:space="preserve"> arbejdskraftsundersøgelse april 2025. </w:t>
      </w:r>
    </w:p>
    <w:p w:rsidRPr="002B40E2" w:rsidR="002B40E2" w:rsidP="002B40E2" w:rsidRDefault="002B40E2" w14:paraId="0DBDBF08" w14:textId="79BBFAA1">
      <w:pPr>
        <w:rPr>
          <w:sz w:val="18"/>
          <w:szCs w:val="18"/>
        </w:rPr>
      </w:pPr>
      <w:r w:rsidRPr="002B40E2">
        <w:rPr>
          <w:sz w:val="18"/>
          <w:szCs w:val="18"/>
        </w:rPr>
        <w:t xml:space="preserve">Anm.: ”I hvor høj grad er I villig til at tilbyde øget fleksibilitet til nuværende eller potentielle seniormedarbejdere?”. </w:t>
      </w:r>
      <w:r w:rsidR="00E16181">
        <w:rPr>
          <w:sz w:val="18"/>
          <w:szCs w:val="18"/>
        </w:rPr>
        <w:t xml:space="preserve">Svarkategorier med mindre end 10 besvarelser er ikke medtaget. </w:t>
      </w:r>
      <w:r w:rsidRPr="002B40E2">
        <w:rPr>
          <w:sz w:val="18"/>
          <w:szCs w:val="18"/>
        </w:rPr>
        <w:t xml:space="preserve">N = </w:t>
      </w:r>
      <w:r w:rsidR="00E16181">
        <w:rPr>
          <w:sz w:val="18"/>
          <w:szCs w:val="18"/>
        </w:rPr>
        <w:t>890</w:t>
      </w:r>
      <w:r w:rsidRPr="002B40E2">
        <w:rPr>
          <w:sz w:val="18"/>
          <w:szCs w:val="18"/>
        </w:rPr>
        <w:t xml:space="preserve">. </w:t>
      </w:r>
    </w:p>
    <w:p w:rsidRPr="004E7A8A" w:rsidR="004E7A8A" w:rsidP="004E7A8A" w:rsidRDefault="004E7A8A" w14:paraId="227A28C3" w14:textId="56E35319">
      <w:r w:rsidRPr="004E7A8A">
        <w:t xml:space="preserve">Fleksibiliteten handler ikke kun om arbejdstid. Det kan også </w:t>
      </w:r>
      <w:r w:rsidR="001A50C6">
        <w:t>betyde</w:t>
      </w:r>
      <w:r w:rsidRPr="004E7A8A">
        <w:t xml:space="preserve"> lettere opgaver, mindre ansvar eller mulighed for gradvis tilbagetrækning. Mange virksomheder har allerede gode erfaringer med den slags ordninger. Helt konkret nævner ét af TEKNIQs medlemmer, hvordan de har ansat en ældre blikkenslager, der primært bruger sin tid på at lære fra sig på værkstedet frem for at </w:t>
      </w:r>
      <w:r w:rsidR="00F67582">
        <w:t xml:space="preserve">køre </w:t>
      </w:r>
      <w:r w:rsidRPr="004E7A8A">
        <w:t>ud på skiftende arbejdspladser.</w:t>
      </w:r>
    </w:p>
    <w:p w:rsidRPr="002B40E2" w:rsidR="002B40E2" w:rsidP="002B40E2" w:rsidRDefault="004E7A8A" w14:paraId="48214D6F" w14:textId="26E0D8DB">
      <w:r w:rsidRPr="004E7A8A">
        <w:t>Mulighederne for øget fleksibilitet skaber bedre trivsel og gør det lettere at fastholde medarbejdere, der ellers ville trække sig helt fra arbejdsmarkedet.</w:t>
      </w:r>
    </w:p>
    <w:p w:rsidRPr="002B40E2" w:rsidR="002B40E2" w:rsidP="002B40E2" w:rsidRDefault="002B40E2" w14:paraId="40A463EE" w14:textId="77777777">
      <w:pPr>
        <w:pStyle w:val="Overskrift3"/>
      </w:pPr>
      <w:r w:rsidRPr="002B40E2">
        <w:t>Erfaring er en styrke – ikke en begrænsning</w:t>
      </w:r>
    </w:p>
    <w:p w:rsidR="004B0234" w:rsidP="00651BFA" w:rsidRDefault="00C9122D" w14:paraId="0974E452" w14:textId="77777777">
      <w:r w:rsidRPr="00C9122D">
        <w:t xml:space="preserve">Seniorer </w:t>
      </w:r>
      <w:r w:rsidR="00296525">
        <w:t xml:space="preserve">er en vigtig </w:t>
      </w:r>
      <w:r w:rsidRPr="00C9122D">
        <w:t xml:space="preserve">del af løsningen på manglen på kvalificerede medarbejdere. </w:t>
      </w:r>
      <w:r w:rsidR="00296525">
        <w:t>Deres k</w:t>
      </w:r>
      <w:r w:rsidRPr="00C9122D">
        <w:t xml:space="preserve">endskab til faget, kunder og kolleger samt evnen til at lære fra sig gør </w:t>
      </w:r>
      <w:r w:rsidR="00296525">
        <w:t xml:space="preserve">dem </w:t>
      </w:r>
      <w:r w:rsidRPr="00C9122D">
        <w:t xml:space="preserve">til en vigtig del af virksomhedens fremtid. </w:t>
      </w:r>
    </w:p>
    <w:p w:rsidR="00345431" w:rsidP="00651BFA" w:rsidRDefault="00345431" w14:paraId="721B871F" w14:textId="77777777">
      <w:r w:rsidRPr="00345431">
        <w:t>Investering i fleksible løsninger gør det mere attraktivt at blive længere på arbejdsmarkedet. Samtaler om ønsker, behov og planer for de sidste år i arbejdslivet kan understøtte denne udvikling og sikre, at både medarbejdere og virksomheder får mest muligt ud af erfaringen.</w:t>
      </w:r>
    </w:p>
    <w:p w:rsidRPr="006C2A7C" w:rsidR="00651BFA" w:rsidP="00651BFA" w:rsidRDefault="00651BFA" w14:paraId="25CE5925" w14:textId="4D633600">
      <w:r w:rsidRPr="009D72C6">
        <w:rPr>
          <w:rFonts w:ascii="Calibri" w:hAnsi="Calibri" w:cs="Calibri"/>
          <w:noProof/>
        </w:rPr>
        <w:lastRenderedPageBreak/>
        <mc:AlternateContent>
          <mc:Choice Requires="wps">
            <w:drawing>
              <wp:inline distT="91440" distB="91440" distL="114300" distR="114300" wp14:anchorId="123C365C" wp14:editId="7B5CEC96">
                <wp:extent cx="5871410" cy="3933825"/>
                <wp:effectExtent l="0" t="0" r="0" b="9525"/>
                <wp:docPr id="622855395" name="Tekstfelt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410" cy="3933825"/>
                        </a:xfrm>
                        <a:prstGeom prst="rect">
                          <a:avLst/>
                        </a:prstGeom>
                        <a:solidFill>
                          <a:srgbClr val="DBF8FA"/>
                        </a:solidFill>
                        <a:ln w="9525">
                          <a:noFill/>
                          <a:miter lim="800000"/>
                          <a:headEnd/>
                          <a:tailEnd/>
                        </a:ln>
                      </wps:spPr>
                      <wps:txbx>
                        <w:txbxContent>
                          <w:p w:rsidRPr="00B4640C" w:rsidR="00651BFA" w:rsidP="00651BFA" w:rsidRDefault="0095238B" w14:paraId="17EEEF82" w14:textId="4133AC08">
                            <w:pPr>
                              <w:pBdr>
                                <w:top w:val="single" w:color="00C4B0" w:sz="24" w:space="1"/>
                              </w:pBdr>
                              <w:spacing w:after="0"/>
                              <w:rPr>
                                <w:rFonts w:cs="Calibri"/>
                                <w:b/>
                                <w:sz w:val="24"/>
                                <w:szCs w:val="24"/>
                              </w:rPr>
                            </w:pPr>
                            <w:r w:rsidRPr="00B4640C">
                              <w:rPr>
                                <w:rFonts w:cs="Calibri"/>
                                <w:b/>
                                <w:sz w:val="24"/>
                                <w:szCs w:val="24"/>
                              </w:rPr>
                              <w:t>Om datagrundlaget</w:t>
                            </w:r>
                          </w:p>
                          <w:p w:rsidR="00172FD9" w:rsidP="00172FD9" w:rsidRDefault="00172FD9" w14:paraId="00F43E5E" w14:textId="77777777">
                            <w:pPr>
                              <w:rPr>
                                <w:color w:val="0D0D0D" w:themeColor="text1" w:themeTint="F2"/>
                              </w:rPr>
                            </w:pPr>
                            <w:r w:rsidRPr="00546383">
                              <w:rPr>
                                <w:color w:val="0D0D0D" w:themeColor="text1" w:themeTint="F2"/>
                              </w:rPr>
                              <w:t xml:space="preserve">I perioden fra den 3. april til den 22. april 2025 udsendte TEKNIQ den årlige arbejdskraftsundersøgelse om manglen på medarbejdere. I alt blev spørgeskemaet sendt ud til 2.474 medlemmer, hvoraf 881 gennemførte spørgeskemaet fuldstændigt. Dette giver en svarprocent på 36%. Spørgeskemaet blev kun sendt ud til medlemmer med over to medarbejdere, jf. CVR-registret. </w:t>
                            </w:r>
                          </w:p>
                          <w:p w:rsidRPr="00546383" w:rsidR="0095238B" w:rsidP="00172FD9" w:rsidRDefault="0095238B" w14:paraId="2E9FEFD2" w14:textId="5B693ACB">
                            <w:pPr>
                              <w:rPr>
                                <w:color w:val="0D0D0D" w:themeColor="text1" w:themeTint="F2"/>
                              </w:rPr>
                            </w:pPr>
                            <w:r>
                              <w:rPr>
                                <w:color w:val="0D0D0D" w:themeColor="text1" w:themeTint="F2"/>
                              </w:rPr>
                              <w:t xml:space="preserve">Spørgeskemaet er kun udsendt til medlemmer med over 2 medarbejdere. </w:t>
                            </w:r>
                          </w:p>
                          <w:p w:rsidRPr="00546383" w:rsidR="00172FD9" w:rsidP="00172FD9" w:rsidRDefault="00172FD9" w14:paraId="35094CB4" w14:textId="77777777">
                            <w:pPr>
                              <w:contextualSpacing/>
                              <w:rPr>
                                <w:color w:val="0D0D0D" w:themeColor="text1" w:themeTint="F2"/>
                              </w:rPr>
                            </w:pPr>
                            <w:r w:rsidRPr="00546383">
                              <w:rPr>
                                <w:color w:val="0D0D0D" w:themeColor="text1" w:themeTint="F2"/>
                              </w:rPr>
                              <w:t xml:space="preserve">Blandt de medlemmer der valgte at besvare spørgeskemaet, lå 80% inden for el-installationsvirksomheder og VVS- og blikkenslagervirksomheder. Mens 16% lå inden for smede- og metalvirksomheder samt maskinfremstilling, reparation og engroshandel. </w:t>
                            </w:r>
                          </w:p>
                          <w:p w:rsidRPr="00546383" w:rsidR="00172FD9" w:rsidP="00172FD9" w:rsidRDefault="00172FD9" w14:paraId="40D063D8" w14:textId="77777777">
                            <w:pPr>
                              <w:rPr>
                                <w:color w:val="0D0D0D" w:themeColor="text1" w:themeTint="F2"/>
                              </w:rPr>
                            </w:pPr>
                            <w:r w:rsidRPr="00546383">
                              <w:rPr>
                                <w:color w:val="0D0D0D" w:themeColor="text1" w:themeTint="F2"/>
                              </w:rPr>
                              <w:t xml:space="preserve">Det har været en udfordring at få tilstrækkeligt mange til at besvare spørgeskemaet i nogle branchesegmenter, hvilket kan påvirke resultaternes nøjagtighed. Der er derfor lagt vægt på branchesegmenter med 10 besvarelser eller derover.   </w:t>
                            </w:r>
                          </w:p>
                          <w:p w:rsidR="00172FD9" w:rsidP="00172FD9" w:rsidRDefault="00172FD9" w14:paraId="15931B44" w14:textId="77777777">
                            <w:pPr>
                              <w:pBdr>
                                <w:bottom w:val="single" w:color="00C4B0" w:themeColor="accent1" w:sz="24" w:space="1"/>
                              </w:pBdr>
                              <w:rPr>
                                <w:color w:val="0D0D0D" w:themeColor="text1" w:themeTint="F2"/>
                              </w:rPr>
                            </w:pPr>
                            <w:r w:rsidRPr="00546383">
                              <w:rPr>
                                <w:color w:val="0D0D0D" w:themeColor="text1" w:themeTint="F2"/>
                              </w:rPr>
                              <w:t xml:space="preserve">Spørgeskemaet omhandlede medlemmernes oplevelse af den aktuelle rekrutteringssituation samt deres bekymringer omkring den aktuelle handelskonflikt i 2025. </w:t>
                            </w:r>
                          </w:p>
                          <w:p w:rsidRPr="00546383" w:rsidR="0016563C" w:rsidP="00172FD9" w:rsidRDefault="0016563C" w14:paraId="1AE7F790" w14:textId="73BBF312">
                            <w:pPr>
                              <w:pBdr>
                                <w:bottom w:val="single" w:color="00C4B0" w:themeColor="accent1" w:sz="24" w:space="1"/>
                              </w:pBdr>
                              <w:rPr>
                                <w:color w:val="0D0D0D" w:themeColor="text1" w:themeTint="F2"/>
                              </w:rPr>
                            </w:pPr>
                            <w:r>
                              <w:rPr>
                                <w:color w:val="0D0D0D" w:themeColor="text1" w:themeTint="F2"/>
                              </w:rPr>
                              <w:t xml:space="preserve">Seniorer er defineret som medarbejdere der er </w:t>
                            </w:r>
                            <w:r w:rsidR="00090623">
                              <w:rPr>
                                <w:color w:val="0D0D0D" w:themeColor="text1" w:themeTint="F2"/>
                              </w:rPr>
                              <w:t xml:space="preserve">5 eller færre år fra den officielle pensionsalder.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23C365C">
                <v:stroke joinstyle="miter"/>
                <v:path gradientshapeok="t" o:connecttype="rect"/>
              </v:shapetype>
              <v:shape id="Tekstfelt 307" style="width:462.3pt;height:309.75pt;visibility:visible;mso-wrap-style:square;mso-left-percent:-10001;mso-top-percent:-10001;mso-position-horizontal:absolute;mso-position-horizontal-relative:char;mso-position-vertical:absolute;mso-position-vertical-relative:line;mso-left-percent:-10001;mso-top-percent:-10001;v-text-anchor:top" o:spid="_x0000_s1026" fillcolor="#dbf8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">
                <v:textbox>
                  <w:txbxContent>
                    <w:p w:rsidRPr="00B4640C" w:rsidR="00651BFA" w:rsidP="00651BFA" w:rsidRDefault="0095238B" w14:paraId="17EEEF82" w14:textId="4133AC08">
                      <w:pPr>
                        <w:pBdr>
                          <w:top w:val="single" w:color="00C4B0" w:sz="24" w:space="1"/>
                        </w:pBdr>
                        <w:spacing w:after="0"/>
                        <w:rPr>
                          <w:rFonts w:cs="Calibri"/>
                          <w:b/>
                          <w:sz w:val="24"/>
                          <w:szCs w:val="24"/>
                        </w:rPr>
                      </w:pPr>
                      <w:r w:rsidRPr="00B4640C">
                        <w:rPr>
                          <w:rFonts w:cs="Calibri"/>
                          <w:b/>
                          <w:sz w:val="24"/>
                          <w:szCs w:val="24"/>
                        </w:rPr>
                        <w:t>Om datagrundlaget</w:t>
                      </w:r>
                    </w:p>
                    <w:p w:rsidR="00172FD9" w:rsidP="00172FD9" w:rsidRDefault="00172FD9" w14:paraId="00F43E5E" w14:textId="77777777">
                      <w:pPr>
                        <w:rPr>
                          <w:color w:val="0D0D0D" w:themeColor="text1" w:themeTint="F2"/>
                        </w:rPr>
                      </w:pPr>
                      <w:r w:rsidRPr="00546383">
                        <w:rPr>
                          <w:color w:val="0D0D0D" w:themeColor="text1" w:themeTint="F2"/>
                        </w:rPr>
                        <w:t xml:space="preserve">I perioden fra den 3. april til den 22. april 2025 udsendte TEKNIQ den årlige arbejdskraftsundersøgelse om manglen på medarbejdere. I alt blev spørgeskemaet sendt ud til 2.474 medlemmer, hvoraf 881 gennemførte spørgeskemaet fuldstændigt. Dette giver en svarprocent på 36%. Spørgeskemaet blev kun sendt ud til medlemmer med over to medarbejdere, jf. CVR-registret. </w:t>
                      </w:r>
                    </w:p>
                    <w:p w:rsidRPr="00546383" w:rsidR="0095238B" w:rsidP="00172FD9" w:rsidRDefault="0095238B" w14:paraId="2E9FEFD2" w14:textId="5B693ACB">
                      <w:pPr>
                        <w:rPr>
                          <w:color w:val="0D0D0D" w:themeColor="text1" w:themeTint="F2"/>
                        </w:rPr>
                      </w:pPr>
                      <w:r>
                        <w:rPr>
                          <w:color w:val="0D0D0D" w:themeColor="text1" w:themeTint="F2"/>
                        </w:rPr>
                        <w:t xml:space="preserve">Spørgeskemaet er kun udsendt til medlemmer med over 2 medarbejdere. </w:t>
                      </w:r>
                    </w:p>
                    <w:p w:rsidRPr="00546383" w:rsidR="00172FD9" w:rsidP="00172FD9" w:rsidRDefault="00172FD9" w14:paraId="35094CB4" w14:textId="77777777">
                      <w:pPr>
                        <w:contextualSpacing/>
                        <w:rPr>
                          <w:color w:val="0D0D0D" w:themeColor="text1" w:themeTint="F2"/>
                        </w:rPr>
                      </w:pPr>
                      <w:r w:rsidRPr="00546383">
                        <w:rPr>
                          <w:color w:val="0D0D0D" w:themeColor="text1" w:themeTint="F2"/>
                        </w:rPr>
                        <w:t xml:space="preserve">Blandt de medlemmer der valgte at besvare spørgeskemaet, lå 80% inden for el-installationsvirksomheder og VVS- og blikkenslagervirksomheder. Mens 16% lå inden for smede- og metalvirksomheder samt maskinfremstilling, reparation og engroshandel. </w:t>
                      </w:r>
                    </w:p>
                    <w:p w:rsidRPr="00546383" w:rsidR="00172FD9" w:rsidP="00172FD9" w:rsidRDefault="00172FD9" w14:paraId="40D063D8" w14:textId="77777777">
                      <w:pPr>
                        <w:rPr>
                          <w:color w:val="0D0D0D" w:themeColor="text1" w:themeTint="F2"/>
                        </w:rPr>
                      </w:pPr>
                      <w:r w:rsidRPr="00546383">
                        <w:rPr>
                          <w:color w:val="0D0D0D" w:themeColor="text1" w:themeTint="F2"/>
                        </w:rPr>
                        <w:t xml:space="preserve">Det har været en udfordring at få tilstrækkeligt mange til at besvare spørgeskemaet i nogle branchesegmenter, hvilket kan påvirke resultaternes nøjagtighed. Der er derfor lagt vægt på branchesegmenter med 10 besvarelser eller derover.   </w:t>
                      </w:r>
                    </w:p>
                    <w:p w:rsidR="00172FD9" w:rsidP="00172FD9" w:rsidRDefault="00172FD9" w14:paraId="15931B44" w14:textId="77777777">
                      <w:pPr>
                        <w:pBdr>
                          <w:bottom w:val="single" w:color="00C4B0" w:themeColor="accent1" w:sz="24" w:space="1"/>
                        </w:pBdr>
                        <w:rPr>
                          <w:color w:val="0D0D0D" w:themeColor="text1" w:themeTint="F2"/>
                        </w:rPr>
                      </w:pPr>
                      <w:r w:rsidRPr="00546383">
                        <w:rPr>
                          <w:color w:val="0D0D0D" w:themeColor="text1" w:themeTint="F2"/>
                        </w:rPr>
                        <w:t xml:space="preserve">Spørgeskemaet omhandlede medlemmernes oplevelse af den aktuelle rekrutteringssituation samt deres bekymringer omkring den aktuelle handelskonflikt i 2025. </w:t>
                      </w:r>
                    </w:p>
                    <w:p w:rsidRPr="00546383" w:rsidR="0016563C" w:rsidP="00172FD9" w:rsidRDefault="0016563C" w14:paraId="1AE7F790" w14:textId="73BBF312">
                      <w:pPr>
                        <w:pBdr>
                          <w:bottom w:val="single" w:color="00C4B0" w:themeColor="accent1" w:sz="24" w:space="1"/>
                        </w:pBdr>
                        <w:rPr>
                          <w:color w:val="0D0D0D" w:themeColor="text1" w:themeTint="F2"/>
                        </w:rPr>
                      </w:pPr>
                      <w:r>
                        <w:rPr>
                          <w:color w:val="0D0D0D" w:themeColor="text1" w:themeTint="F2"/>
                        </w:rPr>
                        <w:t xml:space="preserve">Seniorer er defineret som medarbejdere der er </w:t>
                      </w:r>
                      <w:r w:rsidR="00090623">
                        <w:rPr>
                          <w:color w:val="0D0D0D" w:themeColor="text1" w:themeTint="F2"/>
                        </w:rPr>
                        <w:t xml:space="preserve">5 eller færre år fra den officielle pensionsalder. </w:t>
                      </w:r>
                    </w:p>
                  </w:txbxContent>
                </v:textbox>
                <w10:anchorlock/>
              </v:shape>
            </w:pict>
          </mc:Fallback>
        </mc:AlternateContent>
      </w:r>
    </w:p>
    <w:p w:rsidR="00651BFA" w:rsidP="00651BFA" w:rsidRDefault="00651BFA" w14:paraId="7102E162" w14:textId="77777777"/>
    <w:p w:rsidRPr="00651BFA" w:rsidR="00651BFA" w:rsidP="00651BFA" w:rsidRDefault="00651BFA" w14:paraId="4AEA28B4" w14:textId="62F33D3E"/>
    <w:sectPr w:rsidRPr="00651BFA" w:rsidR="00651BFA" w:rsidSect="00651BFA">
      <w:headerReference w:type="default" r:id="rId13"/>
      <w:footerReference w:type="default" r:id="rId14"/>
      <w:pgSz w:w="11906" w:h="16838" w:orient="portrait"/>
      <w:pgMar w:top="1418" w:right="1134" w:bottom="1701" w:left="1134"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E67" w:rsidP="007A701A" w:rsidRDefault="00C83E67" w14:paraId="7D95369D" w14:textId="77777777">
      <w:pPr>
        <w:spacing w:after="0" w:line="240" w:lineRule="auto"/>
      </w:pPr>
      <w:r>
        <w:separator/>
      </w:r>
    </w:p>
  </w:endnote>
  <w:endnote w:type="continuationSeparator" w:id="0">
    <w:p w:rsidR="00C83E67" w:rsidP="007A701A" w:rsidRDefault="00C83E67" w14:paraId="71A808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T Polar Book">
    <w:panose1 w:val="00000000000000000000"/>
    <w:charset w:val="00"/>
    <w:family w:val="auto"/>
    <w:pitch w:val="variable"/>
    <w:sig w:usb0="A00000EF" w:usb1="00002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483211011"/>
      <w:docPartObj>
        <w:docPartGallery w:val="Page Numbers (Bottom of Page)"/>
        <w:docPartUnique/>
      </w:docPartObj>
    </w:sdtPr>
    <w:sdtContent>
      <w:p w:rsidR="005F7B4D" w:rsidRDefault="005F7B4D" w14:paraId="77024FC3" w14:textId="0546F663">
        <w:pPr>
          <w:pStyle w:val="Sidefod"/>
          <w:jc w:val="center"/>
        </w:pPr>
        <w:r>
          <w:rPr>
            <w:noProof/>
          </w:rPr>
          <mc:AlternateContent>
            <mc:Choice Requires="wps">
              <w:drawing>
                <wp:inline distT="0" distB="0" distL="0" distR="0" wp14:anchorId="3BBA0FBA" wp14:editId="00D12751">
                  <wp:extent cx="5467350" cy="45085"/>
                  <wp:effectExtent l="0" t="0" r="19050" b="12065"/>
                  <wp:docPr id="466793872" name="Rutediagram: Beslutn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C4B0"/>
                          </a:solidFill>
                          <a:ln>
                            <a:solidFill>
                              <a:schemeClr val="bg1"/>
                            </a:solidFill>
                          </a:ln>
                        </wps:spPr>
                        <wps:bodyPr rot="0" vert="horz" wrap="square" lIns="91440" tIns="45720" rIns="91440" bIns="45720" anchor="t" anchorCtr="0" upright="1">
                          <a:noAutofit/>
                        </wps:bodyPr>
                      </wps:wsp>
                    </a:graphicData>
                  </a:graphic>
                </wp:inline>
              </w:drawing>
            </mc:Choice>
            <mc:Fallback xmlns:arto="http://schemas.microsoft.com/office/word/2006/arto">
              <w:pict>
                <v:shapetype id="_x0000_t110" coordsize="21600,21600" o:spt="110" path="m10800,l,10800,10800,21600,21600,10800xe" w14:anchorId="6EDC737C">
                  <v:stroke joinstyle="miter"/>
                  <v:path textboxrect="5400,5400,16200,16200" gradientshapeok="t" o:connecttype="rect"/>
                </v:shapetype>
                <v:shape id="Rutediagram: Beslutning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00c4b0" strokecolor="white [3212]"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">
                  <w10:anchorlock/>
                </v:shape>
              </w:pict>
            </mc:Fallback>
          </mc:AlternateContent>
        </w:r>
      </w:p>
      <w:p w:rsidR="005F7B4D" w:rsidRDefault="005F7B4D" w14:paraId="2EBAE959" w14:textId="4B9A9B5C">
        <w:pPr>
          <w:pStyle w:val="Sidefod"/>
          <w:jc w:val="center"/>
        </w:pPr>
        <w:r>
          <w:fldChar w:fldCharType="begin"/>
        </w:r>
        <w:r>
          <w:instrText>PAGE    \* MERGEFORMAT</w:instrText>
        </w:r>
        <w:r>
          <w:fldChar w:fldCharType="separate"/>
        </w:r>
        <w:r>
          <w:t>2</w:t>
        </w:r>
        <w:r>
          <w:fldChar w:fldCharType="end"/>
        </w:r>
      </w:p>
    </w:sdtContent>
  </w:sdt>
  <w:p w:rsidR="007A701A" w:rsidRDefault="007A701A" w14:paraId="2A8977B8" w14:textId="49C10C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E67" w:rsidP="007A701A" w:rsidRDefault="00C83E67" w14:paraId="34D6AA80" w14:textId="77777777">
      <w:pPr>
        <w:spacing w:after="0" w:line="240" w:lineRule="auto"/>
      </w:pPr>
      <w:r>
        <w:separator/>
      </w:r>
    </w:p>
  </w:footnote>
  <w:footnote w:type="continuationSeparator" w:id="0">
    <w:p w:rsidR="00C83E67" w:rsidP="007A701A" w:rsidRDefault="00C83E67" w14:paraId="016546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A701A" w:rsidP="00651BFA" w:rsidRDefault="00651BFA" w14:paraId="7800A6BE" w14:textId="7655D163">
    <w:pPr>
      <w:pStyle w:val="Sidehoved"/>
    </w:pPr>
    <w:r>
      <w:rPr>
        <w:noProof/>
      </w:rPr>
      <mc:AlternateContent>
        <mc:Choice Requires="wps">
          <w:drawing>
            <wp:anchor distT="0" distB="0" distL="118745" distR="118745" simplePos="0" relativeHeight="251658240" behindDoc="1" locked="0" layoutInCell="1" allowOverlap="0" wp14:anchorId="3545627B" wp14:editId="01A2A49B">
              <wp:simplePos x="0" y="0"/>
              <wp:positionH relativeFrom="margin">
                <wp:posOffset>-2540</wp:posOffset>
              </wp:positionH>
              <wp:positionV relativeFrom="page">
                <wp:posOffset>631825</wp:posOffset>
              </wp:positionV>
              <wp:extent cx="5949950" cy="393065"/>
              <wp:effectExtent l="0" t="0" r="0" b="6985"/>
              <wp:wrapSquare wrapText="bothSides"/>
              <wp:docPr id="197" name="Rektangel 197"/>
              <wp:cNvGraphicFramePr/>
              <a:graphic xmlns:a="http://schemas.openxmlformats.org/drawingml/2006/main">
                <a:graphicData uri="http://schemas.microsoft.com/office/word/2010/wordprocessingShape">
                  <wps:wsp>
                    <wps:cNvSpPr/>
                    <wps:spPr>
                      <a:xfrm>
                        <a:off x="0" y="0"/>
                        <a:ext cx="5949950" cy="393065"/>
                      </a:xfrm>
                      <a:prstGeom prst="rect">
                        <a:avLst/>
                      </a:prstGeom>
                      <a:solidFill>
                        <a:srgbClr val="00C4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36"/>
                              <w:szCs w:val="36"/>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rsidRPr="00744BFA" w:rsidR="00651BFA" w:rsidP="00651BFA" w:rsidRDefault="009A5DB8" w14:paraId="61A76DFB" w14:textId="24F1C1B3">
                              <w:pPr>
                                <w:rPr>
                                  <w:sz w:val="36"/>
                                  <w:szCs w:val="36"/>
                                </w:rPr>
                              </w:pPr>
                              <w:r>
                                <w:rPr>
                                  <w:sz w:val="36"/>
                                  <w:szCs w:val="36"/>
                                </w:rPr>
                                <w:t>Seniorer i det tekniske erhvervsliv</w:t>
                              </w:r>
                              <w:r w:rsidRPr="009721AF" w:rsidR="00651BFA">
                                <w:rPr>
                                  <w:sz w:val="36"/>
                                  <w:szCs w:val="36"/>
                                </w:rPr>
                                <w:t xml:space="preserve">    </w:t>
                              </w:r>
                              <w:r>
                                <w:rPr>
                                  <w:sz w:val="36"/>
                                  <w:szCs w:val="36"/>
                                </w:rPr>
                                <w:t xml:space="preserve">         </w:t>
                              </w:r>
                              <w:r w:rsidR="003219EC">
                                <w:rPr>
                                  <w:sz w:val="36"/>
                                  <w:szCs w:val="36"/>
                                </w:rPr>
                                <w:t xml:space="preserve">december </w:t>
                              </w:r>
                              <w:r>
                                <w:rPr>
                                  <w:sz w:val="36"/>
                                  <w:szCs w:val="36"/>
                                </w:rPr>
                                <w:t>2025</w:t>
                              </w:r>
                            </w:p>
                          </w:sdtContent>
                        </w:sdt>
                        <w:p w:rsidRPr="00744BFA" w:rsidR="00651BFA" w:rsidP="00651BFA" w:rsidRDefault="00651BFA" w14:paraId="61FDF5A2" w14:textId="1FD8F7CE">
                          <w:pP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ktangel 197" style="position:absolute;margin-left:-.2pt;margin-top:49.75pt;width:468.5pt;height:30.95pt;z-index:-251658240;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spid="_x0000_s1027" o:allowoverlap="f" fillcolor="#00c4b0" stroked="f" strokeweight="1pt" w14:anchorId="35456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">
              <v:textbox>
                <w:txbxContent>
                  <w:sdt>
                    <w:sdtPr>
                      <w:rPr>
                        <w:sz w:val="36"/>
                        <w:szCs w:val="36"/>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rsidRPr="00744BFA" w:rsidR="00651BFA" w:rsidP="00651BFA" w:rsidRDefault="009A5DB8" w14:paraId="61A76DFB" w14:textId="24F1C1B3">
                        <w:pPr>
                          <w:rPr>
                            <w:sz w:val="36"/>
                            <w:szCs w:val="36"/>
                          </w:rPr>
                        </w:pPr>
                        <w:r>
                          <w:rPr>
                            <w:sz w:val="36"/>
                            <w:szCs w:val="36"/>
                          </w:rPr>
                          <w:t>Seniorer i det tekniske erhvervsliv</w:t>
                        </w:r>
                        <w:r w:rsidRPr="009721AF" w:rsidR="00651BFA">
                          <w:rPr>
                            <w:sz w:val="36"/>
                            <w:szCs w:val="36"/>
                          </w:rPr>
                          <w:t xml:space="preserve">    </w:t>
                        </w:r>
                        <w:r>
                          <w:rPr>
                            <w:sz w:val="36"/>
                            <w:szCs w:val="36"/>
                          </w:rPr>
                          <w:t xml:space="preserve">         </w:t>
                        </w:r>
                        <w:r w:rsidR="003219EC">
                          <w:rPr>
                            <w:sz w:val="36"/>
                            <w:szCs w:val="36"/>
                          </w:rPr>
                          <w:t xml:space="preserve">december </w:t>
                        </w:r>
                        <w:r>
                          <w:rPr>
                            <w:sz w:val="36"/>
                            <w:szCs w:val="36"/>
                          </w:rPr>
                          <w:t>2025</w:t>
                        </w:r>
                      </w:p>
                    </w:sdtContent>
                  </w:sdt>
                  <w:p w:rsidRPr="00744BFA" w:rsidR="00651BFA" w:rsidP="00651BFA" w:rsidRDefault="00651BFA" w14:paraId="61FDF5A2" w14:textId="1FD8F7CE">
                    <w:pPr>
                      <w:rPr>
                        <w:sz w:val="36"/>
                        <w:szCs w:val="36"/>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7A24B"/>
    <w:multiLevelType w:val="hybridMultilevel"/>
    <w:tmpl w:val="D764B9D2"/>
    <w:lvl w:ilvl="0" w:tplc="28DABD08">
      <w:start w:val="1"/>
      <w:numFmt w:val="decimal"/>
      <w:lvlText w:val="%1)"/>
      <w:lvlJc w:val="left"/>
      <w:pPr>
        <w:ind w:left="720" w:hanging="360"/>
      </w:pPr>
    </w:lvl>
    <w:lvl w:ilvl="1" w:tplc="576C2382">
      <w:start w:val="1"/>
      <w:numFmt w:val="lowerLetter"/>
      <w:lvlText w:val="%2."/>
      <w:lvlJc w:val="left"/>
      <w:pPr>
        <w:ind w:left="1440" w:hanging="360"/>
      </w:pPr>
    </w:lvl>
    <w:lvl w:ilvl="2" w:tplc="BCF49190">
      <w:start w:val="1"/>
      <w:numFmt w:val="lowerRoman"/>
      <w:lvlText w:val="%3."/>
      <w:lvlJc w:val="right"/>
      <w:pPr>
        <w:ind w:left="2160" w:hanging="180"/>
      </w:pPr>
    </w:lvl>
    <w:lvl w:ilvl="3" w:tplc="D980A8C8">
      <w:start w:val="1"/>
      <w:numFmt w:val="decimal"/>
      <w:lvlText w:val="%4."/>
      <w:lvlJc w:val="left"/>
      <w:pPr>
        <w:ind w:left="2880" w:hanging="360"/>
      </w:pPr>
    </w:lvl>
    <w:lvl w:ilvl="4" w:tplc="A91AE272">
      <w:start w:val="1"/>
      <w:numFmt w:val="lowerLetter"/>
      <w:lvlText w:val="%5."/>
      <w:lvlJc w:val="left"/>
      <w:pPr>
        <w:ind w:left="3600" w:hanging="360"/>
      </w:pPr>
    </w:lvl>
    <w:lvl w:ilvl="5" w:tplc="EB3ACEEC">
      <w:start w:val="1"/>
      <w:numFmt w:val="lowerRoman"/>
      <w:lvlText w:val="%6."/>
      <w:lvlJc w:val="right"/>
      <w:pPr>
        <w:ind w:left="4320" w:hanging="180"/>
      </w:pPr>
    </w:lvl>
    <w:lvl w:ilvl="6" w:tplc="AD1CB678">
      <w:start w:val="1"/>
      <w:numFmt w:val="decimal"/>
      <w:lvlText w:val="%7."/>
      <w:lvlJc w:val="left"/>
      <w:pPr>
        <w:ind w:left="5040" w:hanging="360"/>
      </w:pPr>
    </w:lvl>
    <w:lvl w:ilvl="7" w:tplc="AA46D8D4">
      <w:start w:val="1"/>
      <w:numFmt w:val="lowerLetter"/>
      <w:lvlText w:val="%8."/>
      <w:lvlJc w:val="left"/>
      <w:pPr>
        <w:ind w:left="5760" w:hanging="360"/>
      </w:pPr>
    </w:lvl>
    <w:lvl w:ilvl="8" w:tplc="F4B68D50">
      <w:start w:val="1"/>
      <w:numFmt w:val="lowerRoman"/>
      <w:lvlText w:val="%9."/>
      <w:lvlJc w:val="right"/>
      <w:pPr>
        <w:ind w:left="6480" w:hanging="180"/>
      </w:pPr>
    </w:lvl>
  </w:abstractNum>
  <w:num w:numId="1" w16cid:durableId="91936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FA"/>
    <w:rsid w:val="00011D0D"/>
    <w:rsid w:val="00013EC1"/>
    <w:rsid w:val="000230AD"/>
    <w:rsid w:val="000231D5"/>
    <w:rsid w:val="00023663"/>
    <w:rsid w:val="00025F62"/>
    <w:rsid w:val="00036CF4"/>
    <w:rsid w:val="0004296B"/>
    <w:rsid w:val="000533CC"/>
    <w:rsid w:val="000537FD"/>
    <w:rsid w:val="0005790E"/>
    <w:rsid w:val="00066FE9"/>
    <w:rsid w:val="0007421C"/>
    <w:rsid w:val="00090623"/>
    <w:rsid w:val="000907A2"/>
    <w:rsid w:val="000922EF"/>
    <w:rsid w:val="000A3D88"/>
    <w:rsid w:val="000A3E8B"/>
    <w:rsid w:val="000B20F9"/>
    <w:rsid w:val="000D0836"/>
    <w:rsid w:val="000D3894"/>
    <w:rsid w:val="000E6833"/>
    <w:rsid w:val="001000A1"/>
    <w:rsid w:val="001027F0"/>
    <w:rsid w:val="00105366"/>
    <w:rsid w:val="00117097"/>
    <w:rsid w:val="00121292"/>
    <w:rsid w:val="00124C6B"/>
    <w:rsid w:val="00130929"/>
    <w:rsid w:val="00133E50"/>
    <w:rsid w:val="0014096C"/>
    <w:rsid w:val="00152FC2"/>
    <w:rsid w:val="00163B70"/>
    <w:rsid w:val="0016563C"/>
    <w:rsid w:val="00172FD9"/>
    <w:rsid w:val="001840C7"/>
    <w:rsid w:val="001A50C6"/>
    <w:rsid w:val="001A74DD"/>
    <w:rsid w:val="001B2C7F"/>
    <w:rsid w:val="001C4A75"/>
    <w:rsid w:val="001E642F"/>
    <w:rsid w:val="00202CEE"/>
    <w:rsid w:val="002266E5"/>
    <w:rsid w:val="00260FFA"/>
    <w:rsid w:val="0026149B"/>
    <w:rsid w:val="0026562A"/>
    <w:rsid w:val="00276E9F"/>
    <w:rsid w:val="0029502B"/>
    <w:rsid w:val="002954A3"/>
    <w:rsid w:val="00296525"/>
    <w:rsid w:val="002A2F3C"/>
    <w:rsid w:val="002B40E2"/>
    <w:rsid w:val="002E5748"/>
    <w:rsid w:val="002E6298"/>
    <w:rsid w:val="002E750C"/>
    <w:rsid w:val="002E7722"/>
    <w:rsid w:val="002F5CE1"/>
    <w:rsid w:val="00301559"/>
    <w:rsid w:val="00301D86"/>
    <w:rsid w:val="00311761"/>
    <w:rsid w:val="003151AC"/>
    <w:rsid w:val="00315C60"/>
    <w:rsid w:val="003219EC"/>
    <w:rsid w:val="00330CF9"/>
    <w:rsid w:val="00331446"/>
    <w:rsid w:val="00345431"/>
    <w:rsid w:val="00354ABD"/>
    <w:rsid w:val="00361A24"/>
    <w:rsid w:val="00366D7D"/>
    <w:rsid w:val="00370B0A"/>
    <w:rsid w:val="0037365E"/>
    <w:rsid w:val="00387264"/>
    <w:rsid w:val="003A332B"/>
    <w:rsid w:val="003B10AA"/>
    <w:rsid w:val="003D2508"/>
    <w:rsid w:val="003D25DE"/>
    <w:rsid w:val="003F6AFE"/>
    <w:rsid w:val="004167DF"/>
    <w:rsid w:val="0042243B"/>
    <w:rsid w:val="00423696"/>
    <w:rsid w:val="00434A11"/>
    <w:rsid w:val="00457A6A"/>
    <w:rsid w:val="00460121"/>
    <w:rsid w:val="00476B4B"/>
    <w:rsid w:val="004776BE"/>
    <w:rsid w:val="00494146"/>
    <w:rsid w:val="004A24F3"/>
    <w:rsid w:val="004B0234"/>
    <w:rsid w:val="004C13A5"/>
    <w:rsid w:val="004C6BDC"/>
    <w:rsid w:val="004E2CCA"/>
    <w:rsid w:val="004E397B"/>
    <w:rsid w:val="004E5782"/>
    <w:rsid w:val="004E7A8A"/>
    <w:rsid w:val="004F091F"/>
    <w:rsid w:val="004F651B"/>
    <w:rsid w:val="004F6F4D"/>
    <w:rsid w:val="00504101"/>
    <w:rsid w:val="00550AA8"/>
    <w:rsid w:val="005524FB"/>
    <w:rsid w:val="005859C9"/>
    <w:rsid w:val="00595A7B"/>
    <w:rsid w:val="00596256"/>
    <w:rsid w:val="005B4724"/>
    <w:rsid w:val="005B7661"/>
    <w:rsid w:val="005C1A8E"/>
    <w:rsid w:val="005C7929"/>
    <w:rsid w:val="005D69ED"/>
    <w:rsid w:val="005E791E"/>
    <w:rsid w:val="005F2551"/>
    <w:rsid w:val="005F7B4D"/>
    <w:rsid w:val="006100D8"/>
    <w:rsid w:val="00612315"/>
    <w:rsid w:val="00612D48"/>
    <w:rsid w:val="006143DE"/>
    <w:rsid w:val="00634083"/>
    <w:rsid w:val="00645ADC"/>
    <w:rsid w:val="00651BFA"/>
    <w:rsid w:val="0065282F"/>
    <w:rsid w:val="00677D0A"/>
    <w:rsid w:val="006837D3"/>
    <w:rsid w:val="006909B5"/>
    <w:rsid w:val="00696651"/>
    <w:rsid w:val="006A5E22"/>
    <w:rsid w:val="006B7589"/>
    <w:rsid w:val="006F51E6"/>
    <w:rsid w:val="006F677A"/>
    <w:rsid w:val="00715BE9"/>
    <w:rsid w:val="007164C4"/>
    <w:rsid w:val="007200A0"/>
    <w:rsid w:val="00723F9B"/>
    <w:rsid w:val="007264F8"/>
    <w:rsid w:val="00731BA6"/>
    <w:rsid w:val="00761C52"/>
    <w:rsid w:val="007824A3"/>
    <w:rsid w:val="0079258A"/>
    <w:rsid w:val="007A087D"/>
    <w:rsid w:val="007A701A"/>
    <w:rsid w:val="007B4F3F"/>
    <w:rsid w:val="007C287A"/>
    <w:rsid w:val="007D3D57"/>
    <w:rsid w:val="007E1681"/>
    <w:rsid w:val="0081120E"/>
    <w:rsid w:val="00830056"/>
    <w:rsid w:val="00864F58"/>
    <w:rsid w:val="00867A0D"/>
    <w:rsid w:val="008866AA"/>
    <w:rsid w:val="008A41EE"/>
    <w:rsid w:val="008A7A4D"/>
    <w:rsid w:val="008C1CAF"/>
    <w:rsid w:val="008C466C"/>
    <w:rsid w:val="008E0764"/>
    <w:rsid w:val="008E0E63"/>
    <w:rsid w:val="008E0F9D"/>
    <w:rsid w:val="008E2685"/>
    <w:rsid w:val="008F01C5"/>
    <w:rsid w:val="008F02C1"/>
    <w:rsid w:val="008F333B"/>
    <w:rsid w:val="008F6C79"/>
    <w:rsid w:val="00901133"/>
    <w:rsid w:val="00901370"/>
    <w:rsid w:val="00902C20"/>
    <w:rsid w:val="00924A82"/>
    <w:rsid w:val="0092734A"/>
    <w:rsid w:val="0094043F"/>
    <w:rsid w:val="0095238B"/>
    <w:rsid w:val="00965238"/>
    <w:rsid w:val="009733D5"/>
    <w:rsid w:val="009744A0"/>
    <w:rsid w:val="00977EF4"/>
    <w:rsid w:val="00987B5F"/>
    <w:rsid w:val="00992732"/>
    <w:rsid w:val="00996782"/>
    <w:rsid w:val="009A5DB8"/>
    <w:rsid w:val="009E53D0"/>
    <w:rsid w:val="009F7D73"/>
    <w:rsid w:val="00A079C2"/>
    <w:rsid w:val="00A13669"/>
    <w:rsid w:val="00A30F6F"/>
    <w:rsid w:val="00A414A3"/>
    <w:rsid w:val="00A612B1"/>
    <w:rsid w:val="00A651DD"/>
    <w:rsid w:val="00A663A1"/>
    <w:rsid w:val="00A92A26"/>
    <w:rsid w:val="00AB4111"/>
    <w:rsid w:val="00AD3AF5"/>
    <w:rsid w:val="00AD3D02"/>
    <w:rsid w:val="00AD7F53"/>
    <w:rsid w:val="00AE7F56"/>
    <w:rsid w:val="00B233B8"/>
    <w:rsid w:val="00B24BCE"/>
    <w:rsid w:val="00B4640C"/>
    <w:rsid w:val="00B74D34"/>
    <w:rsid w:val="00BA06FC"/>
    <w:rsid w:val="00BA5C0F"/>
    <w:rsid w:val="00BB40DE"/>
    <w:rsid w:val="00BF59FE"/>
    <w:rsid w:val="00C15576"/>
    <w:rsid w:val="00C2549E"/>
    <w:rsid w:val="00C2615B"/>
    <w:rsid w:val="00C454DE"/>
    <w:rsid w:val="00C51841"/>
    <w:rsid w:val="00C546D1"/>
    <w:rsid w:val="00C572A8"/>
    <w:rsid w:val="00C60D8C"/>
    <w:rsid w:val="00C83E67"/>
    <w:rsid w:val="00C83F0B"/>
    <w:rsid w:val="00C90A70"/>
    <w:rsid w:val="00C9122D"/>
    <w:rsid w:val="00C96E1C"/>
    <w:rsid w:val="00C97279"/>
    <w:rsid w:val="00CC0809"/>
    <w:rsid w:val="00CD44AE"/>
    <w:rsid w:val="00CD52D3"/>
    <w:rsid w:val="00CD77EF"/>
    <w:rsid w:val="00CE2F23"/>
    <w:rsid w:val="00CE315D"/>
    <w:rsid w:val="00CF1F27"/>
    <w:rsid w:val="00D00F2C"/>
    <w:rsid w:val="00D279EE"/>
    <w:rsid w:val="00D34413"/>
    <w:rsid w:val="00D4514E"/>
    <w:rsid w:val="00D472F0"/>
    <w:rsid w:val="00D5124E"/>
    <w:rsid w:val="00D521F8"/>
    <w:rsid w:val="00D57FCF"/>
    <w:rsid w:val="00D72A6F"/>
    <w:rsid w:val="00D72E08"/>
    <w:rsid w:val="00D74203"/>
    <w:rsid w:val="00D82128"/>
    <w:rsid w:val="00DC2446"/>
    <w:rsid w:val="00DC4F0C"/>
    <w:rsid w:val="00DC647B"/>
    <w:rsid w:val="00DC7520"/>
    <w:rsid w:val="00DE50A3"/>
    <w:rsid w:val="00DF0D98"/>
    <w:rsid w:val="00E110DE"/>
    <w:rsid w:val="00E16181"/>
    <w:rsid w:val="00E22B79"/>
    <w:rsid w:val="00E35AFA"/>
    <w:rsid w:val="00E428F1"/>
    <w:rsid w:val="00E61417"/>
    <w:rsid w:val="00EA7E64"/>
    <w:rsid w:val="00EB661F"/>
    <w:rsid w:val="00EB6FD9"/>
    <w:rsid w:val="00F16F82"/>
    <w:rsid w:val="00F17507"/>
    <w:rsid w:val="00F51679"/>
    <w:rsid w:val="00F66E8B"/>
    <w:rsid w:val="00F67582"/>
    <w:rsid w:val="00F84EF4"/>
    <w:rsid w:val="00F96773"/>
    <w:rsid w:val="00F96A67"/>
    <w:rsid w:val="00FA3320"/>
    <w:rsid w:val="00FC0053"/>
    <w:rsid w:val="00FC7CFC"/>
    <w:rsid w:val="00FD5B29"/>
    <w:rsid w:val="00FD6D55"/>
    <w:rsid w:val="00FD6DBC"/>
    <w:rsid w:val="4F75286B"/>
    <w:rsid w:val="5F85A46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AB18"/>
  <w15:chartTrackingRefBased/>
  <w15:docId w15:val="{62175B0C-CB40-46BD-8778-A11CD7A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1BFA"/>
    <w:pPr>
      <w:spacing w:line="259" w:lineRule="auto"/>
    </w:pPr>
    <w:rPr>
      <w:rFonts w:ascii="FT Polar Book" w:hAnsi="FT Polar Book"/>
      <w:sz w:val="22"/>
      <w:szCs w:val="22"/>
    </w:rPr>
  </w:style>
  <w:style w:type="paragraph" w:styleId="Overskrift1">
    <w:name w:val="heading 1"/>
    <w:basedOn w:val="Normal"/>
    <w:next w:val="Normal"/>
    <w:link w:val="Overskrift1Tegn"/>
    <w:uiPriority w:val="9"/>
    <w:qFormat/>
    <w:rsid w:val="00D521F8"/>
    <w:pPr>
      <w:keepNext/>
      <w:keepLines/>
      <w:spacing w:before="360" w:after="80"/>
      <w:outlineLvl w:val="0"/>
    </w:pPr>
    <w:rPr>
      <w:rFonts w:eastAsiaTheme="majorEastAsia" w:cstheme="majorBidi"/>
      <w:color w:val="009283" w:themeColor="accent1" w:themeShade="BF"/>
      <w:sz w:val="40"/>
      <w:szCs w:val="40"/>
    </w:rPr>
  </w:style>
  <w:style w:type="paragraph" w:styleId="Overskrift2">
    <w:name w:val="heading 2"/>
    <w:basedOn w:val="Normal"/>
    <w:next w:val="Normal"/>
    <w:link w:val="Overskrift2Tegn"/>
    <w:uiPriority w:val="9"/>
    <w:unhideWhenUsed/>
    <w:qFormat/>
    <w:rsid w:val="00D521F8"/>
    <w:pPr>
      <w:keepNext/>
      <w:keepLines/>
      <w:spacing w:before="160" w:after="80"/>
      <w:outlineLvl w:val="1"/>
    </w:pPr>
    <w:rPr>
      <w:rFonts w:eastAsiaTheme="majorEastAsia" w:cstheme="majorBidi"/>
      <w:color w:val="009283" w:themeColor="accent1" w:themeShade="BF"/>
      <w:sz w:val="32"/>
      <w:szCs w:val="32"/>
    </w:rPr>
  </w:style>
  <w:style w:type="paragraph" w:styleId="Overskrift3">
    <w:name w:val="heading 3"/>
    <w:basedOn w:val="Normal"/>
    <w:next w:val="Normal"/>
    <w:link w:val="Overskrift3Tegn"/>
    <w:uiPriority w:val="9"/>
    <w:unhideWhenUsed/>
    <w:qFormat/>
    <w:rsid w:val="007A701A"/>
    <w:pPr>
      <w:keepNext/>
      <w:keepLines/>
      <w:spacing w:before="160" w:after="80"/>
      <w:outlineLvl w:val="2"/>
    </w:pPr>
    <w:rPr>
      <w:rFonts w:eastAsiaTheme="majorEastAsia" w:cstheme="majorBidi"/>
      <w:color w:val="009283" w:themeColor="accent1" w:themeShade="BF"/>
      <w:sz w:val="28"/>
      <w:szCs w:val="28"/>
    </w:rPr>
  </w:style>
  <w:style w:type="paragraph" w:styleId="Overskrift4">
    <w:name w:val="heading 4"/>
    <w:basedOn w:val="Normal"/>
    <w:next w:val="Normal"/>
    <w:link w:val="Overskrift4Tegn"/>
    <w:uiPriority w:val="9"/>
    <w:semiHidden/>
    <w:unhideWhenUsed/>
    <w:qFormat/>
    <w:rsid w:val="007A701A"/>
    <w:pPr>
      <w:keepNext/>
      <w:keepLines/>
      <w:spacing w:before="80" w:after="40"/>
      <w:outlineLvl w:val="3"/>
    </w:pPr>
    <w:rPr>
      <w:rFonts w:eastAsiaTheme="majorEastAsia" w:cstheme="majorBidi"/>
      <w:i/>
      <w:iCs/>
      <w:color w:val="009283" w:themeColor="accent1" w:themeShade="BF"/>
    </w:rPr>
  </w:style>
  <w:style w:type="paragraph" w:styleId="Overskrift5">
    <w:name w:val="heading 5"/>
    <w:basedOn w:val="Normal"/>
    <w:next w:val="Normal"/>
    <w:link w:val="Overskrift5Tegn"/>
    <w:uiPriority w:val="9"/>
    <w:semiHidden/>
    <w:unhideWhenUsed/>
    <w:qFormat/>
    <w:rsid w:val="007A701A"/>
    <w:pPr>
      <w:keepNext/>
      <w:keepLines/>
      <w:spacing w:before="80" w:after="40"/>
      <w:outlineLvl w:val="4"/>
    </w:pPr>
    <w:rPr>
      <w:rFonts w:eastAsiaTheme="majorEastAsia" w:cstheme="majorBidi"/>
      <w:color w:val="009283" w:themeColor="accent1" w:themeShade="BF"/>
    </w:rPr>
  </w:style>
  <w:style w:type="paragraph" w:styleId="Overskrift6">
    <w:name w:val="heading 6"/>
    <w:basedOn w:val="Normal"/>
    <w:next w:val="Normal"/>
    <w:link w:val="Overskrift6Tegn"/>
    <w:uiPriority w:val="9"/>
    <w:semiHidden/>
    <w:unhideWhenUsed/>
    <w:qFormat/>
    <w:rsid w:val="007A70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70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70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701A"/>
    <w:pPr>
      <w:keepNext/>
      <w:keepLines/>
      <w:spacing w:after="0"/>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D521F8"/>
    <w:rPr>
      <w:rFonts w:ascii="FT Polar Book" w:hAnsi="FT Polar Book" w:eastAsiaTheme="majorEastAsia" w:cstheme="majorBidi"/>
      <w:color w:val="009283" w:themeColor="accent1" w:themeShade="BF"/>
      <w:sz w:val="40"/>
      <w:szCs w:val="40"/>
    </w:rPr>
  </w:style>
  <w:style w:type="character" w:styleId="Overskrift2Tegn" w:customStyle="1">
    <w:name w:val="Overskrift 2 Tegn"/>
    <w:basedOn w:val="Standardskrifttypeiafsnit"/>
    <w:link w:val="Overskrift2"/>
    <w:uiPriority w:val="9"/>
    <w:rsid w:val="00D521F8"/>
    <w:rPr>
      <w:rFonts w:ascii="FT Polar Book" w:hAnsi="FT Polar Book" w:eastAsiaTheme="majorEastAsia" w:cstheme="majorBidi"/>
      <w:color w:val="009283" w:themeColor="accent1" w:themeShade="BF"/>
      <w:sz w:val="32"/>
      <w:szCs w:val="32"/>
    </w:rPr>
  </w:style>
  <w:style w:type="character" w:styleId="Overskrift3Tegn" w:customStyle="1">
    <w:name w:val="Overskrift 3 Tegn"/>
    <w:basedOn w:val="Standardskrifttypeiafsnit"/>
    <w:link w:val="Overskrift3"/>
    <w:uiPriority w:val="9"/>
    <w:rsid w:val="007A701A"/>
    <w:rPr>
      <w:rFonts w:eastAsiaTheme="majorEastAsia" w:cstheme="majorBidi"/>
      <w:color w:val="009283" w:themeColor="accent1" w:themeShade="BF"/>
      <w:sz w:val="28"/>
      <w:szCs w:val="28"/>
    </w:rPr>
  </w:style>
  <w:style w:type="character" w:styleId="Overskrift4Tegn" w:customStyle="1">
    <w:name w:val="Overskrift 4 Tegn"/>
    <w:basedOn w:val="Standardskrifttypeiafsnit"/>
    <w:link w:val="Overskrift4"/>
    <w:uiPriority w:val="9"/>
    <w:semiHidden/>
    <w:rsid w:val="007A701A"/>
    <w:rPr>
      <w:rFonts w:eastAsiaTheme="majorEastAsia" w:cstheme="majorBidi"/>
      <w:i/>
      <w:iCs/>
      <w:color w:val="009283" w:themeColor="accent1" w:themeShade="BF"/>
    </w:rPr>
  </w:style>
  <w:style w:type="character" w:styleId="Overskrift5Tegn" w:customStyle="1">
    <w:name w:val="Overskrift 5 Tegn"/>
    <w:basedOn w:val="Standardskrifttypeiafsnit"/>
    <w:link w:val="Overskrift5"/>
    <w:uiPriority w:val="9"/>
    <w:semiHidden/>
    <w:rsid w:val="007A701A"/>
    <w:rPr>
      <w:rFonts w:eastAsiaTheme="majorEastAsia" w:cstheme="majorBidi"/>
      <w:color w:val="009283" w:themeColor="accent1" w:themeShade="BF"/>
    </w:rPr>
  </w:style>
  <w:style w:type="character" w:styleId="Overskrift6Tegn" w:customStyle="1">
    <w:name w:val="Overskrift 6 Tegn"/>
    <w:basedOn w:val="Standardskrifttypeiafsnit"/>
    <w:link w:val="Overskrift6"/>
    <w:uiPriority w:val="9"/>
    <w:semiHidden/>
    <w:rsid w:val="007A701A"/>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7A701A"/>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7A701A"/>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7A701A"/>
    <w:rPr>
      <w:rFonts w:eastAsiaTheme="majorEastAsia" w:cstheme="majorBidi"/>
      <w:color w:val="272727" w:themeColor="text1" w:themeTint="D8"/>
    </w:rPr>
  </w:style>
  <w:style w:type="paragraph" w:styleId="Titel">
    <w:name w:val="Title"/>
    <w:basedOn w:val="Normal"/>
    <w:next w:val="Normal"/>
    <w:link w:val="TitelTegn"/>
    <w:uiPriority w:val="10"/>
    <w:qFormat/>
    <w:rsid w:val="00D521F8"/>
    <w:pPr>
      <w:spacing w:after="80" w:line="240" w:lineRule="auto"/>
      <w:contextualSpacing/>
    </w:pPr>
    <w:rPr>
      <w:rFonts w:eastAsiaTheme="majorEastAsia" w:cstheme="majorBidi"/>
      <w:spacing w:val="-10"/>
      <w:kern w:val="28"/>
      <w:sz w:val="56"/>
      <w:szCs w:val="56"/>
    </w:rPr>
  </w:style>
  <w:style w:type="character" w:styleId="TitelTegn" w:customStyle="1">
    <w:name w:val="Titel Tegn"/>
    <w:basedOn w:val="Standardskrifttypeiafsnit"/>
    <w:link w:val="Titel"/>
    <w:uiPriority w:val="10"/>
    <w:rsid w:val="00D521F8"/>
    <w:rPr>
      <w:rFonts w:ascii="FT Polar Book" w:hAnsi="FT Polar Book" w:eastAsiaTheme="majorEastAsia" w:cstheme="majorBidi"/>
      <w:spacing w:val="-10"/>
      <w:kern w:val="28"/>
      <w:sz w:val="56"/>
      <w:szCs w:val="56"/>
    </w:rPr>
  </w:style>
  <w:style w:type="paragraph" w:styleId="Undertitel">
    <w:name w:val="Subtitle"/>
    <w:basedOn w:val="Normal"/>
    <w:next w:val="Normal"/>
    <w:link w:val="UndertitelTegn"/>
    <w:uiPriority w:val="11"/>
    <w:qFormat/>
    <w:rsid w:val="007A701A"/>
    <w:pPr>
      <w:numPr>
        <w:ilvl w:val="1"/>
      </w:numPr>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7A701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A701A"/>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7A701A"/>
    <w:rPr>
      <w:i/>
      <w:iCs/>
      <w:color w:val="404040" w:themeColor="text1" w:themeTint="BF"/>
    </w:rPr>
  </w:style>
  <w:style w:type="paragraph" w:styleId="Listeafsnit">
    <w:name w:val="List Paragraph"/>
    <w:basedOn w:val="Normal"/>
    <w:uiPriority w:val="34"/>
    <w:qFormat/>
    <w:rsid w:val="007A701A"/>
    <w:pPr>
      <w:ind w:left="720"/>
      <w:contextualSpacing/>
    </w:pPr>
  </w:style>
  <w:style w:type="character" w:styleId="Kraftigfremhvning">
    <w:name w:val="Intense Emphasis"/>
    <w:basedOn w:val="Standardskrifttypeiafsnit"/>
    <w:uiPriority w:val="21"/>
    <w:qFormat/>
    <w:rsid w:val="00036CF4"/>
    <w:rPr>
      <w:rFonts w:ascii="FT Polar Book" w:hAnsi="FT Polar Book"/>
      <w:i/>
      <w:iCs/>
      <w:color w:val="009283" w:themeColor="accent1" w:themeShade="BF"/>
    </w:rPr>
  </w:style>
  <w:style w:type="paragraph" w:styleId="Strktcitat">
    <w:name w:val="Intense Quote"/>
    <w:basedOn w:val="Normal"/>
    <w:next w:val="Normal"/>
    <w:link w:val="StrktcitatTegn"/>
    <w:uiPriority w:val="30"/>
    <w:qFormat/>
    <w:rsid w:val="007A701A"/>
    <w:pPr>
      <w:pBdr>
        <w:top w:val="single" w:color="009283" w:themeColor="accent1" w:themeShade="BF" w:sz="4" w:space="10"/>
        <w:bottom w:val="single" w:color="009283" w:themeColor="accent1" w:themeShade="BF" w:sz="4" w:space="10"/>
      </w:pBdr>
      <w:spacing w:before="360" w:after="360"/>
      <w:ind w:left="864" w:right="864"/>
      <w:jc w:val="center"/>
    </w:pPr>
    <w:rPr>
      <w:i/>
      <w:iCs/>
      <w:color w:val="009283" w:themeColor="accent1" w:themeShade="BF"/>
    </w:rPr>
  </w:style>
  <w:style w:type="character" w:styleId="StrktcitatTegn" w:customStyle="1">
    <w:name w:val="Stærkt citat Tegn"/>
    <w:basedOn w:val="Standardskrifttypeiafsnit"/>
    <w:link w:val="Strktcitat"/>
    <w:uiPriority w:val="30"/>
    <w:rsid w:val="007A701A"/>
    <w:rPr>
      <w:i/>
      <w:iCs/>
      <w:color w:val="009283" w:themeColor="accent1" w:themeShade="BF"/>
    </w:rPr>
  </w:style>
  <w:style w:type="character" w:styleId="Kraftighenvisning">
    <w:name w:val="Intense Reference"/>
    <w:basedOn w:val="Standardskrifttypeiafsnit"/>
    <w:uiPriority w:val="32"/>
    <w:qFormat/>
    <w:rsid w:val="00036CF4"/>
    <w:rPr>
      <w:rFonts w:ascii="FT Polar Book" w:hAnsi="FT Polar Book"/>
      <w:b/>
      <w:bCs/>
      <w:smallCaps/>
      <w:color w:val="009283" w:themeColor="accent1" w:themeShade="BF"/>
      <w:spacing w:val="5"/>
    </w:rPr>
  </w:style>
  <w:style w:type="paragraph" w:styleId="Sidehoved">
    <w:name w:val="header"/>
    <w:basedOn w:val="Normal"/>
    <w:link w:val="SidehovedTegn"/>
    <w:uiPriority w:val="99"/>
    <w:unhideWhenUsed/>
    <w:rsid w:val="007A701A"/>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A701A"/>
  </w:style>
  <w:style w:type="paragraph" w:styleId="Sidefod">
    <w:name w:val="footer"/>
    <w:basedOn w:val="Normal"/>
    <w:link w:val="SidefodTegn"/>
    <w:uiPriority w:val="99"/>
    <w:unhideWhenUsed/>
    <w:rsid w:val="007A701A"/>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A701A"/>
  </w:style>
  <w:style w:type="paragraph" w:styleId="Brugerinfo" w:customStyle="1">
    <w:name w:val="Brugerinfo"/>
    <w:basedOn w:val="Normal"/>
    <w:rsid w:val="007A701A"/>
    <w:pPr>
      <w:spacing w:after="0" w:line="480" w:lineRule="auto"/>
    </w:pPr>
    <w:rPr>
      <w:rFonts w:ascii="Arial" w:hAnsi="Arial" w:eastAsia="Times New Roman" w:cs="Times New Roman"/>
      <w:kern w:val="0"/>
      <w:sz w:val="14"/>
      <w:lang w:eastAsia="da-DK"/>
      <w14:ligatures w14:val="none"/>
    </w:rPr>
  </w:style>
  <w:style w:type="paragraph" w:styleId="Modtager" w:customStyle="1">
    <w:name w:val="Modtager"/>
    <w:basedOn w:val="Normal"/>
    <w:rsid w:val="007A701A"/>
    <w:pPr>
      <w:spacing w:after="0" w:line="300" w:lineRule="exact"/>
    </w:pPr>
    <w:rPr>
      <w:rFonts w:ascii="Arial" w:hAnsi="Arial" w:eastAsia="Times New Roman" w:cs="Times New Roman"/>
      <w:kern w:val="0"/>
      <w:lang w:eastAsia="da-DK"/>
      <w14:ligatures w14:val="none"/>
    </w:rPr>
  </w:style>
  <w:style w:type="paragraph" w:styleId="Ingenafstand">
    <w:name w:val="No Spacing"/>
    <w:uiPriority w:val="1"/>
    <w:qFormat/>
    <w:rsid w:val="00D521F8"/>
    <w:pPr>
      <w:spacing w:after="0" w:line="240" w:lineRule="auto"/>
    </w:pPr>
    <w:rPr>
      <w:rFonts w:ascii="FT Polar Book" w:hAnsi="FT Polar Book"/>
    </w:rPr>
  </w:style>
  <w:style w:type="character" w:styleId="Fremhv">
    <w:name w:val="Emphasis"/>
    <w:basedOn w:val="Standardskrifttypeiafsnit"/>
    <w:uiPriority w:val="20"/>
    <w:qFormat/>
    <w:rsid w:val="00036CF4"/>
    <w:rPr>
      <w:rFonts w:ascii="FT Polar Book" w:hAnsi="FT Polar Book"/>
      <w:i/>
      <w:iCs/>
    </w:rPr>
  </w:style>
  <w:style w:type="character" w:styleId="Strk">
    <w:name w:val="Strong"/>
    <w:basedOn w:val="Standardskrifttypeiafsnit"/>
    <w:uiPriority w:val="22"/>
    <w:qFormat/>
    <w:rsid w:val="00036CF4"/>
    <w:rPr>
      <w:rFonts w:ascii="FT Polar Book" w:hAnsi="FT Polar Book"/>
      <w:b/>
      <w:bCs/>
    </w:rPr>
  </w:style>
  <w:style w:type="character" w:styleId="Svaghenvisning">
    <w:name w:val="Subtle Reference"/>
    <w:basedOn w:val="Standardskrifttypeiafsnit"/>
    <w:uiPriority w:val="31"/>
    <w:qFormat/>
    <w:rsid w:val="00036CF4"/>
    <w:rPr>
      <w:rFonts w:ascii="FT Polar Book" w:hAnsi="FT Polar Book"/>
      <w:smallCaps/>
      <w:color w:val="5A5A5A" w:themeColor="text1" w:themeTint="A5"/>
    </w:rPr>
  </w:style>
  <w:style w:type="character" w:styleId="Bogenstitel">
    <w:name w:val="Book Title"/>
    <w:basedOn w:val="Standardskrifttypeiafsnit"/>
    <w:uiPriority w:val="33"/>
    <w:qFormat/>
    <w:rsid w:val="00036CF4"/>
    <w:rPr>
      <w:rFonts w:ascii="FT Polar Book" w:hAnsi="FT Polar Book"/>
      <w:b/>
      <w:bCs/>
      <w:i/>
      <w:iCs/>
      <w:spacing w:val="5"/>
    </w:rPr>
  </w:style>
  <w:style w:type="character" w:styleId="Kommentarhenvisning">
    <w:name w:val="annotation reference"/>
    <w:basedOn w:val="Standardskrifttypeiafsnit"/>
    <w:uiPriority w:val="99"/>
    <w:semiHidden/>
    <w:unhideWhenUsed/>
    <w:rsid w:val="00A612B1"/>
    <w:rPr>
      <w:sz w:val="16"/>
      <w:szCs w:val="16"/>
    </w:rPr>
  </w:style>
  <w:style w:type="paragraph" w:styleId="Kommentartekst">
    <w:name w:val="annotation text"/>
    <w:basedOn w:val="Normal"/>
    <w:link w:val="KommentartekstTegn"/>
    <w:uiPriority w:val="99"/>
    <w:unhideWhenUsed/>
    <w:rsid w:val="00A612B1"/>
    <w:pPr>
      <w:spacing w:line="240" w:lineRule="auto"/>
    </w:pPr>
    <w:rPr>
      <w:sz w:val="20"/>
      <w:szCs w:val="20"/>
    </w:rPr>
  </w:style>
  <w:style w:type="character" w:styleId="KommentartekstTegn" w:customStyle="1">
    <w:name w:val="Kommentartekst Tegn"/>
    <w:basedOn w:val="Standardskrifttypeiafsnit"/>
    <w:link w:val="Kommentartekst"/>
    <w:uiPriority w:val="99"/>
    <w:rsid w:val="00A612B1"/>
    <w:rPr>
      <w:rFonts w:ascii="FT Polar Book" w:hAnsi="FT Polar Book"/>
      <w:sz w:val="20"/>
      <w:szCs w:val="20"/>
    </w:rPr>
  </w:style>
  <w:style w:type="character" w:styleId="Omtal">
    <w:name w:val="Mention"/>
    <w:basedOn w:val="Standardskrifttypeiafsnit"/>
    <w:uiPriority w:val="99"/>
    <w:unhideWhenUsed/>
    <w:rsid w:val="00A612B1"/>
    <w:rPr>
      <w:color w:val="2B579A"/>
      <w:shd w:val="clear" w:color="auto" w:fill="E1DFDD"/>
    </w:rPr>
  </w:style>
  <w:style w:type="table" w:styleId="Gittertabel5-mrk-farve1">
    <w:name w:val="Grid Table 5 Dark Accent 1"/>
    <w:basedOn w:val="Tabel-Normal"/>
    <w:uiPriority w:val="50"/>
    <w:rsid w:val="00C96E1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0FFF8"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C4B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C4B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C4B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C4B0" w:themeFill="accent1"/>
      </w:tcPr>
    </w:tblStylePr>
    <w:tblStylePr w:type="band1Vert">
      <w:tblPr/>
      <w:tcPr>
        <w:shd w:val="clear" w:color="auto" w:fill="81FFF1" w:themeFill="accent1" w:themeFillTint="66"/>
      </w:tcPr>
    </w:tblStylePr>
    <w:tblStylePr w:type="band1Horz">
      <w:tblPr/>
      <w:tcPr>
        <w:shd w:val="clear" w:color="auto" w:fill="81FFF1" w:themeFill="accent1" w:themeFillTint="66"/>
      </w:tcPr>
    </w:tblStylePr>
  </w:style>
  <w:style w:type="character" w:styleId="Hyperlink">
    <w:name w:val="Hyperlink"/>
    <w:basedOn w:val="Standardskrifttypeiafsnit"/>
    <w:uiPriority w:val="99"/>
    <w:unhideWhenUsed/>
    <w:rsid w:val="0026562A"/>
    <w:rPr>
      <w:color w:val="467886" w:themeColor="hyperlink"/>
      <w:u w:val="single"/>
    </w:rPr>
  </w:style>
  <w:style w:type="character" w:styleId="Ulstomtale">
    <w:name w:val="Unresolved Mention"/>
    <w:basedOn w:val="Standardskrifttypeiafsnit"/>
    <w:uiPriority w:val="99"/>
    <w:semiHidden/>
    <w:unhideWhenUsed/>
    <w:rsid w:val="0026562A"/>
    <w:rPr>
      <w:color w:val="605E5C"/>
      <w:shd w:val="clear" w:color="auto" w:fill="E1DFDD"/>
    </w:rPr>
  </w:style>
  <w:style w:type="paragraph" w:styleId="NormalWeb">
    <w:name w:val="Normal (Web)"/>
    <w:basedOn w:val="Normal"/>
    <w:uiPriority w:val="99"/>
    <w:semiHidden/>
    <w:unhideWhenUsed/>
    <w:rsid w:val="00A13669"/>
    <w:pPr>
      <w:spacing w:before="100" w:beforeAutospacing="1" w:after="100" w:afterAutospacing="1" w:line="240" w:lineRule="auto"/>
    </w:pPr>
    <w:rPr>
      <w:rFonts w:ascii="Times New Roman" w:hAnsi="Times New Roman" w:eastAsia="Times New Roman" w:cs="Times New Roman"/>
      <w:kern w:val="0"/>
      <w:sz w:val="24"/>
      <w:szCs w:val="24"/>
      <w:lang w:eastAsia="da-DK"/>
      <w14:ligatures w14:val="none"/>
    </w:rPr>
  </w:style>
  <w:style w:type="paragraph" w:styleId="Korrektur">
    <w:name w:val="Revision"/>
    <w:hidden/>
    <w:uiPriority w:val="99"/>
    <w:semiHidden/>
    <w:rsid w:val="00BF59FE"/>
    <w:pPr>
      <w:spacing w:after="0" w:line="240" w:lineRule="auto"/>
    </w:pPr>
    <w:rPr>
      <w:rFonts w:ascii="FT Polar Book" w:hAnsi="FT Polar Book"/>
      <w:sz w:val="22"/>
      <w:szCs w:val="22"/>
    </w:rPr>
  </w:style>
  <w:style w:type="paragraph" w:styleId="Kommentaremne">
    <w:name w:val="annotation subject"/>
    <w:basedOn w:val="Kommentartekst"/>
    <w:next w:val="Kommentartekst"/>
    <w:link w:val="KommentaremneTegn"/>
    <w:uiPriority w:val="99"/>
    <w:semiHidden/>
    <w:unhideWhenUsed/>
    <w:rsid w:val="00C83F0B"/>
    <w:rPr>
      <w:b/>
      <w:bCs/>
    </w:rPr>
  </w:style>
  <w:style w:type="character" w:styleId="KommentaremneTegn" w:customStyle="1">
    <w:name w:val="Kommentaremne Tegn"/>
    <w:basedOn w:val="KommentartekstTegn"/>
    <w:link w:val="Kommentaremne"/>
    <w:uiPriority w:val="99"/>
    <w:semiHidden/>
    <w:rsid w:val="00C83F0B"/>
    <w:rPr>
      <w:rFonts w:ascii="FT Polar Book" w:hAnsi="FT Polar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hart" Target="charts/chart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BangsvigRasmus\TEKNIQ%20Arbejdsgiverne\Intune%20-%20Documents\skabeloner\TEKNIQ\Notatskabelon%20TEKNIQ.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a:latin typeface="FT Polar Book" pitchFamily="2" charset="0"/>
              </a:rPr>
              <a:t>Har I seniorer ansat?</a:t>
            </a:r>
          </a:p>
        </c:rich>
      </c:tx>
      <c:layout>
        <c:manualLayout>
          <c:xMode val="edge"/>
          <c:yMode val="edge"/>
          <c:x val="1.8311872455645788E-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a-DK"/>
        </a:p>
      </c:txPr>
    </c:title>
    <c:autoTitleDeleted val="0"/>
    <c:plotArea>
      <c:layout/>
      <c:barChart>
        <c:barDir val="bar"/>
        <c:grouping val="clustered"/>
        <c:varyColors val="0"/>
        <c:ser>
          <c:idx val="0"/>
          <c:order val="0"/>
          <c:tx>
            <c:strRef>
              <c:f>'Ark1'!$B$26</c:f>
              <c:strCache>
                <c:ptCount val="1"/>
                <c:pt idx="0">
                  <c:v>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FT Polar Book" pitchFamily="2" charset="0"/>
                    <a:ea typeface="+mn-ea"/>
                    <a:cs typeface="+mn-cs"/>
                  </a:defRPr>
                </a:pPr>
                <a:endParaRPr lang="da-D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'Ark1'!$A$27:$A$32</c:f>
              <c:strCache>
                <c:ptCount val="6"/>
                <c:pt idx="0">
                  <c:v>Hele det tekniske erhvervsliv</c:v>
                </c:pt>
                <c:pt idx="1">
                  <c:v>Bygge og anlægsarbejde</c:v>
                </c:pt>
                <c:pt idx="2">
                  <c:v>Smede- og metalvirksomheder</c:v>
                </c:pt>
                <c:pt idx="3">
                  <c:v>Maskinfremstilling, reparation og engroshandel</c:v>
                </c:pt>
                <c:pt idx="4">
                  <c:v>Vvs- og blikkenslagervirksomheder</c:v>
                </c:pt>
                <c:pt idx="5">
                  <c:v>El-installationsvirksomheder</c:v>
                </c:pt>
              </c:strCache>
            </c:strRef>
          </c:cat>
          <c:val>
            <c:numRef>
              <c:f>'Ark1'!$B$27:$B$32</c:f>
              <c:numCache>
                <c:formatCode>0%</c:formatCode>
                <c:ptCount val="6"/>
                <c:pt idx="0">
                  <c:v>0.46</c:v>
                </c:pt>
                <c:pt idx="1">
                  <c:v>0.31</c:v>
                </c:pt>
                <c:pt idx="2">
                  <c:v>0.59</c:v>
                </c:pt>
                <c:pt idx="3">
                  <c:v>0.55000000000000004</c:v>
                </c:pt>
                <c:pt idx="4">
                  <c:v>0.42</c:v>
                </c:pt>
                <c:pt idx="5">
                  <c:v>0.44</c:v>
                </c:pt>
              </c:numCache>
            </c:numRef>
          </c:val>
          <c:extLst>
            <c:ext xmlns:c16="http://schemas.microsoft.com/office/drawing/2014/chart" uri="{C3380CC4-5D6E-409C-BE32-E72D297353CC}">
              <c16:uniqueId val="{00000000-E4B7-40CA-ABA0-A005953EE44D}"/>
            </c:ext>
          </c:extLst>
        </c:ser>
        <c:dLbls>
          <c:dLblPos val="outEnd"/>
          <c:showLegendKey val="0"/>
          <c:showVal val="1"/>
          <c:showCatName val="0"/>
          <c:showSerName val="0"/>
          <c:showPercent val="0"/>
          <c:showBubbleSize val="0"/>
        </c:dLbls>
        <c:gapWidth val="100"/>
        <c:axId val="1120400496"/>
        <c:axId val="1188468224"/>
      </c:barChart>
      <c:catAx>
        <c:axId val="1120400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FT Polar Book" pitchFamily="2" charset="0"/>
                <a:ea typeface="+mn-ea"/>
                <a:cs typeface="+mn-cs"/>
              </a:defRPr>
            </a:pPr>
            <a:endParaRPr lang="da-DK"/>
          </a:p>
        </c:txPr>
        <c:crossAx val="1188468224"/>
        <c:crosses val="autoZero"/>
        <c:auto val="1"/>
        <c:lblAlgn val="ctr"/>
        <c:lblOffset val="100"/>
        <c:noMultiLvlLbl val="0"/>
      </c:catAx>
      <c:valAx>
        <c:axId val="1188468224"/>
        <c:scaling>
          <c:orientation val="minMax"/>
          <c:max val="0.60000000000000009"/>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FT Polar Book" pitchFamily="2" charset="0"/>
                <a:ea typeface="+mn-ea"/>
                <a:cs typeface="+mn-cs"/>
              </a:defRPr>
            </a:pPr>
            <a:endParaRPr lang="da-DK"/>
          </a:p>
        </c:txPr>
        <c:crossAx val="112040049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3"/>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FT Polar Book" pitchFamily="2" charset="0"/>
                <a:ea typeface="+mn-ea"/>
                <a:cs typeface="+mn-cs"/>
              </a:defRPr>
            </a:pPr>
            <a:r>
              <a:rPr lang="en-US">
                <a:latin typeface="FT Polar Book" pitchFamily="2" charset="0"/>
              </a:rPr>
              <a:t>I hvor høj grad er I villige til at tilbyde øget fleksibilitet til nuværende eller potentielle seniormedarbejdere?</a:t>
            </a:r>
          </a:p>
        </c:rich>
      </c:tx>
      <c:layout>
        <c:manualLayout>
          <c:xMode val="edge"/>
          <c:yMode val="edge"/>
          <c:x val="6.6410448138181661E-3"/>
          <c:y val="9.8400971302815953E-3"/>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FT Polar Book" pitchFamily="2" charset="0"/>
              <a:ea typeface="+mn-ea"/>
              <a:cs typeface="+mn-cs"/>
            </a:defRPr>
          </a:pPr>
          <a:endParaRPr lang="da-DK"/>
        </a:p>
      </c:txPr>
    </c:title>
    <c:autoTitleDeleted val="0"/>
    <c:plotArea>
      <c:layout/>
      <c:barChart>
        <c:barDir val="bar"/>
        <c:grouping val="stacked"/>
        <c:varyColors val="0"/>
        <c:ser>
          <c:idx val="0"/>
          <c:order val="0"/>
          <c:tx>
            <c:strRef>
              <c:f>'Ark1'!$O$26</c:f>
              <c:strCache>
                <c:ptCount val="1"/>
                <c:pt idx="0">
                  <c:v>I meget høj og i høj grad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FT Polar Book" pitchFamily="2" charset="0"/>
                    <a:ea typeface="+mn-ea"/>
                    <a:cs typeface="+mn-cs"/>
                  </a:defRPr>
                </a:pPr>
                <a:endParaRPr lang="da-D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'Ark1'!$N$27:$N$32</c:f>
              <c:strCache>
                <c:ptCount val="6"/>
                <c:pt idx="0">
                  <c:v>Hele det tekniske erhvervsliv</c:v>
                </c:pt>
                <c:pt idx="1">
                  <c:v>Bygge og anlægsarbejde</c:v>
                </c:pt>
                <c:pt idx="2">
                  <c:v>Smede- og metalvirksomheder</c:v>
                </c:pt>
                <c:pt idx="3">
                  <c:v>Maskinfremstilling, reparation og engroshandel</c:v>
                </c:pt>
                <c:pt idx="4">
                  <c:v>VVS- og blikkenslagervirksomheder</c:v>
                </c:pt>
                <c:pt idx="5">
                  <c:v>El-installationsvirksomheder</c:v>
                </c:pt>
              </c:strCache>
            </c:strRef>
          </c:cat>
          <c:val>
            <c:numRef>
              <c:f>'Ark1'!$O$27:$O$32</c:f>
              <c:numCache>
                <c:formatCode>0%</c:formatCode>
                <c:ptCount val="6"/>
                <c:pt idx="0">
                  <c:v>0.56000000000000005</c:v>
                </c:pt>
                <c:pt idx="1">
                  <c:v>0.69</c:v>
                </c:pt>
                <c:pt idx="2">
                  <c:v>0.64</c:v>
                </c:pt>
                <c:pt idx="3">
                  <c:v>0.6</c:v>
                </c:pt>
                <c:pt idx="4">
                  <c:v>0.47</c:v>
                </c:pt>
                <c:pt idx="5">
                  <c:v>0.6</c:v>
                </c:pt>
              </c:numCache>
            </c:numRef>
          </c:val>
          <c:extLst>
            <c:ext xmlns:c16="http://schemas.microsoft.com/office/drawing/2014/chart" uri="{C3380CC4-5D6E-409C-BE32-E72D297353CC}">
              <c16:uniqueId val="{00000000-9E79-40B9-A1E4-7141DAC1651A}"/>
            </c:ext>
          </c:extLst>
        </c:ser>
        <c:ser>
          <c:idx val="1"/>
          <c:order val="1"/>
          <c:tx>
            <c:strRef>
              <c:f>'Ark1'!$P$26</c:f>
              <c:strCache>
                <c:ptCount val="1"/>
                <c:pt idx="0">
                  <c:v>I nogen grad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2">
                        <a:lumMod val="10000"/>
                        <a:lumOff val="90000"/>
                      </a:schemeClr>
                    </a:solidFill>
                    <a:latin typeface="FT Polar Book" pitchFamily="2" charset="0"/>
                    <a:ea typeface="+mn-ea"/>
                    <a:cs typeface="+mn-cs"/>
                  </a:defRPr>
                </a:pPr>
                <a:endParaRPr lang="da-D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'Ark1'!$N$27:$N$32</c:f>
              <c:strCache>
                <c:ptCount val="6"/>
                <c:pt idx="0">
                  <c:v>Hele det tekniske erhvervsliv</c:v>
                </c:pt>
                <c:pt idx="1">
                  <c:v>Bygge og anlægsarbejde</c:v>
                </c:pt>
                <c:pt idx="2">
                  <c:v>Smede- og metalvirksomheder</c:v>
                </c:pt>
                <c:pt idx="3">
                  <c:v>Maskinfremstilling, reparation og engroshandel</c:v>
                </c:pt>
                <c:pt idx="4">
                  <c:v>VVS- og blikkenslagervirksomheder</c:v>
                </c:pt>
                <c:pt idx="5">
                  <c:v>El-installationsvirksomheder</c:v>
                </c:pt>
              </c:strCache>
            </c:strRef>
          </c:cat>
          <c:val>
            <c:numRef>
              <c:f>'Ark1'!$P$27:$P$32</c:f>
              <c:numCache>
                <c:formatCode>0%</c:formatCode>
                <c:ptCount val="6"/>
                <c:pt idx="0">
                  <c:v>0.26</c:v>
                </c:pt>
                <c:pt idx="1">
                  <c:v>0.13</c:v>
                </c:pt>
                <c:pt idx="2">
                  <c:v>0.23</c:v>
                </c:pt>
                <c:pt idx="3">
                  <c:v>0.28000000000000003</c:v>
                </c:pt>
                <c:pt idx="4">
                  <c:v>0.31</c:v>
                </c:pt>
                <c:pt idx="5">
                  <c:v>0.23</c:v>
                </c:pt>
              </c:numCache>
            </c:numRef>
          </c:val>
          <c:extLst>
            <c:ext xmlns:c16="http://schemas.microsoft.com/office/drawing/2014/chart" uri="{C3380CC4-5D6E-409C-BE32-E72D297353CC}">
              <c16:uniqueId val="{00000001-9E79-40B9-A1E4-7141DAC1651A}"/>
            </c:ext>
          </c:extLst>
        </c:ser>
        <c:ser>
          <c:idx val="2"/>
          <c:order val="2"/>
          <c:tx>
            <c:strRef>
              <c:f>'Ark1'!$Q$26</c:f>
              <c:strCache>
                <c:ptCount val="1"/>
                <c:pt idx="0">
                  <c:v>I mindre grad eller slet ikke</c:v>
                </c:pt>
              </c:strCache>
            </c:strRef>
          </c:tx>
          <c:spPr>
            <a:solidFill>
              <a:schemeClr val="accent6"/>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9E79-40B9-A1E4-7141DAC165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2">
                        <a:lumMod val="10000"/>
                        <a:lumOff val="90000"/>
                      </a:schemeClr>
                    </a:solidFill>
                    <a:latin typeface="FT Polar Book" pitchFamily="2" charset="0"/>
                    <a:ea typeface="+mn-ea"/>
                    <a:cs typeface="+mn-cs"/>
                  </a:defRPr>
                </a:pPr>
                <a:endParaRPr lang="da-D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'Ark1'!$N$27:$N$32</c:f>
              <c:strCache>
                <c:ptCount val="6"/>
                <c:pt idx="0">
                  <c:v>Hele det tekniske erhvervsliv</c:v>
                </c:pt>
                <c:pt idx="1">
                  <c:v>Bygge og anlægsarbejde</c:v>
                </c:pt>
                <c:pt idx="2">
                  <c:v>Smede- og metalvirksomheder</c:v>
                </c:pt>
                <c:pt idx="3">
                  <c:v>Maskinfremstilling, reparation og engroshandel</c:v>
                </c:pt>
                <c:pt idx="4">
                  <c:v>VVS- og blikkenslagervirksomheder</c:v>
                </c:pt>
                <c:pt idx="5">
                  <c:v>El-installationsvirksomheder</c:v>
                </c:pt>
              </c:strCache>
            </c:strRef>
          </c:cat>
          <c:val>
            <c:numRef>
              <c:f>'Ark1'!$Q$27:$Q$32</c:f>
              <c:numCache>
                <c:formatCode>0%</c:formatCode>
                <c:ptCount val="6"/>
                <c:pt idx="0">
                  <c:v>0.06</c:v>
                </c:pt>
                <c:pt idx="1">
                  <c:v>0</c:v>
                </c:pt>
                <c:pt idx="2">
                  <c:v>0.04</c:v>
                </c:pt>
                <c:pt idx="3">
                  <c:v>0.03</c:v>
                </c:pt>
                <c:pt idx="4">
                  <c:v>7.0000000000000007E-2</c:v>
                </c:pt>
                <c:pt idx="5">
                  <c:v>0.06</c:v>
                </c:pt>
              </c:numCache>
            </c:numRef>
          </c:val>
          <c:extLst>
            <c:ext xmlns:c16="http://schemas.microsoft.com/office/drawing/2014/chart" uri="{C3380CC4-5D6E-409C-BE32-E72D297353CC}">
              <c16:uniqueId val="{00000002-9E79-40B9-A1E4-7141DAC1651A}"/>
            </c:ext>
          </c:extLst>
        </c:ser>
        <c:ser>
          <c:idx val="3"/>
          <c:order val="3"/>
          <c:tx>
            <c:strRef>
              <c:f>'Ark1'!$R$26</c:f>
              <c:strCache>
                <c:ptCount val="1"/>
                <c:pt idx="0">
                  <c:v>Ved ikke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FT Polar Book" pitchFamily="2" charset="0"/>
                    <a:ea typeface="+mn-ea"/>
                    <a:cs typeface="+mn-cs"/>
                  </a:defRPr>
                </a:pPr>
                <a:endParaRPr lang="da-D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'Ark1'!$N$27:$N$32</c:f>
              <c:strCache>
                <c:ptCount val="6"/>
                <c:pt idx="0">
                  <c:v>Hele det tekniske erhvervsliv</c:v>
                </c:pt>
                <c:pt idx="1">
                  <c:v>Bygge og anlægsarbejde</c:v>
                </c:pt>
                <c:pt idx="2">
                  <c:v>Smede- og metalvirksomheder</c:v>
                </c:pt>
                <c:pt idx="3">
                  <c:v>Maskinfremstilling, reparation og engroshandel</c:v>
                </c:pt>
                <c:pt idx="4">
                  <c:v>VVS- og blikkenslagervirksomheder</c:v>
                </c:pt>
                <c:pt idx="5">
                  <c:v>El-installationsvirksomheder</c:v>
                </c:pt>
              </c:strCache>
            </c:strRef>
          </c:cat>
          <c:val>
            <c:numRef>
              <c:f>'Ark1'!$R$27:$R$32</c:f>
              <c:numCache>
                <c:formatCode>0%</c:formatCode>
                <c:ptCount val="6"/>
                <c:pt idx="0">
                  <c:v>0.12</c:v>
                </c:pt>
                <c:pt idx="1">
                  <c:v>0.19</c:v>
                </c:pt>
                <c:pt idx="2">
                  <c:v>0.09</c:v>
                </c:pt>
                <c:pt idx="3">
                  <c:v>0.1</c:v>
                </c:pt>
                <c:pt idx="4">
                  <c:v>0.14000000000000001</c:v>
                </c:pt>
                <c:pt idx="5">
                  <c:v>0.12</c:v>
                </c:pt>
              </c:numCache>
            </c:numRef>
          </c:val>
          <c:extLst>
            <c:ext xmlns:c16="http://schemas.microsoft.com/office/drawing/2014/chart" uri="{C3380CC4-5D6E-409C-BE32-E72D297353CC}">
              <c16:uniqueId val="{00000003-9E79-40B9-A1E4-7141DAC1651A}"/>
            </c:ext>
          </c:extLst>
        </c:ser>
        <c:dLbls>
          <c:dLblPos val="ctr"/>
          <c:showLegendKey val="0"/>
          <c:showVal val="1"/>
          <c:showCatName val="0"/>
          <c:showSerName val="0"/>
          <c:showPercent val="0"/>
          <c:showBubbleSize val="0"/>
        </c:dLbls>
        <c:gapWidth val="100"/>
        <c:overlap val="100"/>
        <c:axId val="1150128320"/>
        <c:axId val="1150129280"/>
      </c:barChart>
      <c:catAx>
        <c:axId val="1150128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FT Polar Book" pitchFamily="2" charset="0"/>
                <a:ea typeface="+mn-ea"/>
                <a:cs typeface="+mn-cs"/>
              </a:defRPr>
            </a:pPr>
            <a:endParaRPr lang="da-DK"/>
          </a:p>
        </c:txPr>
        <c:crossAx val="1150129280"/>
        <c:crosses val="autoZero"/>
        <c:auto val="1"/>
        <c:lblAlgn val="ctr"/>
        <c:lblOffset val="100"/>
        <c:noMultiLvlLbl val="0"/>
      </c:catAx>
      <c:valAx>
        <c:axId val="115012928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FT Polar Book" pitchFamily="2" charset="0"/>
                <a:ea typeface="+mn-ea"/>
                <a:cs typeface="+mn-cs"/>
              </a:defRPr>
            </a:pPr>
            <a:endParaRPr lang="da-DK"/>
          </a:p>
        </c:txPr>
        <c:crossAx val="115012832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FT Polar Book" pitchFamily="2" charset="0"/>
              <a:ea typeface="+mn-ea"/>
              <a:cs typeface="+mn-cs"/>
            </a:defRPr>
          </a:pPr>
          <a:endParaRPr lang="da-D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3"/>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tema">
  <a:themeElements>
    <a:clrScheme name="TEKNIQ farver">
      <a:dk1>
        <a:sysClr val="windowText" lastClr="000000"/>
      </a:dk1>
      <a:lt1>
        <a:sysClr val="window" lastClr="FFFFFF"/>
      </a:lt1>
      <a:dk2>
        <a:srgbClr val="0E2841"/>
      </a:dk2>
      <a:lt2>
        <a:srgbClr val="E8E8E8"/>
      </a:lt2>
      <a:accent1>
        <a:srgbClr val="00C4B0"/>
      </a:accent1>
      <a:accent2>
        <a:srgbClr val="0D5257"/>
      </a:accent2>
      <a:accent3>
        <a:srgbClr val="CBEFEB"/>
      </a:accent3>
      <a:accent4>
        <a:srgbClr val="DECD63"/>
      </a:accent4>
      <a:accent5>
        <a:srgbClr val="CBC4BC"/>
      </a:accent5>
      <a:accent6>
        <a:srgbClr val="AC93E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862B749CE27F469E0C90ADC4176C10" ma:contentTypeVersion="13" ma:contentTypeDescription="Opret et nyt dokument." ma:contentTypeScope="" ma:versionID="bbab6d09c0c94fe4342d245162d262c4">
  <xsd:schema xmlns:xsd="http://www.w3.org/2001/XMLSchema" xmlns:xs="http://www.w3.org/2001/XMLSchema" xmlns:p="http://schemas.microsoft.com/office/2006/metadata/properties" xmlns:ns2="703f9cbd-1c87-4eb3-8c0d-fac9394a2f71" xmlns:ns3="8a3a0262-069f-4a10-8052-38c0cb31b695" targetNamespace="http://schemas.microsoft.com/office/2006/metadata/properties" ma:root="true" ma:fieldsID="46c44bbe31885a9763e8f6bc445e48ad" ns2:_="" ns3:_="">
    <xsd:import namespace="703f9cbd-1c87-4eb3-8c0d-fac9394a2f71"/>
    <xsd:import namespace="8a3a0262-069f-4a10-8052-38c0cb31b6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f9cbd-1c87-4eb3-8c0d-fac9394a2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1a348fd-58d2-4a1b-ae25-bec7a0e50f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a0262-069f-4a10-8052-38c0cb31b6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bde0e-242a-4625-8ab6-b84579a20993}" ma:internalName="TaxCatchAll" ma:showField="CatchAllData" ma:web="8a3a0262-069f-4a10-8052-38c0cb31b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f9cbd-1c87-4eb3-8c0d-fac9394a2f71">
      <Terms xmlns="http://schemas.microsoft.com/office/infopath/2007/PartnerControls"/>
    </lcf76f155ced4ddcb4097134ff3c332f>
    <TaxCatchAll xmlns="8a3a0262-069f-4a10-8052-38c0cb31b695" xsi:nil="true"/>
  </documentManagement>
</p:properties>
</file>

<file path=customXml/itemProps1.xml><?xml version="1.0" encoding="utf-8"?>
<ds:datastoreItem xmlns:ds="http://schemas.openxmlformats.org/officeDocument/2006/customXml" ds:itemID="{27EE48FC-8B8B-4FD1-B773-77A876FB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f9cbd-1c87-4eb3-8c0d-fac9394a2f71"/>
    <ds:schemaRef ds:uri="8a3a0262-069f-4a10-8052-38c0cb31b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88AC5-A8CC-4FF3-83A6-45BA1B251D87}">
  <ds:schemaRefs>
    <ds:schemaRef ds:uri="http://schemas.microsoft.com/sharepoint/v3/contenttype/forms"/>
  </ds:schemaRefs>
</ds:datastoreItem>
</file>

<file path=customXml/itemProps3.xml><?xml version="1.0" encoding="utf-8"?>
<ds:datastoreItem xmlns:ds="http://schemas.openxmlformats.org/officeDocument/2006/customXml" ds:itemID="{55814C17-4119-4641-8357-31718FCA054D}">
  <ds:schemaRefs>
    <ds:schemaRef ds:uri="http://schemas.microsoft.com/office/2006/metadata/properties"/>
    <ds:schemaRef ds:uri="http://schemas.microsoft.com/office/infopath/2007/PartnerControls"/>
    <ds:schemaRef ds:uri="703f9cbd-1c87-4eb3-8c0d-fac9394a2f71"/>
    <ds:schemaRef ds:uri="8a3a0262-069f-4a10-8052-38c0cb31b69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Notatskabelon TEKNIQ</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Seniorer i det tekniske erhvervsliv             december 2025</dc:title>
  <dc:subject/>
  <dc:creator>Magnus Bangsvig Rasmussen</dc:creator>
  <keywords/>
  <dc:description/>
  <lastModifiedBy>Michael Degn Christensen</lastModifiedBy>
  <revision>187</revision>
  <dcterms:created xsi:type="dcterms:W3CDTF">2025-10-04T07:02:00.0000000Z</dcterms:created>
  <dcterms:modified xsi:type="dcterms:W3CDTF">2025-12-16T12:53:56.1481369Z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0x01010068862B749CE27F469E0C90ADC4176C10</vt:lpwstr>
  </property>
  <property fmtid="{D5CDD505-2E9C-101B-9397-08002B2CF9AE}" pid="3" name="_dlc_DocIdItemGuid">
    <vt:lpwstr>7cb9b314-5d28-4410-85f0-d523b3665537</vt:lpwstr>
  </property>
  <property fmtid="{D5CDD505-2E9C-101B-9397-08002B2CF9AE}" pid="4" name="MediaServiceImageTags">
    <vt:lpwstr/>
  </property>
  <property fmtid="{D5CDD505-2E9C-101B-9397-08002B2CF9AE}" pid="5" name="docLang">
    <vt:lpwstr>da</vt:lpwstr>
  </property>
</Properties>
</file>