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C7B87" w:rsidP="00555E1C" w:rsidRDefault="002C7B87" w14:paraId="18034CFF" w14:textId="77777777">
      <w:pPr>
        <w:jc w:val="right"/>
      </w:pPr>
    </w:p>
    <w:p w:rsidR="002A713F" w:rsidRDefault="00817012" w14:paraId="489CB5F9" w14:textId="3F1AB004">
      <w:pPr>
        <w:rPr>
          <w:b/>
          <w:bCs/>
        </w:rPr>
      </w:pPr>
      <w:r w:rsidRPr="00632C60">
        <w:rPr>
          <w:b/>
          <w:bCs/>
          <w:sz w:val="28"/>
          <w:szCs w:val="28"/>
        </w:rPr>
        <w:t>Fakta:</w:t>
      </w:r>
      <w:r w:rsidRPr="00632C60" w:rsidR="00B648C5">
        <w:rPr>
          <w:b/>
          <w:bCs/>
          <w:sz w:val="28"/>
          <w:szCs w:val="28"/>
        </w:rPr>
        <w:br/>
      </w:r>
      <w:r w:rsidRPr="00632C60" w:rsidR="00EC3042">
        <w:rPr>
          <w:b/>
          <w:bCs/>
          <w:sz w:val="28"/>
          <w:szCs w:val="28"/>
        </w:rPr>
        <w:t>Analyse af e</w:t>
      </w:r>
      <w:r w:rsidRPr="00632C60" w:rsidR="004A7359">
        <w:rPr>
          <w:b/>
          <w:bCs/>
          <w:sz w:val="28"/>
          <w:szCs w:val="28"/>
        </w:rPr>
        <w:t>lektrikere</w:t>
      </w:r>
      <w:r w:rsidR="002D21E5">
        <w:rPr>
          <w:b/>
          <w:bCs/>
          <w:sz w:val="28"/>
          <w:szCs w:val="28"/>
        </w:rPr>
        <w:t>,</w:t>
      </w:r>
      <w:r w:rsidRPr="00632C60" w:rsidR="004A7359">
        <w:rPr>
          <w:b/>
          <w:bCs/>
          <w:sz w:val="28"/>
          <w:szCs w:val="28"/>
        </w:rPr>
        <w:t xml:space="preserve"> blikkenslagere</w:t>
      </w:r>
      <w:r w:rsidR="002D21E5">
        <w:rPr>
          <w:b/>
          <w:bCs/>
          <w:sz w:val="28"/>
          <w:szCs w:val="28"/>
        </w:rPr>
        <w:t xml:space="preserve"> og VVS’ere</w:t>
      </w:r>
      <w:r w:rsidRPr="00632C60" w:rsidR="00EC3042">
        <w:rPr>
          <w:b/>
          <w:bCs/>
          <w:sz w:val="28"/>
          <w:szCs w:val="28"/>
        </w:rPr>
        <w:t>s</w:t>
      </w:r>
      <w:r w:rsidRPr="00632C60" w:rsidR="004A7359">
        <w:rPr>
          <w:b/>
          <w:bCs/>
          <w:sz w:val="28"/>
          <w:szCs w:val="28"/>
        </w:rPr>
        <w:t xml:space="preserve"> </w:t>
      </w:r>
      <w:r w:rsidRPr="00632C60" w:rsidR="00E46765">
        <w:rPr>
          <w:b/>
          <w:bCs/>
          <w:sz w:val="28"/>
          <w:szCs w:val="28"/>
        </w:rPr>
        <w:t>forsikring ved tab af erhvervsevne (TAE)</w:t>
      </w:r>
    </w:p>
    <w:p w:rsidR="00AA5E6C" w:rsidP="00632C60" w:rsidRDefault="00AA5E6C" w14:paraId="3B4C92F9" w14:textId="77777777">
      <w:pPr>
        <w:rPr>
          <w:b/>
          <w:bCs/>
        </w:rPr>
      </w:pPr>
    </w:p>
    <w:p w:rsidRPr="00305A1F" w:rsidR="00B92F77" w:rsidP="00632C60" w:rsidRDefault="00305A1F" w14:paraId="421BB18C" w14:textId="31D7B521">
      <w:pPr>
        <w:rPr>
          <w:b/>
          <w:bCs/>
        </w:rPr>
      </w:pPr>
      <w:r w:rsidRPr="00305A1F">
        <w:rPr>
          <w:b/>
          <w:bCs/>
        </w:rPr>
        <w:t>Baggrund for analysen</w:t>
      </w:r>
    </w:p>
    <w:p w:rsidR="001C1B6B" w:rsidP="003252F8" w:rsidRDefault="00EC3042" w14:paraId="6ADBF43D" w14:textId="77777777">
      <w:pPr>
        <w:pStyle w:val="Listeafsnit"/>
        <w:numPr>
          <w:ilvl w:val="0"/>
          <w:numId w:val="4"/>
        </w:numPr>
      </w:pPr>
      <w:r w:rsidRPr="00CC5AE3">
        <w:t xml:space="preserve">Analysen er gennemført af </w:t>
      </w:r>
      <w:proofErr w:type="spellStart"/>
      <w:r w:rsidRPr="00CC5AE3" w:rsidR="005B3A9B">
        <w:t>BEDSTpension</w:t>
      </w:r>
      <w:proofErr w:type="spellEnd"/>
      <w:r w:rsidRPr="00CC5AE3" w:rsidR="005B3A9B">
        <w:t xml:space="preserve"> for TEKNIQ</w:t>
      </w:r>
      <w:r w:rsidR="006942AE">
        <w:t xml:space="preserve"> Arbejdsgiverne</w:t>
      </w:r>
      <w:r w:rsidR="0018063D">
        <w:t>.</w:t>
      </w:r>
      <w:r w:rsidRPr="003252F8" w:rsidR="003252F8">
        <w:t xml:space="preserve"> </w:t>
      </w:r>
    </w:p>
    <w:p w:rsidR="0093545F" w:rsidP="0093545F" w:rsidRDefault="0093545F" w14:paraId="0061F03D" w14:textId="77777777">
      <w:pPr>
        <w:pStyle w:val="Listeafsnit"/>
      </w:pPr>
    </w:p>
    <w:p w:rsidR="00495736" w:rsidP="003252F8" w:rsidRDefault="003252F8" w14:paraId="129521BB" w14:textId="7DE86B41">
      <w:pPr>
        <w:pStyle w:val="Listeafsnit"/>
        <w:numPr>
          <w:ilvl w:val="0"/>
          <w:numId w:val="4"/>
        </w:numPr>
      </w:pPr>
      <w:r>
        <w:t>Analysen tager udgangspunkt i behovene hos ansatte i medlemsvirksomhederne under TEKNIQ</w:t>
      </w:r>
      <w:r w:rsidR="006942AE">
        <w:t xml:space="preserve"> Arbejdsgiverne</w:t>
      </w:r>
      <w:r>
        <w:t xml:space="preserve"> for den væsentligste forsikring</w:t>
      </w:r>
      <w:r w:rsidR="002D21E5">
        <w:t xml:space="preserve"> i deres pensionsordning</w:t>
      </w:r>
      <w:r>
        <w:t xml:space="preserve"> – </w:t>
      </w:r>
      <w:r w:rsidR="009C17F9">
        <w:t>t</w:t>
      </w:r>
      <w:r>
        <w:t xml:space="preserve">ab af </w:t>
      </w:r>
      <w:r w:rsidR="009C17F9">
        <w:t>a</w:t>
      </w:r>
      <w:r>
        <w:t>rbejdsevne</w:t>
      </w:r>
      <w:r w:rsidR="00250B01">
        <w:t xml:space="preserve"> (TAE)</w:t>
      </w:r>
      <w:r>
        <w:t>. Behovet er bestemt af den faktiske løn, civil status og samspillet med de mulige offentlige ydelser</w:t>
      </w:r>
      <w:r w:rsidR="00827CFE">
        <w:t xml:space="preserve"> samt beskatning</w:t>
      </w:r>
      <w:r>
        <w:t>.</w:t>
      </w:r>
    </w:p>
    <w:p w:rsidR="0093545F" w:rsidP="0093545F" w:rsidRDefault="0093545F" w14:paraId="5B8C8475" w14:textId="77777777">
      <w:pPr>
        <w:pStyle w:val="Listeafsnit"/>
      </w:pPr>
    </w:p>
    <w:p w:rsidR="003252F8" w:rsidP="003252F8" w:rsidRDefault="00E46765" w14:paraId="1D36DD55" w14:textId="484A0AC8">
      <w:pPr>
        <w:pStyle w:val="Listeafsnit"/>
        <w:numPr>
          <w:ilvl w:val="0"/>
          <w:numId w:val="4"/>
        </w:numPr>
      </w:pPr>
      <w:r>
        <w:t xml:space="preserve">I dag har </w:t>
      </w:r>
      <w:r w:rsidR="00340240">
        <w:t xml:space="preserve">de fleste ansatte på TEKNIQ Arbejdsgivernes overenskomstområder en arbejdsmarkedspension hos enten </w:t>
      </w:r>
      <w:proofErr w:type="spellStart"/>
      <w:r w:rsidR="00340240">
        <w:t>PensionDanmark</w:t>
      </w:r>
      <w:proofErr w:type="spellEnd"/>
      <w:r w:rsidR="00340240">
        <w:t xml:space="preserve"> eller Industriens Pension.</w:t>
      </w:r>
    </w:p>
    <w:p w:rsidR="0093545F" w:rsidP="0093545F" w:rsidRDefault="0093545F" w14:paraId="119CC979" w14:textId="77777777">
      <w:pPr>
        <w:pStyle w:val="Listeafsnit"/>
      </w:pPr>
    </w:p>
    <w:p w:rsidR="004C7909" w:rsidP="00F42070" w:rsidRDefault="00BA142F" w14:paraId="2327E260" w14:textId="275BA8F1">
      <w:pPr>
        <w:pStyle w:val="Listeafsnit"/>
        <w:numPr>
          <w:ilvl w:val="0"/>
          <w:numId w:val="4"/>
        </w:numPr>
      </w:pPr>
      <w:r>
        <w:t>V</w:t>
      </w:r>
      <w:r w:rsidR="00F731C5">
        <w:t xml:space="preserve">algmuligheder og standarddækninger </w:t>
      </w:r>
      <w:r>
        <w:t xml:space="preserve">for TAE </w:t>
      </w:r>
      <w:r w:rsidR="00F42070">
        <w:t xml:space="preserve">hos </w:t>
      </w:r>
      <w:proofErr w:type="spellStart"/>
      <w:r w:rsidR="00F42070">
        <w:t>PensionDanmark</w:t>
      </w:r>
      <w:proofErr w:type="spellEnd"/>
      <w:r w:rsidR="00F42070">
        <w:t xml:space="preserve"> og Industriens Pension</w:t>
      </w:r>
      <w:r w:rsidR="004C7909">
        <w:t>:</w:t>
      </w:r>
    </w:p>
    <w:p w:rsidR="00F42070" w:rsidP="00F42070" w:rsidRDefault="00F42070" w14:paraId="046F372E" w14:textId="77777777">
      <w:pPr>
        <w:pStyle w:val="Listeafsnit"/>
      </w:pPr>
    </w:p>
    <w:p w:rsidR="00F42070" w:rsidP="004C7909" w:rsidRDefault="00F42070" w14:paraId="72BC96D1" w14:textId="77B7D1A6">
      <w:pPr>
        <w:pStyle w:val="Listeafsnit"/>
        <w:rPr>
          <w:i/>
          <w:iCs/>
        </w:rPr>
      </w:pPr>
      <w:r w:rsidRPr="002C68E8">
        <w:rPr>
          <w:i/>
          <w:iCs/>
        </w:rPr>
        <w:t>Figur 1</w:t>
      </w:r>
      <w:r w:rsidR="00F731C5">
        <w:rPr>
          <w:i/>
          <w:iCs/>
        </w:rPr>
        <w:t>:</w:t>
      </w:r>
    </w:p>
    <w:p w:rsidR="004C7909" w:rsidP="004C7909" w:rsidRDefault="004C7909" w14:paraId="2F55118B" w14:textId="15919A43">
      <w:pPr>
        <w:pStyle w:val="Listeafsnit"/>
      </w:pPr>
      <w:r w:rsidRPr="004C7909">
        <w:rPr>
          <w:noProof/>
        </w:rPr>
        <w:drawing>
          <wp:inline distT="0" distB="0" distL="0" distR="0" wp14:anchorId="53B0FE08" wp14:editId="39629241">
            <wp:extent cx="5686425" cy="952500"/>
            <wp:effectExtent l="0" t="0" r="9525" b="0"/>
            <wp:docPr id="42619961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42F" w:rsidP="00F42070" w:rsidRDefault="00BA142F" w14:paraId="59EE2B17" w14:textId="77777777">
      <w:pPr>
        <w:pStyle w:val="Listeafsnit"/>
        <w:rPr>
          <w:i/>
          <w:iCs/>
        </w:rPr>
      </w:pPr>
    </w:p>
    <w:p w:rsidRPr="002C68E8" w:rsidR="00F42070" w:rsidP="00F42070" w:rsidRDefault="00F42070" w14:paraId="47F2C5CA" w14:textId="5F7300AF">
      <w:pPr>
        <w:pStyle w:val="Listeafsnit"/>
        <w:rPr>
          <w:i/>
          <w:iCs/>
        </w:rPr>
      </w:pPr>
      <w:r w:rsidRPr="002C68E8">
        <w:rPr>
          <w:i/>
          <w:iCs/>
        </w:rPr>
        <w:t>Figur 2</w:t>
      </w:r>
      <w:r w:rsidR="00F731C5">
        <w:rPr>
          <w:i/>
          <w:iCs/>
        </w:rPr>
        <w:t>:</w:t>
      </w:r>
    </w:p>
    <w:p w:rsidR="00F42070" w:rsidP="00F42070" w:rsidRDefault="004C7909" w14:paraId="479AA595" w14:textId="010BB02C">
      <w:pPr>
        <w:pStyle w:val="Listeafsnit"/>
      </w:pPr>
      <w:r w:rsidRPr="004C7909">
        <w:rPr>
          <w:noProof/>
        </w:rPr>
        <w:drawing>
          <wp:inline distT="0" distB="0" distL="0" distR="0" wp14:anchorId="5A64F28C" wp14:editId="253518F8">
            <wp:extent cx="5686425" cy="952500"/>
            <wp:effectExtent l="0" t="0" r="9525" b="0"/>
            <wp:docPr id="32448976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070" w:rsidP="00F42070" w:rsidRDefault="00F42070" w14:paraId="344C7B60" w14:textId="77777777"/>
    <w:p w:rsidRPr="00305A1F" w:rsidR="007449FD" w:rsidP="00305A1F" w:rsidRDefault="00305A1F" w14:paraId="5C964845" w14:textId="5A6F4E02">
      <w:pPr>
        <w:rPr>
          <w:b/>
          <w:bCs/>
        </w:rPr>
      </w:pPr>
      <w:r w:rsidRPr="00305A1F">
        <w:rPr>
          <w:b/>
          <w:bCs/>
        </w:rPr>
        <w:t>Hovedkonklusioner fra analysen</w:t>
      </w:r>
    </w:p>
    <w:p w:rsidR="00156147" w:rsidP="00A30697" w:rsidRDefault="00A30697" w14:paraId="0CEFADDA" w14:textId="477388D7">
      <w:pPr>
        <w:pStyle w:val="Listeafsnit"/>
        <w:numPr>
          <w:ilvl w:val="0"/>
          <w:numId w:val="4"/>
        </w:numPr>
      </w:pPr>
      <w:r w:rsidRPr="007B16A8">
        <w:t xml:space="preserve">Analysen viser, at de valgmuligheder og dækninger, som tilbydes medarbejderne på </w:t>
      </w:r>
      <w:r w:rsidRPr="007B16A8" w:rsidR="00AA0F4D">
        <w:t>TEKNIQ</w:t>
      </w:r>
      <w:r w:rsidR="009112DA">
        <w:t xml:space="preserve"> </w:t>
      </w:r>
      <w:r w:rsidRPr="007B16A8" w:rsidR="006942AE">
        <w:t>Arbejdsgiverne</w:t>
      </w:r>
      <w:r w:rsidRPr="007B16A8" w:rsidR="00AA0F4D">
        <w:t>s</w:t>
      </w:r>
      <w:r w:rsidRPr="007B16A8">
        <w:t xml:space="preserve"> område</w:t>
      </w:r>
      <w:r w:rsidR="00BB36A3">
        <w:t xml:space="preserve"> i en</w:t>
      </w:r>
      <w:r w:rsidR="00495F91">
        <w:t xml:space="preserve"> arbejdsmarkedspension</w:t>
      </w:r>
      <w:r w:rsidR="009112DA">
        <w:t>s</w:t>
      </w:r>
      <w:r w:rsidR="00BB36A3">
        <w:t>kasse</w:t>
      </w:r>
      <w:r w:rsidRPr="007B16A8">
        <w:t xml:space="preserve"> er utilstrækkelige. Det gælder især i forløbet </w:t>
      </w:r>
      <w:r w:rsidR="00A06FF1">
        <w:t>frem mod</w:t>
      </w:r>
      <w:r w:rsidRPr="007B16A8">
        <w:t xml:space="preserve"> tilkendelse af førtidspension</w:t>
      </w:r>
      <w:r w:rsidRPr="007B16A8" w:rsidR="00D965D6">
        <w:t xml:space="preserve">. </w:t>
      </w:r>
    </w:p>
    <w:p w:rsidR="0093545F" w:rsidP="0093545F" w:rsidRDefault="0093545F" w14:paraId="154DDBE9" w14:textId="77777777">
      <w:pPr>
        <w:pStyle w:val="Listeafsnit"/>
      </w:pPr>
    </w:p>
    <w:p w:rsidRPr="00B92F77" w:rsidR="00AC78AA" w:rsidP="00A30697" w:rsidRDefault="001560EC" w14:paraId="70A53AFD" w14:textId="247E190B">
      <w:pPr>
        <w:pStyle w:val="Listeafsnit"/>
        <w:numPr>
          <w:ilvl w:val="0"/>
          <w:numId w:val="4"/>
        </w:numPr>
      </w:pPr>
      <w:r>
        <w:t xml:space="preserve">For at </w:t>
      </w:r>
      <w:r w:rsidR="00F2211A">
        <w:t xml:space="preserve">sikre </w:t>
      </w:r>
      <w:r w:rsidR="008500B9">
        <w:t xml:space="preserve">sig </w:t>
      </w:r>
      <w:r w:rsidR="00347717">
        <w:t xml:space="preserve">tilstrækkeligt </w:t>
      </w:r>
      <w:r w:rsidR="008500B9">
        <w:t xml:space="preserve">med kun </w:t>
      </w:r>
      <w:r w:rsidR="00061DCE">
        <w:t xml:space="preserve">et </w:t>
      </w:r>
      <w:r w:rsidR="00F061E1">
        <w:t>rimeligt</w:t>
      </w:r>
      <w:r w:rsidR="009E0D58">
        <w:t xml:space="preserve"> </w:t>
      </w:r>
      <w:r w:rsidR="009B79EA">
        <w:t>begrænse</w:t>
      </w:r>
      <w:r w:rsidR="00A05755">
        <w:t>t</w:t>
      </w:r>
      <w:r w:rsidR="009B79EA">
        <w:t xml:space="preserve"> fald i den samlede</w:t>
      </w:r>
      <w:r w:rsidR="00416135">
        <w:t xml:space="preserve"> udbetaling</w:t>
      </w:r>
      <w:r w:rsidR="00CE47C1">
        <w:t xml:space="preserve"> før skat</w:t>
      </w:r>
      <w:r w:rsidRPr="00B92F77" w:rsidR="00B92F77">
        <w:t xml:space="preserve"> </w:t>
      </w:r>
      <w:r w:rsidR="003732E7">
        <w:t xml:space="preserve">i de forskellige faser </w:t>
      </w:r>
      <w:r w:rsidR="00CE09CD">
        <w:t>af et typisk forløb</w:t>
      </w:r>
      <w:r w:rsidR="00AA0AAA">
        <w:t>,</w:t>
      </w:r>
      <w:r w:rsidR="00CE09CD">
        <w:t xml:space="preserve"> </w:t>
      </w:r>
      <w:r w:rsidR="00EC7A9E">
        <w:t xml:space="preserve">fra </w:t>
      </w:r>
      <w:r w:rsidR="00CE09CD">
        <w:t xml:space="preserve">en ansat er i arbejde til endelig tilkendelse af </w:t>
      </w:r>
      <w:r w:rsidR="00CE09CD">
        <w:lastRenderedPageBreak/>
        <w:t>førtidspension</w:t>
      </w:r>
      <w:r w:rsidR="004C0389">
        <w:t xml:space="preserve">, </w:t>
      </w:r>
      <w:r w:rsidR="00650025">
        <w:t>kræves en</w:t>
      </w:r>
      <w:r w:rsidR="00E0712C">
        <w:t xml:space="preserve"> </w:t>
      </w:r>
      <w:r w:rsidR="00833449">
        <w:t>standard</w:t>
      </w:r>
      <w:r w:rsidR="00E0712C">
        <w:t>dækning i et pensionsselskab</w:t>
      </w:r>
      <w:r w:rsidR="00896856">
        <w:t xml:space="preserve"> med maksimal</w:t>
      </w:r>
      <w:r w:rsidR="00AB41C1">
        <w:t xml:space="preserve"> udbetaling</w:t>
      </w:r>
      <w:r w:rsidR="00C3750F">
        <w:t xml:space="preserve"> </w:t>
      </w:r>
      <w:r w:rsidR="004C0389">
        <w:t xml:space="preserve">på 40% af </w:t>
      </w:r>
      <w:r w:rsidR="00B36470">
        <w:t xml:space="preserve">den pensionsgivende løn </w:t>
      </w:r>
      <w:r w:rsidR="00550F58">
        <w:t>(</w:t>
      </w:r>
      <w:r w:rsidR="00A05755">
        <w:t>ekskl.</w:t>
      </w:r>
      <w:r w:rsidR="00550F58">
        <w:t xml:space="preserve"> alle pensionsbidrag</w:t>
      </w:r>
      <w:r w:rsidR="00B36470">
        <w:t>)</w:t>
      </w:r>
      <w:r w:rsidR="00677822">
        <w:t>:</w:t>
      </w:r>
    </w:p>
    <w:p w:rsidR="007449FD" w:rsidP="007449FD" w:rsidRDefault="007449FD" w14:paraId="40853742" w14:textId="77777777">
      <w:pPr>
        <w:pStyle w:val="Listeafsnit"/>
      </w:pPr>
    </w:p>
    <w:p w:rsidRPr="006430DE" w:rsidR="00A82F8E" w:rsidP="00A82F8E" w:rsidRDefault="006430DE" w14:paraId="01D4175D" w14:textId="657B9A7F">
      <w:pPr>
        <w:pStyle w:val="Listeafsnit"/>
        <w:rPr>
          <w:i/>
          <w:iCs/>
        </w:rPr>
      </w:pPr>
      <w:r w:rsidRPr="006430DE">
        <w:rPr>
          <w:i/>
          <w:iCs/>
        </w:rPr>
        <w:t>Figur 3</w:t>
      </w:r>
      <w:r w:rsidR="00F731C5">
        <w:rPr>
          <w:i/>
          <w:iCs/>
        </w:rPr>
        <w:t>:</w:t>
      </w:r>
      <w:r w:rsidR="004C7909">
        <w:rPr>
          <w:i/>
          <w:iCs/>
        </w:rPr>
        <w:t xml:space="preserve"> Nødvendig dækning med rimeligt begrænset fald i indkomst før skat</w:t>
      </w:r>
    </w:p>
    <w:p w:rsidR="006430DE" w:rsidP="00A82F8E" w:rsidRDefault="006430DE" w14:paraId="4124BD51" w14:textId="273FD352">
      <w:pPr>
        <w:pStyle w:val="Listeafsnit"/>
      </w:pPr>
      <w:r>
        <w:rPr>
          <w:noProof/>
        </w:rPr>
        <w:drawing>
          <wp:inline distT="0" distB="0" distL="0" distR="0" wp14:anchorId="569AAFCD" wp14:editId="5946E909">
            <wp:extent cx="5566229" cy="3087370"/>
            <wp:effectExtent l="0" t="0" r="0" b="0"/>
            <wp:docPr id="1281949657" name="Billede 1" descr="Et billede, der indeholder tekst, skærmbillede, diagram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949657" name="Billede 1" descr="Et billede, der indeholder tekst, skærmbillede, diagram, Kurve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8182" cy="309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0DE" w:rsidP="00A82F8E" w:rsidRDefault="006430DE" w14:paraId="6EECA976" w14:textId="77777777">
      <w:pPr>
        <w:pStyle w:val="Listeafsnit"/>
      </w:pPr>
    </w:p>
    <w:p w:rsidR="00305A1F" w:rsidP="00544708" w:rsidRDefault="00EC7A9E" w14:paraId="7C979BAA" w14:textId="772A78F4">
      <w:pPr>
        <w:pStyle w:val="Listeafsnit"/>
        <w:numPr>
          <w:ilvl w:val="0"/>
          <w:numId w:val="4"/>
        </w:numPr>
      </w:pPr>
      <w:r>
        <w:t>Figuren er</w:t>
      </w:r>
      <w:r w:rsidR="000D43A0">
        <w:t xml:space="preserve"> baseret på en medianindkomst for en elektriker</w:t>
      </w:r>
      <w:r w:rsidR="008206FD">
        <w:t xml:space="preserve"> på godt 550.000 kr.</w:t>
      </w:r>
      <w:r w:rsidR="00F26171">
        <w:t>, og d</w:t>
      </w:r>
      <w:r>
        <w:t xml:space="preserve">en blå søjle viser lønindkomst </w:t>
      </w:r>
      <w:r w:rsidR="009F70D2">
        <w:t xml:space="preserve">efter fratræk af </w:t>
      </w:r>
      <w:r w:rsidR="00FB17F0">
        <w:t>pensionsbidrag og AMB</w:t>
      </w:r>
      <w:r w:rsidR="00F26171">
        <w:t xml:space="preserve"> (se mere nedenfor under ’Forudsætninger for analysen’)</w:t>
      </w:r>
      <w:r w:rsidR="00FB17F0">
        <w:t>.</w:t>
      </w:r>
      <w:r w:rsidR="00E3376A">
        <w:t xml:space="preserve"> </w:t>
      </w:r>
      <w:r w:rsidR="00F26171">
        <w:t>De røde søjler viser den TAE-dækning (før skat), de</w:t>
      </w:r>
      <w:r w:rsidR="000D1C76">
        <w:t>r udbetales</w:t>
      </w:r>
      <w:r w:rsidR="0039486C">
        <w:t xml:space="preserve"> af pensionsselskabet</w:t>
      </w:r>
      <w:r w:rsidR="00061DCE">
        <w:t>. D</w:t>
      </w:r>
      <w:r w:rsidR="004D2F40">
        <w:t xml:space="preserve">og </w:t>
      </w:r>
      <w:r w:rsidR="0039486C">
        <w:t>reduc</w:t>
      </w:r>
      <w:r w:rsidR="00160902">
        <w:t>eres</w:t>
      </w:r>
      <w:r w:rsidR="004D2F40">
        <w:t xml:space="preserve"> beløbet</w:t>
      </w:r>
      <w:r w:rsidR="00F05935">
        <w:t>,</w:t>
      </w:r>
      <w:r w:rsidR="00160902">
        <w:t xml:space="preserve"> </w:t>
      </w:r>
      <w:r w:rsidR="00336F82">
        <w:t>hvis den ansattes indkomst overst</w:t>
      </w:r>
      <w:r w:rsidR="003D16E9">
        <w:t>iger den tidligere løn (</w:t>
      </w:r>
      <w:r w:rsidR="00846D5E">
        <w:t xml:space="preserve">efter </w:t>
      </w:r>
      <w:r w:rsidR="00EF4FDE">
        <w:t>AMB og alle pensionsindbetalinger)</w:t>
      </w:r>
      <w:r w:rsidR="00D2148B">
        <w:t>. D</w:t>
      </w:r>
      <w:r w:rsidR="00AF5A1F">
        <w:t xml:space="preserve">et kan fx ske ved </w:t>
      </w:r>
      <w:r w:rsidR="00D2148B">
        <w:t>f</w:t>
      </w:r>
      <w:r w:rsidR="00AF5A1F">
        <w:t>lexjob</w:t>
      </w:r>
      <w:r w:rsidR="00D2148B">
        <w:t>. Omvendt</w:t>
      </w:r>
      <w:r w:rsidR="00EB2546">
        <w:t xml:space="preserve"> </w:t>
      </w:r>
      <w:r w:rsidR="00AF5A1F">
        <w:t>øge</w:t>
      </w:r>
      <w:r w:rsidR="003475CD">
        <w:t>r pensionsselskabet TAE</w:t>
      </w:r>
      <w:r w:rsidR="00D2148B">
        <w:t>-</w:t>
      </w:r>
      <w:r w:rsidR="003475CD">
        <w:t>udbetalingen med en supplerende ydelse</w:t>
      </w:r>
      <w:r w:rsidR="00EB2546">
        <w:t xml:space="preserve"> </w:t>
      </w:r>
      <w:r w:rsidR="00AF5A1F">
        <w:t xml:space="preserve">under </w:t>
      </w:r>
      <w:r w:rsidR="00D2148B">
        <w:t>r</w:t>
      </w:r>
      <w:r w:rsidR="00AF5A1F">
        <w:t>essourceforløb</w:t>
      </w:r>
      <w:r w:rsidR="00DF3A68">
        <w:t>, hvilket er nødvendigt</w:t>
      </w:r>
      <w:r w:rsidR="00A61A5D">
        <w:t>,</w:t>
      </w:r>
      <w:r w:rsidR="00DF3A68">
        <w:t xml:space="preserve"> hvis</w:t>
      </w:r>
      <w:r w:rsidR="00B95647">
        <w:t xml:space="preserve"> de</w:t>
      </w:r>
      <w:r w:rsidR="00BB1E41">
        <w:t>n ansatte</w:t>
      </w:r>
      <w:r w:rsidR="00F26171">
        <w:t xml:space="preserve"> skal have en rimelig dækning ift. sin løn</w:t>
      </w:r>
      <w:r w:rsidR="00103550">
        <w:t>.</w:t>
      </w:r>
      <w:r w:rsidR="00657135">
        <w:t xml:space="preserve"> De grønne søjler</w:t>
      </w:r>
      <w:r w:rsidR="003622BA">
        <w:t xml:space="preserve"> viser de offentlige ydelser, som kan reduceres (eller </w:t>
      </w:r>
      <w:r w:rsidR="00D30A81">
        <w:t xml:space="preserve">helt </w:t>
      </w:r>
      <w:r w:rsidR="003622BA">
        <w:t xml:space="preserve">falde bort) ved anden indkomst. </w:t>
      </w:r>
    </w:p>
    <w:p w:rsidR="00305A1F" w:rsidP="00A82F8E" w:rsidRDefault="00305A1F" w14:paraId="14628E10" w14:textId="77777777">
      <w:pPr>
        <w:pStyle w:val="Listeafsnit"/>
      </w:pPr>
    </w:p>
    <w:p w:rsidR="00B92F77" w:rsidP="00544708" w:rsidRDefault="00305A1F" w14:paraId="437DB4FD" w14:textId="6C5858E3">
      <w:pPr>
        <w:pStyle w:val="Listeafsnit"/>
        <w:numPr>
          <w:ilvl w:val="0"/>
          <w:numId w:val="4"/>
        </w:numPr>
      </w:pPr>
      <w:r>
        <w:t xml:space="preserve">Figuren viser, at TAE-beløbet bør være ca. 200.000 kr. </w:t>
      </w:r>
      <w:r w:rsidR="005C08D7">
        <w:t xml:space="preserve">dog </w:t>
      </w:r>
      <w:r>
        <w:t>afhængigt af, hvor i forløbet den ansatte er</w:t>
      </w:r>
      <w:r w:rsidR="00267617">
        <w:t>.</w:t>
      </w:r>
      <w:r w:rsidR="0002435A">
        <w:t xml:space="preserve"> </w:t>
      </w:r>
      <w:r w:rsidR="00267617">
        <w:t>U</w:t>
      </w:r>
      <w:r w:rsidR="0002435A">
        <w:t xml:space="preserve">nder </w:t>
      </w:r>
      <w:r w:rsidR="00267617">
        <w:t xml:space="preserve">et </w:t>
      </w:r>
      <w:r w:rsidR="0002435A">
        <w:t>ressourceforløb er der behov for en supplerende TAE</w:t>
      </w:r>
      <w:r w:rsidR="00267617">
        <w:t>-</w:t>
      </w:r>
      <w:r w:rsidR="0002435A">
        <w:t>udbetaling</w:t>
      </w:r>
      <w:r>
        <w:t xml:space="preserve">. </w:t>
      </w:r>
      <w:r w:rsidR="00A67F03">
        <w:t xml:space="preserve">Standarddækningerne hos </w:t>
      </w:r>
      <w:proofErr w:type="spellStart"/>
      <w:r w:rsidR="008925BA">
        <w:t>PensionDanmark</w:t>
      </w:r>
      <w:proofErr w:type="spellEnd"/>
      <w:r w:rsidR="006431C3">
        <w:t xml:space="preserve"> og Industriens Pension er hhv. 80.000 kr. og 72.000 kr., jf. figur 1 og 2. Det er altså en </w:t>
      </w:r>
      <w:r w:rsidR="002C4710">
        <w:t xml:space="preserve">utilstrækkelig dækning – især </w:t>
      </w:r>
      <w:r w:rsidR="00132584">
        <w:t>ved ressourceforløb og fleksjob.</w:t>
      </w:r>
      <w:r w:rsidR="00AC1223">
        <w:t xml:space="preserve"> </w:t>
      </w:r>
      <w:r w:rsidRPr="00544708" w:rsidR="00544708">
        <w:t>S</w:t>
      </w:r>
      <w:r w:rsidRPr="00544708" w:rsidR="00AC1223">
        <w:t xml:space="preserve">elv </w:t>
      </w:r>
      <w:r w:rsidRPr="00544708" w:rsidR="00F948AD">
        <w:t>ved valg af højere ydelse</w:t>
      </w:r>
      <w:r w:rsidR="00DA26A2">
        <w:t>,</w:t>
      </w:r>
      <w:r w:rsidRPr="00544708" w:rsidR="006C073A">
        <w:t xml:space="preserve"> hvilket kun er muligt hos </w:t>
      </w:r>
      <w:proofErr w:type="spellStart"/>
      <w:r w:rsidRPr="00544708" w:rsidR="006C073A">
        <w:t>PensionDanmark</w:t>
      </w:r>
      <w:proofErr w:type="spellEnd"/>
      <w:r w:rsidR="00DA26A2">
        <w:t>,</w:t>
      </w:r>
      <w:r w:rsidRPr="00544708" w:rsidR="006C073A">
        <w:t xml:space="preserve"> er der underdækning</w:t>
      </w:r>
      <w:r w:rsidRPr="00544708" w:rsidR="00544708">
        <w:t>.</w:t>
      </w:r>
    </w:p>
    <w:p w:rsidR="00A57377" w:rsidP="00A57377" w:rsidRDefault="00A57377" w14:paraId="4E722D8F" w14:textId="77777777">
      <w:pPr>
        <w:pStyle w:val="Listeafsnit"/>
      </w:pPr>
    </w:p>
    <w:p w:rsidR="00A57377" w:rsidP="003D3731" w:rsidRDefault="00A57377" w14:paraId="6D3C2C3B" w14:textId="7A8112BD">
      <w:pPr>
        <w:pStyle w:val="Listeafsnit"/>
        <w:numPr>
          <w:ilvl w:val="0"/>
          <w:numId w:val="4"/>
        </w:numPr>
      </w:pPr>
      <w:r>
        <w:t xml:space="preserve">Figuren </w:t>
      </w:r>
      <w:r w:rsidR="00A00541">
        <w:t xml:space="preserve">med </w:t>
      </w:r>
      <w:r w:rsidR="00DA26A2">
        <w:t xml:space="preserve">dækning </w:t>
      </w:r>
      <w:r w:rsidR="00A00541">
        <w:t xml:space="preserve">før skat </w:t>
      </w:r>
      <w:r w:rsidR="00F660D1">
        <w:t xml:space="preserve">(efter AMB) </w:t>
      </w:r>
      <w:r>
        <w:t xml:space="preserve">er </w:t>
      </w:r>
      <w:r w:rsidR="00270819">
        <w:t>beregne</w:t>
      </w:r>
      <w:r w:rsidR="00CB63F0">
        <w:t xml:space="preserve">t </w:t>
      </w:r>
      <w:r w:rsidR="0037781E">
        <w:t xml:space="preserve">på baggrund af </w:t>
      </w:r>
      <w:r w:rsidR="00CB63F0">
        <w:t>medianindkomst</w:t>
      </w:r>
      <w:r w:rsidR="0037781E">
        <w:t>en</w:t>
      </w:r>
      <w:r w:rsidR="00EB695B">
        <w:t>. H</w:t>
      </w:r>
      <w:r w:rsidR="00FE387A">
        <w:t>ertil kommer</w:t>
      </w:r>
      <w:r w:rsidR="001F2A1F">
        <w:t>,</w:t>
      </w:r>
      <w:r w:rsidR="00FE387A">
        <w:t xml:space="preserve"> at f</w:t>
      </w:r>
      <w:r w:rsidR="00E222FE">
        <w:t xml:space="preserve">orskel i skattefradrag </w:t>
      </w:r>
      <w:r w:rsidR="00315F58">
        <w:t>for</w:t>
      </w:r>
      <w:r w:rsidR="00D32814">
        <w:t xml:space="preserve"> en</w:t>
      </w:r>
      <w:r w:rsidR="00315F58">
        <w:t xml:space="preserve"> person i arbejde med pensionsindbetalinger</w:t>
      </w:r>
      <w:r w:rsidR="001F2A1F">
        <w:t xml:space="preserve"> –</w:t>
      </w:r>
      <w:r w:rsidR="00315F58">
        <w:t xml:space="preserve"> </w:t>
      </w:r>
      <w:r w:rsidR="00D32814">
        <w:t xml:space="preserve">og </w:t>
      </w:r>
      <w:r w:rsidR="00BA7871">
        <w:t>personer udenfor arbejdsmarkedet</w:t>
      </w:r>
      <w:r w:rsidR="00EF3F11">
        <w:t>, som godt nok ikke skal betale AMB, men som mister fx beskæftigelsesfradrag m</w:t>
      </w:r>
      <w:r w:rsidR="001F2A1F">
        <w:t>v. –</w:t>
      </w:r>
      <w:r w:rsidR="00EB695B">
        <w:t xml:space="preserve"> </w:t>
      </w:r>
      <w:r w:rsidR="00EF3F11">
        <w:t>typisk samlet vil udgøre ca. 4% af tidligere løn. Hvis pensionsselskabet derfor supplerer 100</w:t>
      </w:r>
      <w:r w:rsidR="00EB695B">
        <w:t xml:space="preserve"> </w:t>
      </w:r>
      <w:r w:rsidR="00EF3F11">
        <w:t>% op til tidligere løn før skat, er dækningen af den disponible indkomst kun ca. 96% af den tidligere disponible indkomst.</w:t>
      </w:r>
    </w:p>
    <w:p w:rsidR="00A61A5D" w:rsidP="00A61A5D" w:rsidRDefault="00A61A5D" w14:paraId="0CD59706" w14:textId="77777777">
      <w:pPr>
        <w:pStyle w:val="Listeafsnit"/>
      </w:pPr>
    </w:p>
    <w:p w:rsidR="00A61A5D" w:rsidP="00A61A5D" w:rsidRDefault="00A61A5D" w14:paraId="4D81EFB3" w14:textId="77777777">
      <w:pPr>
        <w:pStyle w:val="Listeafsnit"/>
      </w:pPr>
    </w:p>
    <w:p w:rsidR="00CF2F1F" w:rsidP="00CF2F1F" w:rsidRDefault="00CF2F1F" w14:paraId="14020BA0" w14:textId="77777777">
      <w:pPr>
        <w:pStyle w:val="Listeafsnit"/>
      </w:pPr>
    </w:p>
    <w:p w:rsidR="00CF2F1F" w:rsidP="00CF2F1F" w:rsidRDefault="00CF2F1F" w14:paraId="33E53F8A" w14:textId="253AEEE7">
      <w:r>
        <w:rPr>
          <w:b/>
          <w:bCs/>
        </w:rPr>
        <w:lastRenderedPageBreak/>
        <w:t xml:space="preserve">Dækningsgrad </w:t>
      </w:r>
      <w:r w:rsidR="00BF2589">
        <w:rPr>
          <w:b/>
          <w:bCs/>
        </w:rPr>
        <w:t xml:space="preserve">ved førtidspension </w:t>
      </w:r>
      <w:r>
        <w:rPr>
          <w:b/>
          <w:bCs/>
        </w:rPr>
        <w:t xml:space="preserve">er stærkt </w:t>
      </w:r>
      <w:r w:rsidR="00BF2589">
        <w:rPr>
          <w:b/>
          <w:bCs/>
        </w:rPr>
        <w:t>afhængig</w:t>
      </w:r>
      <w:r>
        <w:rPr>
          <w:b/>
          <w:bCs/>
        </w:rPr>
        <w:t xml:space="preserve"> af nuværende løn</w:t>
      </w:r>
    </w:p>
    <w:p w:rsidR="00EF3F11" w:rsidP="003D3731" w:rsidRDefault="00BF2589" w14:paraId="7FCA55DB" w14:textId="5E2A182D">
      <w:pPr>
        <w:pStyle w:val="Listeafsnit"/>
        <w:numPr>
          <w:ilvl w:val="0"/>
          <w:numId w:val="4"/>
        </w:numPr>
      </w:pPr>
      <w:r>
        <w:t xml:space="preserve">En </w:t>
      </w:r>
      <w:r w:rsidR="00EF3F11">
        <w:t>rimelig dækning</w:t>
      </w:r>
      <w:r w:rsidR="00325317">
        <w:t>sgrad</w:t>
      </w:r>
      <w:r>
        <w:t xml:space="preserve"> bør måles på</w:t>
      </w:r>
      <w:r w:rsidR="00023960">
        <w:t>,</w:t>
      </w:r>
      <w:r w:rsidR="00325317">
        <w:t xml:space="preserve"> hvor mange procent man </w:t>
      </w:r>
      <w:r w:rsidR="00023960">
        <w:t xml:space="preserve">har </w:t>
      </w:r>
      <w:r w:rsidR="00325317">
        <w:t xml:space="preserve">i disponibel indkomst efter skat som førtidspensionist i forhold </w:t>
      </w:r>
      <w:r>
        <w:t xml:space="preserve">til </w:t>
      </w:r>
      <w:r w:rsidR="00325317">
        <w:t>nuværende løn efter skat</w:t>
      </w:r>
      <w:r w:rsidR="00023960">
        <w:t xml:space="preserve">. </w:t>
      </w:r>
      <w:r w:rsidR="00325317">
        <w:t xml:space="preserve">På grund af de ovennævnte forhold er der en meget </w:t>
      </w:r>
      <w:r>
        <w:t xml:space="preserve">stor </w:t>
      </w:r>
      <w:r w:rsidR="00325317">
        <w:t>forskel i dækningsgrad ved 40% TAE i forhold til lønindkomst, her illustreret som procenter af medianindkomsten og den heraf følgende dækningsgrad:</w:t>
      </w:r>
    </w:p>
    <w:p w:rsidR="00325317" w:rsidP="00325317" w:rsidRDefault="00325317" w14:paraId="66A051AF" w14:textId="77777777">
      <w:pPr>
        <w:pStyle w:val="Listeafsnit"/>
      </w:pPr>
    </w:p>
    <w:p w:rsidRPr="00C246F9" w:rsidR="00C246F9" w:rsidP="00325317" w:rsidRDefault="00C246F9" w14:paraId="171FF2E1" w14:textId="6BA3C9F5">
      <w:pPr>
        <w:pStyle w:val="Listeafsnit"/>
        <w:rPr>
          <w:i/>
          <w:iCs/>
        </w:rPr>
      </w:pPr>
      <w:r w:rsidRPr="00C246F9">
        <w:rPr>
          <w:i/>
          <w:iCs/>
        </w:rPr>
        <w:t>Figur 4:</w:t>
      </w:r>
      <w:r>
        <w:rPr>
          <w:i/>
          <w:iCs/>
        </w:rPr>
        <w:t xml:space="preserve"> Dækningsgrad af tidligere disponibel indkomst efter skat efter tilkendelse af førtidspension</w:t>
      </w:r>
    </w:p>
    <w:p w:rsidR="00325317" w:rsidP="00BF2589" w:rsidRDefault="002E3231" w14:paraId="574F5E72" w14:textId="248AC100">
      <w:pPr>
        <w:ind w:left="720"/>
      </w:pPr>
      <w:r w:rsidRPr="002E3231">
        <w:rPr>
          <w:noProof/>
        </w:rPr>
        <w:drawing>
          <wp:inline distT="0" distB="0" distL="0" distR="0" wp14:anchorId="55FF99FB" wp14:editId="6B92F011">
            <wp:extent cx="5511800" cy="4573341"/>
            <wp:effectExtent l="0" t="0" r="0" b="0"/>
            <wp:docPr id="1577062610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563" cy="45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B84" w:rsidP="004B10E7" w:rsidRDefault="00BE0B84" w14:paraId="31A7FD92" w14:textId="77777777">
      <w:pPr>
        <w:pStyle w:val="Listeafsnit"/>
      </w:pPr>
    </w:p>
    <w:p w:rsidR="00C246F9" w:rsidP="0011426F" w:rsidRDefault="004B4CE5" w14:paraId="540D59E0" w14:textId="18DAF9D5">
      <w:pPr>
        <w:pStyle w:val="Listeafsnit"/>
        <w:numPr>
          <w:ilvl w:val="0"/>
          <w:numId w:val="5"/>
        </w:numPr>
      </w:pPr>
      <w:r>
        <w:t>Ved 100% af medianlønnen (de godt 550.000 kr.) kan det aflæses til højre i figuren, at dækningsgraden af tidligere løn efter skat er ca. 8</w:t>
      </w:r>
      <w:r w:rsidR="002D0284">
        <w:t>5</w:t>
      </w:r>
      <w:r>
        <w:t>%, hvilket må siges at være en moderat</w:t>
      </w:r>
      <w:r w:rsidR="00BF2589">
        <w:t>,</w:t>
      </w:r>
      <w:r>
        <w:t xml:space="preserve"> </w:t>
      </w:r>
      <w:r w:rsidR="002D0284">
        <w:t xml:space="preserve">men måske rimelig </w:t>
      </w:r>
      <w:r>
        <w:t>dækning. Derimod vil en lavtlønnet medarbejder med 70% af medianlønnen få over 100% i dækning (når vi ser bort fra</w:t>
      </w:r>
      <w:r w:rsidR="006112AD">
        <w:t>,</w:t>
      </w:r>
      <w:r>
        <w:t xml:space="preserve"> at pensionsselskaber altid har et loft på de ca. 96% efter skat)</w:t>
      </w:r>
      <w:r w:rsidR="006112AD">
        <w:t>. S</w:t>
      </w:r>
      <w:r>
        <w:t>å her skal TAE</w:t>
      </w:r>
      <w:r w:rsidR="006112AD">
        <w:t>-</w:t>
      </w:r>
      <w:r>
        <w:t>dækningen sættes ned fra de 40%, og for de helt lavtlønnede bør der ikke være en % TAE</w:t>
      </w:r>
      <w:r w:rsidR="006112AD">
        <w:t>-</w:t>
      </w:r>
      <w:r>
        <w:t xml:space="preserve">dækning, men </w:t>
      </w:r>
      <w:r w:rsidR="006112AD">
        <w:t xml:space="preserve">kun en </w:t>
      </w:r>
      <w:r>
        <w:t>supplerende ydelse ved</w:t>
      </w:r>
      <w:r w:rsidR="00C246F9">
        <w:t xml:space="preserve"> TAE</w:t>
      </w:r>
      <w:r>
        <w:t xml:space="preserve">. </w:t>
      </w:r>
    </w:p>
    <w:p w:rsidR="006112AD" w:rsidP="004B10E7" w:rsidRDefault="006112AD" w14:paraId="400DD43F" w14:textId="77777777">
      <w:pPr>
        <w:pStyle w:val="Listeafsnit"/>
      </w:pPr>
    </w:p>
    <w:p w:rsidR="00C246F9" w:rsidP="0011426F" w:rsidRDefault="00C246F9" w14:paraId="4CE7CCD1" w14:textId="759D4F27">
      <w:pPr>
        <w:pStyle w:val="Listeafsnit"/>
        <w:numPr>
          <w:ilvl w:val="0"/>
          <w:numId w:val="5"/>
        </w:numPr>
      </w:pPr>
      <w:r>
        <w:t>En standarddækning (uden loft på udbetaling før skat i forhold til tidligere løn) kan give lavtlønnede højere disponibel indkomst ved TAE</w:t>
      </w:r>
      <w:r w:rsidR="00BF2909">
        <w:t>,</w:t>
      </w:r>
      <w:r>
        <w:t xml:space="preserve"> end da de var i arbejde, mens de højere lønnede kan få en helt utilstrækkelig dækning. </w:t>
      </w:r>
    </w:p>
    <w:p w:rsidR="00C246F9" w:rsidP="00C246F9" w:rsidRDefault="00C246F9" w14:paraId="713E20F4" w14:textId="77777777">
      <w:pPr>
        <w:pStyle w:val="Listeafsnit"/>
      </w:pPr>
    </w:p>
    <w:p w:rsidR="00C246F9" w:rsidP="00C246F9" w:rsidRDefault="00C246F9" w14:paraId="728EF446" w14:textId="77777777">
      <w:pPr>
        <w:pStyle w:val="Listeafsnit"/>
      </w:pPr>
    </w:p>
    <w:p w:rsidR="00C246F9" w:rsidP="00325317" w:rsidRDefault="004B4CE5" w14:paraId="2DEB5532" w14:textId="792616F7">
      <w:pPr>
        <w:pStyle w:val="Listeafsnit"/>
        <w:numPr>
          <w:ilvl w:val="0"/>
          <w:numId w:val="5"/>
        </w:numPr>
      </w:pPr>
      <w:r>
        <w:t xml:space="preserve">Figuren viser, at </w:t>
      </w:r>
      <w:r w:rsidR="00BF2909">
        <w:t>dækningerne i</w:t>
      </w:r>
      <w:r w:rsidR="00D11740">
        <w:t xml:space="preserve"> de nuværende ordninger er</w:t>
      </w:r>
      <w:r w:rsidR="00BF2909">
        <w:t xml:space="preserve"> </w:t>
      </w:r>
      <w:r>
        <w:t xml:space="preserve">ufleksible, </w:t>
      </w:r>
      <w:r w:rsidR="00D11740">
        <w:t xml:space="preserve">da de </w:t>
      </w:r>
      <w:r>
        <w:t>ikke tager højde for lønudvikling og individuelle hensyn.</w:t>
      </w:r>
    </w:p>
    <w:p w:rsidR="00BF2909" w:rsidP="004B10E7" w:rsidRDefault="00BF2909" w14:paraId="2921B88D" w14:textId="77777777"/>
    <w:p w:rsidR="00D570A2" w:rsidP="00CF2F1F" w:rsidRDefault="00CF2F1F" w14:paraId="656A98BD" w14:textId="65478D7B">
      <w:r>
        <w:rPr>
          <w:b/>
          <w:bCs/>
        </w:rPr>
        <w:t>Situationen under ressourceforløb</w:t>
      </w:r>
    </w:p>
    <w:p w:rsidR="00D11740" w:rsidP="00D570A2" w:rsidRDefault="00D570A2" w14:paraId="53A6DA18" w14:textId="767F9E80">
      <w:pPr>
        <w:pStyle w:val="Listeafsnit"/>
        <w:numPr>
          <w:ilvl w:val="0"/>
          <w:numId w:val="5"/>
        </w:numPr>
      </w:pPr>
      <w:r>
        <w:t>Situationen under ressourceforløb og jobafklaringsforløb giver i pensionskasserne nogenlunde dækning ved</w:t>
      </w:r>
      <w:r w:rsidR="0095490F">
        <w:t xml:space="preserve"> </w:t>
      </w:r>
      <w:r>
        <w:t xml:space="preserve">lønninger </w:t>
      </w:r>
      <w:r w:rsidR="0095490F">
        <w:t>under</w:t>
      </w:r>
      <w:r>
        <w:t xml:space="preserve"> 300.000 kr., </w:t>
      </w:r>
      <w:r w:rsidR="00D11740">
        <w:t xml:space="preserve">hvis </w:t>
      </w:r>
      <w:r>
        <w:t>man også kan anvende ½ invalidesum i perioden.</w:t>
      </w:r>
    </w:p>
    <w:p w:rsidR="00D11740" w:rsidP="004B10E7" w:rsidRDefault="00D11740" w14:paraId="4755218F" w14:textId="77777777">
      <w:pPr>
        <w:pStyle w:val="Listeafsnit"/>
      </w:pPr>
    </w:p>
    <w:p w:rsidR="00862709" w:rsidP="00D570A2" w:rsidRDefault="00D570A2" w14:paraId="7427488A" w14:textId="7CC0EC15">
      <w:pPr>
        <w:pStyle w:val="Listeafsnit"/>
        <w:numPr>
          <w:ilvl w:val="0"/>
          <w:numId w:val="5"/>
        </w:numPr>
      </w:pPr>
      <w:r>
        <w:t>For den typiske ansatte under TEKNIQ</w:t>
      </w:r>
      <w:r w:rsidR="00D11740">
        <w:t xml:space="preserve"> </w:t>
      </w:r>
      <w:r>
        <w:t xml:space="preserve">Arbejdsgiverne med medianløn </w:t>
      </w:r>
      <w:r w:rsidR="0095490F">
        <w:t xml:space="preserve">på godt 550.000 </w:t>
      </w:r>
      <w:r w:rsidR="008206FD">
        <w:t xml:space="preserve">kr. </w:t>
      </w:r>
      <w:r>
        <w:t>er der tale om et betydeligt økonomisk tab</w:t>
      </w:r>
      <w:r w:rsidR="0095490F">
        <w:t xml:space="preserve"> i disponibel indkomst efter skat.</w:t>
      </w:r>
      <w:r>
        <w:t xml:space="preserve"> </w:t>
      </w:r>
      <w:r w:rsidR="00607C46">
        <w:t xml:space="preserve">Med eksemplets dækning på 40% TAE og supplerende TAE er det årlige tab efter skat godt 50.000 kr., hvilket de fleste nok vil kunne acceptere. Derimod </w:t>
      </w:r>
      <w:r w:rsidR="004744CA">
        <w:t xml:space="preserve">vil </w:t>
      </w:r>
      <w:r w:rsidR="00607C46">
        <w:t xml:space="preserve">situationen i arbejdsmarkedspensionskassen typisk </w:t>
      </w:r>
      <w:r w:rsidR="00862709">
        <w:t xml:space="preserve">være et tab på godt 160.000 kr. årligt, hvilket for de fleste vil </w:t>
      </w:r>
      <w:r w:rsidR="00EE0093">
        <w:t>få betydelige økonomiske konsekvenser</w:t>
      </w:r>
      <w:r w:rsidR="00862709">
        <w:t xml:space="preserve">. </w:t>
      </w:r>
    </w:p>
    <w:p w:rsidR="00D11740" w:rsidP="00D11740" w:rsidRDefault="00D11740" w14:paraId="2C372E86" w14:textId="77777777">
      <w:pPr>
        <w:ind w:firstLine="360"/>
        <w:rPr>
          <w:i/>
          <w:iCs/>
        </w:rPr>
      </w:pPr>
    </w:p>
    <w:p w:rsidR="00862709" w:rsidP="0062490F" w:rsidRDefault="00A61A5D" w14:paraId="2216CE18" w14:textId="2BEC8857">
      <w:pPr>
        <w:ind w:firstLine="720"/>
      </w:pPr>
      <w:r w:rsidRPr="00A61A5D">
        <w:rPr>
          <w:i/>
          <w:iCs/>
        </w:rPr>
        <w:t xml:space="preserve">Figur </w:t>
      </w:r>
      <w:r>
        <w:rPr>
          <w:i/>
          <w:iCs/>
        </w:rPr>
        <w:t>5</w:t>
      </w:r>
      <w:r w:rsidRPr="00A61A5D">
        <w:rPr>
          <w:i/>
          <w:iCs/>
        </w:rPr>
        <w:t xml:space="preserve">: Disponibel indkomst efter skat </w:t>
      </w:r>
      <w:r>
        <w:rPr>
          <w:i/>
          <w:iCs/>
        </w:rPr>
        <w:t>under ressourceforløbsydelse</w:t>
      </w:r>
    </w:p>
    <w:p w:rsidR="00D570A2" w:rsidP="0062490F" w:rsidRDefault="00862709" w14:paraId="304600B4" w14:textId="147EB7A1">
      <w:pPr>
        <w:ind w:left="709"/>
      </w:pPr>
      <w:r w:rsidRPr="00862709">
        <w:rPr>
          <w:noProof/>
        </w:rPr>
        <w:drawing>
          <wp:inline distT="0" distB="0" distL="0" distR="0" wp14:anchorId="03126A50" wp14:editId="0E7AF623">
            <wp:extent cx="5230800" cy="2476800"/>
            <wp:effectExtent l="0" t="0" r="8255" b="0"/>
            <wp:docPr id="927298177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800" cy="24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709">
        <w:rPr/>
        <w:t xml:space="preserve"> </w:t>
      </w:r>
    </w:p>
    <w:p w:rsidR="00862709" w:rsidP="004B10E7" w:rsidRDefault="00544708" w14:paraId="0262CE14" w14:textId="4F5B8681">
      <w:pPr>
        <w:pStyle w:val="Listeafsnit"/>
        <w:numPr>
          <w:ilvl w:val="0"/>
          <w:numId w:val="4"/>
        </w:numPr>
      </w:pPr>
      <w:r w:rsidRPr="00F42070">
        <w:t>Det anslås</w:t>
      </w:r>
      <w:r>
        <w:t>,</w:t>
      </w:r>
      <w:r w:rsidRPr="00F42070">
        <w:t xml:space="preserve"> at mindst 150 ansatte i medlemsvirksomhederne på TEKNIQ Arbejdsgivernes område hvert år påbegynder </w:t>
      </w:r>
      <w:r w:rsidR="00FB68B7">
        <w:t>et</w:t>
      </w:r>
      <w:r w:rsidRPr="00F42070">
        <w:t xml:space="preserve"> ressourceforløb</w:t>
      </w:r>
      <w:r w:rsidR="00862709">
        <w:rPr>
          <w:rStyle w:val="Fodnotehenvisning"/>
        </w:rPr>
        <w:footnoteReference w:id="1"/>
      </w:r>
      <w:r>
        <w:t>. D</w:t>
      </w:r>
      <w:r w:rsidRPr="00F42070">
        <w:t xml:space="preserve">e </w:t>
      </w:r>
      <w:r>
        <w:t xml:space="preserve">vil </w:t>
      </w:r>
      <w:r w:rsidRPr="00F42070">
        <w:t>typisk årligt mangle mindst 100.000 kr. efter skat</w:t>
      </w:r>
      <w:r w:rsidR="00862709">
        <w:t xml:space="preserve"> i forhold til en rimelig dækning</w:t>
      </w:r>
      <w:r>
        <w:t>. I</w:t>
      </w:r>
      <w:r w:rsidR="00862709">
        <w:t xml:space="preserve">det </w:t>
      </w:r>
      <w:r w:rsidR="00A959AA">
        <w:t>et ressourceforløb</w:t>
      </w:r>
      <w:r w:rsidR="00862709">
        <w:t xml:space="preserve"> i gennemsnit varer</w:t>
      </w:r>
      <w:r w:rsidR="00A959AA">
        <w:t xml:space="preserve"> </w:t>
      </w:r>
      <w:r w:rsidRPr="00F42070">
        <w:t>3</w:t>
      </w:r>
      <w:r w:rsidR="00A959AA">
        <w:t>,3</w:t>
      </w:r>
      <w:r w:rsidRPr="00F42070">
        <w:t xml:space="preserve"> år</w:t>
      </w:r>
      <w:r w:rsidR="00D41BA1">
        <w:t>,</w:t>
      </w:r>
      <w:r w:rsidR="00862709">
        <w:t xml:space="preserve"> svarer det </w:t>
      </w:r>
      <w:r w:rsidR="00A61A5D">
        <w:t xml:space="preserve">til, </w:t>
      </w:r>
      <w:r w:rsidR="00862709">
        <w:t xml:space="preserve">at en ansat </w:t>
      </w:r>
      <w:r w:rsidR="008A77AF">
        <w:t>på et gennemsnitl</w:t>
      </w:r>
      <w:r w:rsidR="005E4AC3">
        <w:t>i</w:t>
      </w:r>
      <w:r w:rsidR="008A77AF">
        <w:t xml:space="preserve">gt ressourceforløb går glip af </w:t>
      </w:r>
      <w:r w:rsidR="00862709">
        <w:t xml:space="preserve">mindst </w:t>
      </w:r>
      <w:r w:rsidR="008A77AF">
        <w:t>3</w:t>
      </w:r>
      <w:r w:rsidR="005E4AC3">
        <w:t>3</w:t>
      </w:r>
      <w:r w:rsidR="008A77AF">
        <w:t>0.000 kr. efter skat.</w:t>
      </w:r>
      <w:r w:rsidR="00BC0187">
        <w:t xml:space="preserve"> </w:t>
      </w:r>
    </w:p>
    <w:p w:rsidR="00D41BA1" w:rsidP="004B10E7" w:rsidRDefault="00D41BA1" w14:paraId="1CF7BA4C" w14:textId="77777777">
      <w:pPr>
        <w:pStyle w:val="Listeafsnit"/>
      </w:pPr>
    </w:p>
    <w:p w:rsidR="00343D0B" w:rsidP="00A30697" w:rsidRDefault="00A63738" w14:paraId="2F9D7479" w14:textId="3E53B908">
      <w:pPr>
        <w:pStyle w:val="Listeafsnit"/>
        <w:numPr>
          <w:ilvl w:val="0"/>
          <w:numId w:val="4"/>
        </w:numPr>
      </w:pPr>
      <w:r>
        <w:t xml:space="preserve">Generelt i pensionsbranchen </w:t>
      </w:r>
      <w:r w:rsidR="00B516CB">
        <w:t xml:space="preserve">sker udbetaling af </w:t>
      </w:r>
      <w:r w:rsidRPr="00343D0B" w:rsidR="00343D0B">
        <w:t>en TAE-forsikring til arbejdsgiver</w:t>
      </w:r>
      <w:r w:rsidR="00B516CB">
        <w:t>en</w:t>
      </w:r>
      <w:r w:rsidRPr="00343D0B" w:rsidR="00343D0B">
        <w:t>, så længe medarbejderen er ansat</w:t>
      </w:r>
      <w:r w:rsidR="007E4852">
        <w:t>. Dermed kan a</w:t>
      </w:r>
      <w:r w:rsidRPr="00343D0B" w:rsidR="00343D0B">
        <w:t>rbejdsgiveren fastholde ansættelsesforholdet og som kompensation modtage sygedagpengene og TAE-erstatningen.</w:t>
      </w:r>
      <w:r w:rsidR="00936AF1">
        <w:t xml:space="preserve"> </w:t>
      </w:r>
      <w:r w:rsidRPr="0033041D" w:rsidR="0033041D">
        <w:t xml:space="preserve">Ophører ansættelsesforholdet og lønudbetalingen, udbetales i stedet en midlertidig TAE-ydelse til medarbejderen, som sammen med dækning fra det offentlige, </w:t>
      </w:r>
      <w:r w:rsidR="00FB68B7">
        <w:t>fx</w:t>
      </w:r>
      <w:r w:rsidRPr="0033041D" w:rsidR="0033041D">
        <w:t xml:space="preserve"> sygedagpenge eller ressourceforløbsydelse, sikrer opretholdelse af det hidtidige indkomstniveau.</w:t>
      </w:r>
      <w:r w:rsidR="00C961A1">
        <w:t xml:space="preserve"> </w:t>
      </w:r>
      <w:r w:rsidR="00965AC3">
        <w:t>A</w:t>
      </w:r>
      <w:r w:rsidR="00C961A1">
        <w:t xml:space="preserve">t der kontinuert i forløbet er udbetaling fra </w:t>
      </w:r>
      <w:r w:rsidR="005B131F">
        <w:t>forsikringsordningen,</w:t>
      </w:r>
      <w:r w:rsidR="00C961A1">
        <w:t xml:space="preserve"> </w:t>
      </w:r>
      <w:r w:rsidR="00C961A1">
        <w:lastRenderedPageBreak/>
        <w:t>mindsker risikoen for</w:t>
      </w:r>
      <w:r w:rsidR="00A61A5D">
        <w:t>,</w:t>
      </w:r>
      <w:r w:rsidR="00C961A1">
        <w:t xml:space="preserve"> at den ansatte efter at være fratrådt sin stilling ophører med at indbetale på sin pensionsordning og derefter risikerer helt at miste sine dækninger. </w:t>
      </w:r>
    </w:p>
    <w:p w:rsidRPr="00343D0B" w:rsidR="0033041D" w:rsidP="0033041D" w:rsidRDefault="0033041D" w14:paraId="313927FB" w14:textId="77777777">
      <w:pPr>
        <w:pStyle w:val="Listeafsnit"/>
      </w:pPr>
    </w:p>
    <w:p w:rsidRPr="000E6FEF" w:rsidR="00B54BDE" w:rsidP="00A30697" w:rsidRDefault="0033041D" w14:paraId="57D9F4BA" w14:textId="1A1DF803">
      <w:pPr>
        <w:pStyle w:val="Listeafsnit"/>
        <w:numPr>
          <w:ilvl w:val="0"/>
          <w:numId w:val="4"/>
        </w:numPr>
      </w:pPr>
      <w:r w:rsidRPr="000E6FEF">
        <w:t xml:space="preserve">I arbejdsmarkedspensionerne </w:t>
      </w:r>
      <w:r w:rsidRPr="000E6FEF" w:rsidR="00731FF5">
        <w:t>sker</w:t>
      </w:r>
      <w:r w:rsidRPr="000E6FEF" w:rsidR="00A30697">
        <w:t xml:space="preserve"> udbetaling </w:t>
      </w:r>
      <w:r w:rsidRPr="000E6FEF" w:rsidR="00731FF5">
        <w:t xml:space="preserve">ikke </w:t>
      </w:r>
      <w:r w:rsidRPr="000E6FEF" w:rsidR="00A30697">
        <w:t>til arbejdsgiver</w:t>
      </w:r>
      <w:r w:rsidRPr="000E6FEF" w:rsidR="00731FF5">
        <w:t>en</w:t>
      </w:r>
      <w:r w:rsidRPr="000E6FEF" w:rsidR="00B0466F">
        <w:t>. Derved mindske</w:t>
      </w:r>
      <w:r w:rsidR="00FB68B7">
        <w:t>s</w:t>
      </w:r>
      <w:r w:rsidRPr="000E6FEF" w:rsidR="00B0466F">
        <w:t xml:space="preserve"> incitamentet til jobfastholdelse</w:t>
      </w:r>
      <w:r w:rsidRPr="000E6FEF" w:rsidR="00A30697">
        <w:t xml:space="preserve">, og </w:t>
      </w:r>
      <w:r w:rsidRPr="000E6FEF" w:rsidR="000E6FEF">
        <w:t>d</w:t>
      </w:r>
      <w:r w:rsidRPr="000E6FEF" w:rsidR="00A30697">
        <w:t>er kan ikke forventes de samme sundhedsfremmende tiltag, der sættes ind ved sygdom over fx 14 dage</w:t>
      </w:r>
      <w:r w:rsidRPr="000E6FEF" w:rsidR="000E6FEF">
        <w:t>.</w:t>
      </w:r>
    </w:p>
    <w:p w:rsidR="00EB13FE" w:rsidP="00EB13FE" w:rsidRDefault="00EB13FE" w14:paraId="70F82ED2" w14:textId="77777777">
      <w:pPr>
        <w:pStyle w:val="Listeafsnit"/>
      </w:pPr>
    </w:p>
    <w:p w:rsidR="00B54BDE" w:rsidP="00A30697" w:rsidRDefault="00B54BDE" w14:paraId="6698EF91" w14:textId="033BAA46">
      <w:pPr>
        <w:pStyle w:val="Listeafsnit"/>
        <w:numPr>
          <w:ilvl w:val="0"/>
          <w:numId w:val="4"/>
        </w:numPr>
      </w:pPr>
      <w:r w:rsidRPr="009F2DAD">
        <w:t xml:space="preserve">Prisen for </w:t>
      </w:r>
      <w:r w:rsidRPr="009F2DAD" w:rsidR="007B16A8">
        <w:t>forsikrings</w:t>
      </w:r>
      <w:r w:rsidRPr="009F2DAD">
        <w:t>dækninger</w:t>
      </w:r>
      <w:r w:rsidR="00594E48">
        <w:t xml:space="preserve">ne i </w:t>
      </w:r>
      <w:proofErr w:type="spellStart"/>
      <w:r w:rsidR="00594E48">
        <w:t>PensionDanmark</w:t>
      </w:r>
      <w:proofErr w:type="spellEnd"/>
      <w:r w:rsidR="00594E48">
        <w:t xml:space="preserve"> og Industriens Pension</w:t>
      </w:r>
      <w:r w:rsidRPr="009F2DAD">
        <w:t xml:space="preserve"> er høj</w:t>
      </w:r>
      <w:r w:rsidRPr="009F2DAD" w:rsidR="009F2DAD">
        <w:t xml:space="preserve"> sammenlignet med, hvad man kunne forvente at skulle betale for en tilsvarende forsikring hos fx en kommerciel pensionsudbyder.</w:t>
      </w:r>
      <w:r w:rsidR="00594E48">
        <w:t xml:space="preserve"> </w:t>
      </w:r>
      <w:r w:rsidRPr="009F2DAD" w:rsidR="009F2DAD">
        <w:t xml:space="preserve">Det skyldes bl.a., at </w:t>
      </w:r>
      <w:r w:rsidR="009F2DAD">
        <w:t xml:space="preserve">ansatte på </w:t>
      </w:r>
      <w:r w:rsidRPr="00CC5AE3" w:rsidR="009F2DAD">
        <w:t>TEKNIQ</w:t>
      </w:r>
      <w:r w:rsidR="009F2DAD">
        <w:t xml:space="preserve"> Arbejdsgivernes område deler arbejdsmarkedspension med faggrupper, der </w:t>
      </w:r>
      <w:r w:rsidR="00FC7325">
        <w:t>har en betydeligt højere risiko for sygdom og tab af erhvervsevne.</w:t>
      </w:r>
      <w:r w:rsidR="0025674C">
        <w:t xml:space="preserve"> </w:t>
      </w:r>
      <w:r w:rsidR="00C961A1">
        <w:t>Erfaringerne fra pensionsselskaberne tyder på, at risikopræmien for TAE på TEKNIQ</w:t>
      </w:r>
      <w:r w:rsidR="00CF362F">
        <w:t xml:space="preserve"> Arbejdsgiverne</w:t>
      </w:r>
      <w:r w:rsidR="00C961A1">
        <w:t>s område vil være ca. 75% højere end for en ren funktionærbestand med samme medianindkomst. Med denne TAE</w:t>
      </w:r>
      <w:r w:rsidR="004A5F78">
        <w:t>-</w:t>
      </w:r>
      <w:r w:rsidR="00C961A1">
        <w:t>pris forventes det</w:t>
      </w:r>
      <w:r w:rsidR="00A61A5D">
        <w:t>,</w:t>
      </w:r>
      <w:r w:rsidR="00C961A1">
        <w:t xml:space="preserve"> at prisen for en forsikringspakke med rimelige dækninger ikke vil være væsentligt dyrere end de nuværende i pension</w:t>
      </w:r>
      <w:r w:rsidR="004A5F78">
        <w:t>s</w:t>
      </w:r>
      <w:r w:rsidR="00C961A1">
        <w:t>kasse</w:t>
      </w:r>
      <w:r w:rsidR="00C12AAC">
        <w:t>r</w:t>
      </w:r>
      <w:r w:rsidR="00C961A1">
        <w:t>n</w:t>
      </w:r>
      <w:r w:rsidR="00C12AAC">
        <w:t>e</w:t>
      </w:r>
      <w:r w:rsidR="00C961A1">
        <w:t xml:space="preserve">. </w:t>
      </w:r>
    </w:p>
    <w:p w:rsidR="004A5F78" w:rsidP="004B10E7" w:rsidRDefault="004A5F78" w14:paraId="159EAC14" w14:textId="77777777"/>
    <w:p w:rsidRPr="000D43A0" w:rsidR="00EB13FE" w:rsidP="00305A1F" w:rsidRDefault="000D43A0" w14:paraId="7FD33EA3" w14:textId="6DDB7CAF">
      <w:pPr>
        <w:rPr>
          <w:b/>
          <w:bCs/>
        </w:rPr>
      </w:pPr>
      <w:r w:rsidRPr="000D43A0">
        <w:rPr>
          <w:b/>
          <w:bCs/>
        </w:rPr>
        <w:t>Forudsætninger</w:t>
      </w:r>
      <w:r w:rsidR="00305A1F">
        <w:rPr>
          <w:b/>
          <w:bCs/>
        </w:rPr>
        <w:t xml:space="preserve"> for analysen</w:t>
      </w:r>
    </w:p>
    <w:p w:rsidR="00EB13FE" w:rsidP="00A30697" w:rsidRDefault="00EB13FE" w14:paraId="0F31AD55" w14:textId="54C6B483">
      <w:pPr>
        <w:pStyle w:val="Listeafsnit"/>
        <w:numPr>
          <w:ilvl w:val="0"/>
          <w:numId w:val="4"/>
        </w:numPr>
        <w:rPr/>
      </w:pPr>
      <w:r w:rsidR="00EB13FE">
        <w:rPr/>
        <w:t>Analysen er baseret på en median</w:t>
      </w:r>
      <w:r w:rsidR="00A300FF">
        <w:rPr/>
        <w:t>indkomst (før skat)</w:t>
      </w:r>
      <w:r w:rsidR="00EB13FE">
        <w:rPr/>
        <w:t xml:space="preserve"> for elektrikere på </w:t>
      </w:r>
      <w:r w:rsidR="00A300FF">
        <w:rPr/>
        <w:t xml:space="preserve">551.241 kr. </w:t>
      </w:r>
      <w:r w:rsidR="0080329A">
        <w:rPr/>
        <w:t>inkl. samtlige pensionsbidrag (også anslåede frivillige indbetalinger) på i alt 13,5</w:t>
      </w:r>
      <w:r w:rsidR="00AD5F39">
        <w:rPr/>
        <w:t xml:space="preserve"> % baseret på data leveret af TEKNIQ Arbejdsgiverne. Blikkenslagere og </w:t>
      </w:r>
      <w:r w:rsidR="4B359DF1">
        <w:rPr/>
        <w:t>vvs</w:t>
      </w:r>
      <w:r w:rsidR="00AD5F39">
        <w:rPr/>
        <w:t>’ere har mindst samme medianløn.</w:t>
      </w:r>
      <w:r w:rsidR="00C961A1">
        <w:rPr/>
        <w:t xml:space="preserve"> </w:t>
      </w:r>
    </w:p>
    <w:p w:rsidR="00C12AAC" w:rsidP="004B10E7" w:rsidRDefault="00C12AAC" w14:paraId="40A698EC" w14:textId="77777777">
      <w:pPr>
        <w:pStyle w:val="Listeafsnit"/>
      </w:pPr>
    </w:p>
    <w:p w:rsidR="00C961A1" w:rsidP="00A30697" w:rsidRDefault="00C961A1" w14:paraId="79D0CC7B" w14:textId="7AE51013">
      <w:pPr>
        <w:pStyle w:val="Listeafsnit"/>
        <w:numPr>
          <w:ilvl w:val="0"/>
          <w:numId w:val="4"/>
        </w:numPr>
      </w:pPr>
      <w:r>
        <w:t>De offentlige ydelser er satser for 2024 taget fra de relevante ministeriers hjemmesider</w:t>
      </w:r>
      <w:r w:rsidR="00A61A5D">
        <w:t>.</w:t>
      </w:r>
    </w:p>
    <w:p w:rsidR="00C12AAC" w:rsidP="004B10E7" w:rsidRDefault="00C12AAC" w14:paraId="6BA345BB" w14:textId="77777777">
      <w:pPr>
        <w:pStyle w:val="Listeafsnit"/>
      </w:pPr>
    </w:p>
    <w:p w:rsidR="00C961A1" w:rsidP="00A30697" w:rsidRDefault="00C961A1" w14:paraId="7663F973" w14:textId="0A369949">
      <w:pPr>
        <w:pStyle w:val="Listeafsnit"/>
        <w:numPr>
          <w:ilvl w:val="0"/>
          <w:numId w:val="4"/>
        </w:numPr>
      </w:pPr>
      <w:r>
        <w:t>Ved beregning af disponibel indkomst er der taget udgangspunkt i en gennemsnitskommunes skatteprocent på 25,018% uden kirkeskat.</w:t>
      </w:r>
    </w:p>
    <w:p w:rsidR="00C12AAC" w:rsidP="004B10E7" w:rsidRDefault="00C12AAC" w14:paraId="75C336CF" w14:textId="77777777">
      <w:pPr>
        <w:pStyle w:val="Listeafsnit"/>
      </w:pPr>
    </w:p>
    <w:p w:rsidR="00C961A1" w:rsidP="00A30697" w:rsidRDefault="00C961A1" w14:paraId="141DF733" w14:textId="38F3A30F">
      <w:pPr>
        <w:pStyle w:val="Listeafsnit"/>
        <w:numPr>
          <w:ilvl w:val="0"/>
          <w:numId w:val="4"/>
        </w:numPr>
      </w:pPr>
      <w:r>
        <w:t>Der er ikke regnet med fradrag udover fradrag for pension, personfradrag, beskæftigelsesfradrag, jobfradrag, evt. beskæftigelsesfradrag for enlig forsørger</w:t>
      </w:r>
      <w:r w:rsidR="00C00B51">
        <w:t xml:space="preserve"> og ekstra fradrag for pensionsindbetalinger for personer med over 15 år til pension. </w:t>
      </w:r>
    </w:p>
    <w:p w:rsidR="00E901CD" w:rsidP="00E901CD" w:rsidRDefault="00E901CD" w14:paraId="59ECE0BF" w14:textId="77777777">
      <w:pPr>
        <w:pStyle w:val="Listeafsnit"/>
      </w:pPr>
    </w:p>
    <w:p w:rsidRPr="00305A1F" w:rsidR="00EB13FE" w:rsidP="00305A1F" w:rsidRDefault="00305A1F" w14:paraId="4F5A3297" w14:textId="7D80B3B5">
      <w:pPr>
        <w:rPr>
          <w:b w:val="1"/>
          <w:bCs w:val="1"/>
        </w:rPr>
      </w:pPr>
      <w:r w:rsidRPr="2102E96D" w:rsidR="00305A1F">
        <w:rPr>
          <w:b w:val="1"/>
          <w:bCs w:val="1"/>
        </w:rPr>
        <w:t xml:space="preserve">Om elektrikere, blikkenslagere, </w:t>
      </w:r>
      <w:r w:rsidRPr="2102E96D" w:rsidR="22D6798F">
        <w:rPr>
          <w:b w:val="1"/>
          <w:bCs w:val="1"/>
        </w:rPr>
        <w:t>vvs</w:t>
      </w:r>
      <w:r w:rsidRPr="2102E96D" w:rsidR="00305A1F">
        <w:rPr>
          <w:b w:val="1"/>
          <w:bCs w:val="1"/>
        </w:rPr>
        <w:t>’ere</w:t>
      </w:r>
    </w:p>
    <w:p w:rsidRPr="000E31AF" w:rsidR="000A5808" w:rsidP="0033041D" w:rsidRDefault="000A5808" w14:paraId="42C7D213" w14:textId="17B0D127">
      <w:pPr>
        <w:pStyle w:val="Listeafsnit"/>
        <w:numPr>
          <w:ilvl w:val="0"/>
          <w:numId w:val="4"/>
        </w:numPr>
        <w:rPr/>
      </w:pPr>
      <w:r w:rsidR="373DCE41">
        <w:rPr/>
        <w:t>33</w:t>
      </w:r>
      <w:r w:rsidR="2A287875">
        <w:rPr/>
        <w:t>.</w:t>
      </w:r>
      <w:r w:rsidR="2E3DC626">
        <w:rPr/>
        <w:t>850</w:t>
      </w:r>
      <w:r w:rsidR="2A287875">
        <w:rPr/>
        <w:t xml:space="preserve"> </w:t>
      </w:r>
      <w:r w:rsidR="2A287875">
        <w:rPr/>
        <w:t>beskæftige</w:t>
      </w:r>
      <w:r w:rsidR="049C4A06">
        <w:rPr/>
        <w:t>t</w:t>
      </w:r>
      <w:r w:rsidR="2A287875">
        <w:rPr/>
        <w:t xml:space="preserve"> i elbranchen (</w:t>
      </w:r>
      <w:r w:rsidR="4141D458">
        <w:rPr/>
        <w:t xml:space="preserve">1. </w:t>
      </w:r>
      <w:r w:rsidR="62EB5B50">
        <w:rPr/>
        <w:t>k</w:t>
      </w:r>
      <w:r w:rsidR="4141D458">
        <w:rPr/>
        <w:t>vt</w:t>
      </w:r>
      <w:r w:rsidR="4141D458">
        <w:rPr/>
        <w:t xml:space="preserve"> </w:t>
      </w:r>
      <w:r w:rsidR="2A287875">
        <w:rPr/>
        <w:t>20</w:t>
      </w:r>
      <w:r w:rsidR="22344219">
        <w:rPr/>
        <w:t>24</w:t>
      </w:r>
      <w:r w:rsidR="2A287875">
        <w:rPr/>
        <w:t>)</w:t>
      </w:r>
    </w:p>
    <w:p w:rsidRPr="000E31AF" w:rsidR="000A5808" w:rsidP="0033041D" w:rsidRDefault="000A5808" w14:paraId="3E38CADA" w14:textId="1C28AAA0">
      <w:pPr>
        <w:pStyle w:val="Listeafsnit"/>
        <w:numPr>
          <w:ilvl w:val="0"/>
          <w:numId w:val="4"/>
        </w:numPr>
        <w:rPr/>
      </w:pPr>
      <w:r w:rsidR="1FF6EF28">
        <w:rPr/>
        <w:t>19.</w:t>
      </w:r>
      <w:r w:rsidR="0B413D04">
        <w:rPr/>
        <w:t>506</w:t>
      </w:r>
      <w:r w:rsidR="1FF6EF28">
        <w:rPr/>
        <w:t xml:space="preserve"> </w:t>
      </w:r>
      <w:r w:rsidR="1FF6EF28">
        <w:rPr/>
        <w:t>beskæftiget i vvs-</w:t>
      </w:r>
      <w:r w:rsidR="5147C2D2">
        <w:rPr/>
        <w:t xml:space="preserve"> og blikkenslager</w:t>
      </w:r>
      <w:r w:rsidR="1FF6EF28">
        <w:rPr/>
        <w:t>branchen (</w:t>
      </w:r>
      <w:r w:rsidR="7130BC8A">
        <w:rPr/>
        <w:t xml:space="preserve">1. </w:t>
      </w:r>
      <w:r w:rsidR="246AEC81">
        <w:rPr/>
        <w:t>k</w:t>
      </w:r>
      <w:r w:rsidR="7130BC8A">
        <w:rPr/>
        <w:t>vt</w:t>
      </w:r>
      <w:r w:rsidR="7130BC8A">
        <w:rPr/>
        <w:t xml:space="preserve"> 2024</w:t>
      </w:r>
      <w:r w:rsidR="1FF6EF28">
        <w:rPr/>
        <w:t>)</w:t>
      </w:r>
    </w:p>
    <w:sectPr w:rsidRPr="000E31AF" w:rsidR="000A5808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2005" w:rsidP="005F5F76" w:rsidRDefault="00EE2005" w14:paraId="4549C4D6" w14:textId="77777777">
      <w:pPr>
        <w:spacing w:after="0" w:line="240" w:lineRule="auto"/>
      </w:pPr>
      <w:r>
        <w:separator/>
      </w:r>
    </w:p>
  </w:endnote>
  <w:endnote w:type="continuationSeparator" w:id="0">
    <w:p w:rsidR="00EE2005" w:rsidP="005F5F76" w:rsidRDefault="00EE2005" w14:paraId="3DE720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2005" w:rsidP="005F5F76" w:rsidRDefault="00EE2005" w14:paraId="0D20DA3F" w14:textId="77777777">
      <w:pPr>
        <w:spacing w:after="0" w:line="240" w:lineRule="auto"/>
      </w:pPr>
      <w:r>
        <w:separator/>
      </w:r>
    </w:p>
  </w:footnote>
  <w:footnote w:type="continuationSeparator" w:id="0">
    <w:p w:rsidR="00EE2005" w:rsidP="005F5F76" w:rsidRDefault="00EE2005" w14:paraId="714F1E8D" w14:textId="77777777">
      <w:pPr>
        <w:spacing w:after="0" w:line="240" w:lineRule="auto"/>
      </w:pPr>
      <w:r>
        <w:continuationSeparator/>
      </w:r>
    </w:p>
  </w:footnote>
  <w:footnote w:id="1">
    <w:p w:rsidRPr="00862709" w:rsidR="00862709" w:rsidRDefault="00862709" w14:paraId="2D4D5FAC" w14:textId="35A4B87B">
      <w:pPr>
        <w:pStyle w:val="Fodnotetekst"/>
        <w:rPr>
          <w:sz w:val="16"/>
          <w:szCs w:val="16"/>
        </w:rPr>
      </w:pPr>
      <w:r>
        <w:rPr>
          <w:rStyle w:val="Fodnotehenvisning"/>
        </w:rPr>
        <w:footnoteRef/>
      </w:r>
      <w:r>
        <w:t xml:space="preserve"> </w:t>
      </w:r>
      <w:r w:rsidRPr="00862709">
        <w:rPr>
          <w:sz w:val="16"/>
          <w:szCs w:val="16"/>
        </w:rPr>
        <w:t xml:space="preserve">Ifølge </w:t>
      </w:r>
      <w:r w:rsidR="006C5EC6">
        <w:rPr>
          <w:sz w:val="16"/>
          <w:szCs w:val="16"/>
        </w:rPr>
        <w:t>S</w:t>
      </w:r>
      <w:r w:rsidRPr="00862709">
        <w:rPr>
          <w:sz w:val="16"/>
          <w:szCs w:val="16"/>
        </w:rPr>
        <w:t xml:space="preserve">tyrelsen for Arbejdsmarked og Rekruttings statistik databank er der generelt i arbejdsstyrken 0,66% mænd i ressourceforløb, svarende til ca. 0,2% påbegyndte forløb hvert år med en gennemsnitlig varighed på 3,3 år.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91046"/>
    <w:multiLevelType w:val="hybridMultilevel"/>
    <w:tmpl w:val="2632A2F0"/>
    <w:lvl w:ilvl="0" w:tplc="21B2F99A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5D56D18"/>
    <w:multiLevelType w:val="hybridMultilevel"/>
    <w:tmpl w:val="FABA72E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7F2E37"/>
    <w:multiLevelType w:val="hybridMultilevel"/>
    <w:tmpl w:val="0A025FCE"/>
    <w:lvl w:ilvl="0" w:tplc="73C02B1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F0A71D0"/>
    <w:multiLevelType w:val="hybridMultilevel"/>
    <w:tmpl w:val="20166EB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83237C"/>
    <w:multiLevelType w:val="hybridMultilevel"/>
    <w:tmpl w:val="B3BEEC7C"/>
    <w:lvl w:ilvl="0" w:tplc="5750EA14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90192080">
    <w:abstractNumId w:val="4"/>
  </w:num>
  <w:num w:numId="2" w16cid:durableId="601180721">
    <w:abstractNumId w:val="0"/>
  </w:num>
  <w:num w:numId="3" w16cid:durableId="542596396">
    <w:abstractNumId w:val="2"/>
  </w:num>
  <w:num w:numId="4" w16cid:durableId="1607687786">
    <w:abstractNumId w:val="3"/>
  </w:num>
  <w:num w:numId="5" w16cid:durableId="575013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3F"/>
    <w:rsid w:val="00023960"/>
    <w:rsid w:val="0002435A"/>
    <w:rsid w:val="000258E8"/>
    <w:rsid w:val="00026DF5"/>
    <w:rsid w:val="000354D2"/>
    <w:rsid w:val="00035EE3"/>
    <w:rsid w:val="00045C30"/>
    <w:rsid w:val="000510E1"/>
    <w:rsid w:val="00057EBA"/>
    <w:rsid w:val="00061DCE"/>
    <w:rsid w:val="00082AAF"/>
    <w:rsid w:val="000834B0"/>
    <w:rsid w:val="0009612C"/>
    <w:rsid w:val="000A5808"/>
    <w:rsid w:val="000B5669"/>
    <w:rsid w:val="000B6829"/>
    <w:rsid w:val="000C3C09"/>
    <w:rsid w:val="000C52FE"/>
    <w:rsid w:val="000C68C4"/>
    <w:rsid w:val="000D0F4B"/>
    <w:rsid w:val="000D1C76"/>
    <w:rsid w:val="000D305F"/>
    <w:rsid w:val="000D43A0"/>
    <w:rsid w:val="000D5C2D"/>
    <w:rsid w:val="000E1CF2"/>
    <w:rsid w:val="000E30F6"/>
    <w:rsid w:val="000E31AF"/>
    <w:rsid w:val="000E56E2"/>
    <w:rsid w:val="000E6FEF"/>
    <w:rsid w:val="00103550"/>
    <w:rsid w:val="00105519"/>
    <w:rsid w:val="00106E91"/>
    <w:rsid w:val="00112EB7"/>
    <w:rsid w:val="00117C0D"/>
    <w:rsid w:val="001320C9"/>
    <w:rsid w:val="00132584"/>
    <w:rsid w:val="00136EFE"/>
    <w:rsid w:val="0014733C"/>
    <w:rsid w:val="00150F03"/>
    <w:rsid w:val="001560EC"/>
    <w:rsid w:val="00156147"/>
    <w:rsid w:val="00160902"/>
    <w:rsid w:val="001627DC"/>
    <w:rsid w:val="00174A39"/>
    <w:rsid w:val="00175999"/>
    <w:rsid w:val="0018063D"/>
    <w:rsid w:val="00191A75"/>
    <w:rsid w:val="00195BD8"/>
    <w:rsid w:val="001C1B6B"/>
    <w:rsid w:val="001C50A0"/>
    <w:rsid w:val="001C6C44"/>
    <w:rsid w:val="001C7529"/>
    <w:rsid w:val="001D3113"/>
    <w:rsid w:val="001D3FFB"/>
    <w:rsid w:val="001D6352"/>
    <w:rsid w:val="001E40FE"/>
    <w:rsid w:val="001F0339"/>
    <w:rsid w:val="001F2A1F"/>
    <w:rsid w:val="00207479"/>
    <w:rsid w:val="00207762"/>
    <w:rsid w:val="0021052B"/>
    <w:rsid w:val="00211808"/>
    <w:rsid w:val="00214C63"/>
    <w:rsid w:val="00215370"/>
    <w:rsid w:val="002264AE"/>
    <w:rsid w:val="00250B01"/>
    <w:rsid w:val="0025674C"/>
    <w:rsid w:val="00256D68"/>
    <w:rsid w:val="00256F61"/>
    <w:rsid w:val="00267617"/>
    <w:rsid w:val="00270819"/>
    <w:rsid w:val="002A0D9E"/>
    <w:rsid w:val="002A42EB"/>
    <w:rsid w:val="002A713F"/>
    <w:rsid w:val="002B1DD7"/>
    <w:rsid w:val="002B4C4C"/>
    <w:rsid w:val="002C0E63"/>
    <w:rsid w:val="002C4710"/>
    <w:rsid w:val="002C68E8"/>
    <w:rsid w:val="002C7B87"/>
    <w:rsid w:val="002D0284"/>
    <w:rsid w:val="002D21E5"/>
    <w:rsid w:val="002D6A6C"/>
    <w:rsid w:val="002E03D8"/>
    <w:rsid w:val="002E3231"/>
    <w:rsid w:val="002E36FA"/>
    <w:rsid w:val="002E6627"/>
    <w:rsid w:val="002F4610"/>
    <w:rsid w:val="00302459"/>
    <w:rsid w:val="00305A1F"/>
    <w:rsid w:val="00307751"/>
    <w:rsid w:val="00315F58"/>
    <w:rsid w:val="0032139A"/>
    <w:rsid w:val="003252F8"/>
    <w:rsid w:val="00325317"/>
    <w:rsid w:val="0033041D"/>
    <w:rsid w:val="00332EC7"/>
    <w:rsid w:val="00336F82"/>
    <w:rsid w:val="00340240"/>
    <w:rsid w:val="00340E3A"/>
    <w:rsid w:val="00343D0B"/>
    <w:rsid w:val="003475CD"/>
    <w:rsid w:val="00347717"/>
    <w:rsid w:val="00357381"/>
    <w:rsid w:val="00357496"/>
    <w:rsid w:val="00360C04"/>
    <w:rsid w:val="003622BA"/>
    <w:rsid w:val="003629EE"/>
    <w:rsid w:val="0036365B"/>
    <w:rsid w:val="003722E2"/>
    <w:rsid w:val="003732E7"/>
    <w:rsid w:val="00376756"/>
    <w:rsid w:val="0037781E"/>
    <w:rsid w:val="0039486C"/>
    <w:rsid w:val="003A1E32"/>
    <w:rsid w:val="003A5FB6"/>
    <w:rsid w:val="003A7A01"/>
    <w:rsid w:val="003A7AE1"/>
    <w:rsid w:val="003B43B6"/>
    <w:rsid w:val="003C20F4"/>
    <w:rsid w:val="003C71B7"/>
    <w:rsid w:val="003D16E9"/>
    <w:rsid w:val="003E620F"/>
    <w:rsid w:val="003F4C86"/>
    <w:rsid w:val="0040426F"/>
    <w:rsid w:val="00416135"/>
    <w:rsid w:val="004164DD"/>
    <w:rsid w:val="004317D4"/>
    <w:rsid w:val="00432769"/>
    <w:rsid w:val="0044479B"/>
    <w:rsid w:val="00445367"/>
    <w:rsid w:val="00470DA6"/>
    <w:rsid w:val="00473B76"/>
    <w:rsid w:val="004744CA"/>
    <w:rsid w:val="004920A0"/>
    <w:rsid w:val="00492F5E"/>
    <w:rsid w:val="00495736"/>
    <w:rsid w:val="00495BFB"/>
    <w:rsid w:val="00495F91"/>
    <w:rsid w:val="004A5F78"/>
    <w:rsid w:val="004A7359"/>
    <w:rsid w:val="004A7C58"/>
    <w:rsid w:val="004B10E7"/>
    <w:rsid w:val="004B344C"/>
    <w:rsid w:val="004B4CE5"/>
    <w:rsid w:val="004B777B"/>
    <w:rsid w:val="004C0389"/>
    <w:rsid w:val="004C7909"/>
    <w:rsid w:val="004D0D53"/>
    <w:rsid w:val="004D1190"/>
    <w:rsid w:val="004D1F86"/>
    <w:rsid w:val="004D2F40"/>
    <w:rsid w:val="004E5B01"/>
    <w:rsid w:val="004F1CEC"/>
    <w:rsid w:val="00513599"/>
    <w:rsid w:val="00535BEC"/>
    <w:rsid w:val="00544708"/>
    <w:rsid w:val="00546322"/>
    <w:rsid w:val="00550F58"/>
    <w:rsid w:val="00555E1C"/>
    <w:rsid w:val="00557B92"/>
    <w:rsid w:val="00566E8B"/>
    <w:rsid w:val="005736D7"/>
    <w:rsid w:val="005754F7"/>
    <w:rsid w:val="00577DB6"/>
    <w:rsid w:val="00594E48"/>
    <w:rsid w:val="005A26E4"/>
    <w:rsid w:val="005B131F"/>
    <w:rsid w:val="005B3A9B"/>
    <w:rsid w:val="005B63AE"/>
    <w:rsid w:val="005B7150"/>
    <w:rsid w:val="005B71D1"/>
    <w:rsid w:val="005C08D7"/>
    <w:rsid w:val="005C3EBE"/>
    <w:rsid w:val="005D2617"/>
    <w:rsid w:val="005D43CB"/>
    <w:rsid w:val="005E0B7A"/>
    <w:rsid w:val="005E4AC3"/>
    <w:rsid w:val="005F5F76"/>
    <w:rsid w:val="00605974"/>
    <w:rsid w:val="00607C46"/>
    <w:rsid w:val="00610E73"/>
    <w:rsid w:val="006112AD"/>
    <w:rsid w:val="00617CD8"/>
    <w:rsid w:val="0062490F"/>
    <w:rsid w:val="006270EC"/>
    <w:rsid w:val="00632C60"/>
    <w:rsid w:val="00633008"/>
    <w:rsid w:val="00634B09"/>
    <w:rsid w:val="00636F86"/>
    <w:rsid w:val="006430DE"/>
    <w:rsid w:val="006431C3"/>
    <w:rsid w:val="00647A6B"/>
    <w:rsid w:val="00650025"/>
    <w:rsid w:val="00653E41"/>
    <w:rsid w:val="00657135"/>
    <w:rsid w:val="00662C50"/>
    <w:rsid w:val="00665168"/>
    <w:rsid w:val="006705C8"/>
    <w:rsid w:val="00671DD6"/>
    <w:rsid w:val="00672433"/>
    <w:rsid w:val="00673328"/>
    <w:rsid w:val="006734DD"/>
    <w:rsid w:val="006751A4"/>
    <w:rsid w:val="00677822"/>
    <w:rsid w:val="006836FD"/>
    <w:rsid w:val="006942AE"/>
    <w:rsid w:val="00696DAD"/>
    <w:rsid w:val="00697617"/>
    <w:rsid w:val="006A04B1"/>
    <w:rsid w:val="006C073A"/>
    <w:rsid w:val="006C1C63"/>
    <w:rsid w:val="006C5EC6"/>
    <w:rsid w:val="006C6B18"/>
    <w:rsid w:val="006D1401"/>
    <w:rsid w:val="006D7935"/>
    <w:rsid w:val="0071337E"/>
    <w:rsid w:val="007162B4"/>
    <w:rsid w:val="00731419"/>
    <w:rsid w:val="00731FF5"/>
    <w:rsid w:val="0073521E"/>
    <w:rsid w:val="007449FD"/>
    <w:rsid w:val="007577F9"/>
    <w:rsid w:val="0077714F"/>
    <w:rsid w:val="00797626"/>
    <w:rsid w:val="007A72DC"/>
    <w:rsid w:val="007A7B83"/>
    <w:rsid w:val="007B16A8"/>
    <w:rsid w:val="007E17E7"/>
    <w:rsid w:val="007E1A8D"/>
    <w:rsid w:val="007E3629"/>
    <w:rsid w:val="007E4852"/>
    <w:rsid w:val="007E5AAD"/>
    <w:rsid w:val="007F6456"/>
    <w:rsid w:val="008015F3"/>
    <w:rsid w:val="0080329A"/>
    <w:rsid w:val="00812DD2"/>
    <w:rsid w:val="00813F1E"/>
    <w:rsid w:val="00817012"/>
    <w:rsid w:val="008206FD"/>
    <w:rsid w:val="00821A4D"/>
    <w:rsid w:val="00827140"/>
    <w:rsid w:val="00827CFE"/>
    <w:rsid w:val="00833449"/>
    <w:rsid w:val="0083482D"/>
    <w:rsid w:val="00835927"/>
    <w:rsid w:val="008455D6"/>
    <w:rsid w:val="00846D5E"/>
    <w:rsid w:val="008500B9"/>
    <w:rsid w:val="008507DF"/>
    <w:rsid w:val="00854839"/>
    <w:rsid w:val="00862709"/>
    <w:rsid w:val="008808EA"/>
    <w:rsid w:val="008832EB"/>
    <w:rsid w:val="00885015"/>
    <w:rsid w:val="008925BA"/>
    <w:rsid w:val="00895F7F"/>
    <w:rsid w:val="0089606B"/>
    <w:rsid w:val="00896856"/>
    <w:rsid w:val="008A77AF"/>
    <w:rsid w:val="008C1069"/>
    <w:rsid w:val="008C1C99"/>
    <w:rsid w:val="008C3543"/>
    <w:rsid w:val="008C7DFF"/>
    <w:rsid w:val="008D345A"/>
    <w:rsid w:val="008D474F"/>
    <w:rsid w:val="008D4889"/>
    <w:rsid w:val="00906667"/>
    <w:rsid w:val="009108C6"/>
    <w:rsid w:val="009112DA"/>
    <w:rsid w:val="00920803"/>
    <w:rsid w:val="00920FBF"/>
    <w:rsid w:val="009327C6"/>
    <w:rsid w:val="0093545F"/>
    <w:rsid w:val="00936AF1"/>
    <w:rsid w:val="00942857"/>
    <w:rsid w:val="009538AA"/>
    <w:rsid w:val="009540AE"/>
    <w:rsid w:val="0095490F"/>
    <w:rsid w:val="00965AC3"/>
    <w:rsid w:val="00966798"/>
    <w:rsid w:val="00967301"/>
    <w:rsid w:val="00967FF9"/>
    <w:rsid w:val="009755F4"/>
    <w:rsid w:val="00984919"/>
    <w:rsid w:val="009924B0"/>
    <w:rsid w:val="00994304"/>
    <w:rsid w:val="009B4FA1"/>
    <w:rsid w:val="009B677A"/>
    <w:rsid w:val="009B79EA"/>
    <w:rsid w:val="009C17F9"/>
    <w:rsid w:val="009C4FA4"/>
    <w:rsid w:val="009C7793"/>
    <w:rsid w:val="009D3499"/>
    <w:rsid w:val="009D4013"/>
    <w:rsid w:val="009D5BDE"/>
    <w:rsid w:val="009E0D58"/>
    <w:rsid w:val="009E3E28"/>
    <w:rsid w:val="009F0043"/>
    <w:rsid w:val="009F2DAD"/>
    <w:rsid w:val="009F554C"/>
    <w:rsid w:val="009F70D2"/>
    <w:rsid w:val="00A00541"/>
    <w:rsid w:val="00A04387"/>
    <w:rsid w:val="00A05755"/>
    <w:rsid w:val="00A06FF1"/>
    <w:rsid w:val="00A22CE9"/>
    <w:rsid w:val="00A23CB2"/>
    <w:rsid w:val="00A300FF"/>
    <w:rsid w:val="00A30697"/>
    <w:rsid w:val="00A32AF3"/>
    <w:rsid w:val="00A41CB9"/>
    <w:rsid w:val="00A42119"/>
    <w:rsid w:val="00A57377"/>
    <w:rsid w:val="00A61A5D"/>
    <w:rsid w:val="00A63738"/>
    <w:rsid w:val="00A65160"/>
    <w:rsid w:val="00A67F03"/>
    <w:rsid w:val="00A82F8E"/>
    <w:rsid w:val="00A94D2B"/>
    <w:rsid w:val="00A959AA"/>
    <w:rsid w:val="00A959D8"/>
    <w:rsid w:val="00A974D3"/>
    <w:rsid w:val="00AA0AAA"/>
    <w:rsid w:val="00AA0F4D"/>
    <w:rsid w:val="00AA5E6C"/>
    <w:rsid w:val="00AB41C1"/>
    <w:rsid w:val="00AB5DF4"/>
    <w:rsid w:val="00AC1223"/>
    <w:rsid w:val="00AC2429"/>
    <w:rsid w:val="00AC78AA"/>
    <w:rsid w:val="00AD5330"/>
    <w:rsid w:val="00AD5F39"/>
    <w:rsid w:val="00AD68FD"/>
    <w:rsid w:val="00AE41BA"/>
    <w:rsid w:val="00AF5A1F"/>
    <w:rsid w:val="00B025AA"/>
    <w:rsid w:val="00B03DCD"/>
    <w:rsid w:val="00B0466F"/>
    <w:rsid w:val="00B07F9B"/>
    <w:rsid w:val="00B10F16"/>
    <w:rsid w:val="00B36470"/>
    <w:rsid w:val="00B41DB4"/>
    <w:rsid w:val="00B516CB"/>
    <w:rsid w:val="00B54B2E"/>
    <w:rsid w:val="00B54BDE"/>
    <w:rsid w:val="00B648C5"/>
    <w:rsid w:val="00B673B3"/>
    <w:rsid w:val="00B75753"/>
    <w:rsid w:val="00B870D3"/>
    <w:rsid w:val="00B91D5C"/>
    <w:rsid w:val="00B92F77"/>
    <w:rsid w:val="00B95647"/>
    <w:rsid w:val="00B96C98"/>
    <w:rsid w:val="00BA142F"/>
    <w:rsid w:val="00BA6C9A"/>
    <w:rsid w:val="00BA7871"/>
    <w:rsid w:val="00BB1E41"/>
    <w:rsid w:val="00BB36A3"/>
    <w:rsid w:val="00BB605C"/>
    <w:rsid w:val="00BC0187"/>
    <w:rsid w:val="00BE0B84"/>
    <w:rsid w:val="00BE2F9A"/>
    <w:rsid w:val="00BE50FF"/>
    <w:rsid w:val="00BF2589"/>
    <w:rsid w:val="00BF2909"/>
    <w:rsid w:val="00BF750E"/>
    <w:rsid w:val="00C00B51"/>
    <w:rsid w:val="00C00FD8"/>
    <w:rsid w:val="00C035CA"/>
    <w:rsid w:val="00C0599E"/>
    <w:rsid w:val="00C12AAC"/>
    <w:rsid w:val="00C22F0D"/>
    <w:rsid w:val="00C246F9"/>
    <w:rsid w:val="00C30641"/>
    <w:rsid w:val="00C358F2"/>
    <w:rsid w:val="00C3750F"/>
    <w:rsid w:val="00C452CF"/>
    <w:rsid w:val="00C46B9A"/>
    <w:rsid w:val="00C56B20"/>
    <w:rsid w:val="00C72946"/>
    <w:rsid w:val="00C732A5"/>
    <w:rsid w:val="00C73CCB"/>
    <w:rsid w:val="00C81F33"/>
    <w:rsid w:val="00C8693D"/>
    <w:rsid w:val="00C94478"/>
    <w:rsid w:val="00C961A1"/>
    <w:rsid w:val="00C96E5F"/>
    <w:rsid w:val="00C97788"/>
    <w:rsid w:val="00CA054F"/>
    <w:rsid w:val="00CB2072"/>
    <w:rsid w:val="00CB63F0"/>
    <w:rsid w:val="00CC5AE3"/>
    <w:rsid w:val="00CD500E"/>
    <w:rsid w:val="00CD59C4"/>
    <w:rsid w:val="00CE09CD"/>
    <w:rsid w:val="00CE3017"/>
    <w:rsid w:val="00CE47C1"/>
    <w:rsid w:val="00CE5D40"/>
    <w:rsid w:val="00CF0ABC"/>
    <w:rsid w:val="00CF2F1F"/>
    <w:rsid w:val="00CF362F"/>
    <w:rsid w:val="00CF6AF5"/>
    <w:rsid w:val="00D0558F"/>
    <w:rsid w:val="00D11740"/>
    <w:rsid w:val="00D14D73"/>
    <w:rsid w:val="00D2148B"/>
    <w:rsid w:val="00D30A81"/>
    <w:rsid w:val="00D32814"/>
    <w:rsid w:val="00D41BA1"/>
    <w:rsid w:val="00D570A2"/>
    <w:rsid w:val="00D64036"/>
    <w:rsid w:val="00D67F44"/>
    <w:rsid w:val="00D80830"/>
    <w:rsid w:val="00D965D6"/>
    <w:rsid w:val="00DA250E"/>
    <w:rsid w:val="00DA26A2"/>
    <w:rsid w:val="00DC353A"/>
    <w:rsid w:val="00DC36DB"/>
    <w:rsid w:val="00DF3A68"/>
    <w:rsid w:val="00DF3E9E"/>
    <w:rsid w:val="00DF5A2F"/>
    <w:rsid w:val="00DF6556"/>
    <w:rsid w:val="00E044CE"/>
    <w:rsid w:val="00E0521D"/>
    <w:rsid w:val="00E055B6"/>
    <w:rsid w:val="00E0712C"/>
    <w:rsid w:val="00E150E3"/>
    <w:rsid w:val="00E222FE"/>
    <w:rsid w:val="00E3376A"/>
    <w:rsid w:val="00E356A6"/>
    <w:rsid w:val="00E372A6"/>
    <w:rsid w:val="00E411DD"/>
    <w:rsid w:val="00E46765"/>
    <w:rsid w:val="00E5324F"/>
    <w:rsid w:val="00E54C7F"/>
    <w:rsid w:val="00E62402"/>
    <w:rsid w:val="00E7239C"/>
    <w:rsid w:val="00E82288"/>
    <w:rsid w:val="00E8494A"/>
    <w:rsid w:val="00E901CD"/>
    <w:rsid w:val="00E92AD4"/>
    <w:rsid w:val="00E9776D"/>
    <w:rsid w:val="00E97F1F"/>
    <w:rsid w:val="00EA14B5"/>
    <w:rsid w:val="00EB13FE"/>
    <w:rsid w:val="00EB2546"/>
    <w:rsid w:val="00EB5D9F"/>
    <w:rsid w:val="00EB695B"/>
    <w:rsid w:val="00EC06E9"/>
    <w:rsid w:val="00EC074E"/>
    <w:rsid w:val="00EC0B4B"/>
    <w:rsid w:val="00EC3042"/>
    <w:rsid w:val="00EC4079"/>
    <w:rsid w:val="00EC7A9E"/>
    <w:rsid w:val="00ED19EB"/>
    <w:rsid w:val="00EE0093"/>
    <w:rsid w:val="00EE0130"/>
    <w:rsid w:val="00EE0AE0"/>
    <w:rsid w:val="00EE0DC6"/>
    <w:rsid w:val="00EE2005"/>
    <w:rsid w:val="00EF04DA"/>
    <w:rsid w:val="00EF3F11"/>
    <w:rsid w:val="00EF4FDE"/>
    <w:rsid w:val="00EF6283"/>
    <w:rsid w:val="00F04038"/>
    <w:rsid w:val="00F05935"/>
    <w:rsid w:val="00F061E1"/>
    <w:rsid w:val="00F2211A"/>
    <w:rsid w:val="00F26171"/>
    <w:rsid w:val="00F27993"/>
    <w:rsid w:val="00F42070"/>
    <w:rsid w:val="00F60BCE"/>
    <w:rsid w:val="00F6405F"/>
    <w:rsid w:val="00F660D1"/>
    <w:rsid w:val="00F70A09"/>
    <w:rsid w:val="00F72678"/>
    <w:rsid w:val="00F731C5"/>
    <w:rsid w:val="00F73282"/>
    <w:rsid w:val="00F82953"/>
    <w:rsid w:val="00F948AD"/>
    <w:rsid w:val="00FA1AE5"/>
    <w:rsid w:val="00FB17F0"/>
    <w:rsid w:val="00FB68B7"/>
    <w:rsid w:val="00FB6C52"/>
    <w:rsid w:val="00FC7325"/>
    <w:rsid w:val="00FD05C0"/>
    <w:rsid w:val="00FD685E"/>
    <w:rsid w:val="00FE08A4"/>
    <w:rsid w:val="00FE387A"/>
    <w:rsid w:val="00FE6BE2"/>
    <w:rsid w:val="00FF1092"/>
    <w:rsid w:val="00FF3BE9"/>
    <w:rsid w:val="03860B43"/>
    <w:rsid w:val="049C4A06"/>
    <w:rsid w:val="082DD358"/>
    <w:rsid w:val="09C9A3B9"/>
    <w:rsid w:val="0B413D04"/>
    <w:rsid w:val="1061128A"/>
    <w:rsid w:val="1A7D1B9D"/>
    <w:rsid w:val="1F8DD33C"/>
    <w:rsid w:val="1FF6EF28"/>
    <w:rsid w:val="201842F0"/>
    <w:rsid w:val="2102E96D"/>
    <w:rsid w:val="22344219"/>
    <w:rsid w:val="22D6798F"/>
    <w:rsid w:val="246AEC81"/>
    <w:rsid w:val="24CAB802"/>
    <w:rsid w:val="2A287875"/>
    <w:rsid w:val="2E3DC626"/>
    <w:rsid w:val="31686ECB"/>
    <w:rsid w:val="373DCE41"/>
    <w:rsid w:val="4141D458"/>
    <w:rsid w:val="48DE9544"/>
    <w:rsid w:val="496274FF"/>
    <w:rsid w:val="4B359DF1"/>
    <w:rsid w:val="5147C2D2"/>
    <w:rsid w:val="51A05AA8"/>
    <w:rsid w:val="5A5EBD5E"/>
    <w:rsid w:val="5CE480AC"/>
    <w:rsid w:val="6185852A"/>
    <w:rsid w:val="62EB5B50"/>
    <w:rsid w:val="7004B022"/>
    <w:rsid w:val="7130B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2CF6"/>
  <w15:chartTrackingRefBased/>
  <w15:docId w15:val="{8E1B2F92-06FD-4295-8E15-589E8FA9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2139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2139A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A7359"/>
    <w:pPr>
      <w:ind w:left="720"/>
      <w:contextualSpacing/>
    </w:pPr>
  </w:style>
  <w:style w:type="paragraph" w:styleId="Korrektur">
    <w:name w:val="Revision"/>
    <w:hidden/>
    <w:uiPriority w:val="99"/>
    <w:semiHidden/>
    <w:rsid w:val="00360C04"/>
    <w:pPr>
      <w:spacing w:after="0" w:line="240" w:lineRule="auto"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5F5F76"/>
    <w:pPr>
      <w:spacing w:after="0" w:line="240" w:lineRule="auto"/>
    </w:pPr>
    <w:rPr>
      <w:sz w:val="20"/>
      <w:szCs w:val="20"/>
    </w:rPr>
  </w:style>
  <w:style w:type="character" w:styleId="FodnotetekstTegn" w:customStyle="1">
    <w:name w:val="Fodnotetekst Tegn"/>
    <w:basedOn w:val="Standardskrifttypeiafsnit"/>
    <w:link w:val="Fodnotetekst"/>
    <w:uiPriority w:val="99"/>
    <w:semiHidden/>
    <w:rsid w:val="005F5F7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F5F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emf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emf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EF03B86915B4595C9C4FA65C3C365" ma:contentTypeVersion="15" ma:contentTypeDescription="Opret et nyt dokument." ma:contentTypeScope="" ma:versionID="ee89a00fce9367e7d9c0158e6088945f">
  <xsd:schema xmlns:xsd="http://www.w3.org/2001/XMLSchema" xmlns:xs="http://www.w3.org/2001/XMLSchema" xmlns:p="http://schemas.microsoft.com/office/2006/metadata/properties" xmlns:ns2="3a5d817a-6466-4c8a-bad4-85c50c4d81d1" xmlns:ns3="b579b901-a43b-434d-bf03-d9c2f3cc4ce6" targetNamespace="http://schemas.microsoft.com/office/2006/metadata/properties" ma:root="true" ma:fieldsID="fe0e7e8a6c51bb89c8f213211a58f072" ns2:_="" ns3:_="">
    <xsd:import namespace="3a5d817a-6466-4c8a-bad4-85c50c4d81d1"/>
    <xsd:import namespace="b579b901-a43b-434d-bf03-d9c2f3cc4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817a-6466-4c8a-bad4-85c50c4d8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1a348fd-58d2-4a1b-ae25-bec7a0e50f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9b901-a43b-434d-bf03-d9c2f3cc4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5ba71f4-64a2-4a13-9f7e-64db902f1cf7}" ma:internalName="TaxCatchAll" ma:showField="CatchAllData" ma:web="b579b901-a43b-434d-bf03-d9c2f3cc4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d817a-6466-4c8a-bad4-85c50c4d81d1">
      <Terms xmlns="http://schemas.microsoft.com/office/infopath/2007/PartnerControls"/>
    </lcf76f155ced4ddcb4097134ff3c332f>
    <TaxCatchAll xmlns="b579b901-a43b-434d-bf03-d9c2f3cc4ce6" xsi:nil="true"/>
  </documentManagement>
</p:properties>
</file>

<file path=customXml/itemProps1.xml><?xml version="1.0" encoding="utf-8"?>
<ds:datastoreItem xmlns:ds="http://schemas.openxmlformats.org/officeDocument/2006/customXml" ds:itemID="{7243846E-5A95-416C-AC4B-DF9B91373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AE697-0CD2-4672-B87B-4C3D0A812FF5}"/>
</file>

<file path=customXml/itemProps3.xml><?xml version="1.0" encoding="utf-8"?>
<ds:datastoreItem xmlns:ds="http://schemas.openxmlformats.org/officeDocument/2006/customXml" ds:itemID="{BEC9F2B0-F153-45DF-8BAC-6D2E06F512D8}"/>
</file>

<file path=customXml/itemProps4.xml><?xml version="1.0" encoding="utf-8"?>
<ds:datastoreItem xmlns:ds="http://schemas.openxmlformats.org/officeDocument/2006/customXml" ds:itemID="{F16DBEE3-88B1-4DD3-A310-7FFA08D1B8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Jepsen</dc:creator>
  <keywords/>
  <dc:description/>
  <lastModifiedBy>Michael Degn Christensen</lastModifiedBy>
  <revision>16</revision>
  <lastPrinted>2024-04-24T11:24:00.0000000Z</lastPrinted>
  <dcterms:created xsi:type="dcterms:W3CDTF">2024-04-25T07:39:00.0000000Z</dcterms:created>
  <dcterms:modified xsi:type="dcterms:W3CDTF">2024-06-24T13:07:26.8289122Z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0x010100488EF03B86915B4595C9C4FA65C3C365</vt:lpwstr>
  </property>
  <property fmtid="{D5CDD505-2E9C-101B-9397-08002B2CF9AE}" pid="3" name="MediaServiceImageTags">
    <vt:lpwstr/>
  </property>
</Properties>
</file>