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FF63A" w14:textId="77777777" w:rsidR="00C70B2D" w:rsidRPr="00FF050F" w:rsidRDefault="00C70B2D" w:rsidP="00C70B2D">
      <w:pPr>
        <w:pStyle w:val="Brdtekst"/>
        <w:rPr>
          <w:rFonts w:ascii="Times New Roman"/>
        </w:rPr>
      </w:pPr>
      <w:r w:rsidRPr="00FF050F">
        <w:rPr>
          <w:noProof/>
          <w:lang w:eastAsia="da-DK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0A61630" wp14:editId="4EADEBD4">
                <wp:simplePos x="0" y="0"/>
                <wp:positionH relativeFrom="page">
                  <wp:posOffset>6429375</wp:posOffset>
                </wp:positionH>
                <wp:positionV relativeFrom="page">
                  <wp:posOffset>-9525</wp:posOffset>
                </wp:positionV>
                <wp:extent cx="1193800" cy="923925"/>
                <wp:effectExtent l="0" t="0" r="635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0" cy="923925"/>
                          <a:chOff x="-38100" y="-9525"/>
                          <a:chExt cx="1193800" cy="923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1557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914400">
                                <a:moveTo>
                                  <a:pt x="1155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1155700" y="914400"/>
                                </a:lnTo>
                                <a:lnTo>
                                  <a:pt x="1155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48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-38100" y="-9525"/>
                            <a:ext cx="1114425" cy="914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129562" w14:textId="77777777" w:rsidR="00C70B2D" w:rsidRDefault="00C70B2D" w:rsidP="00C70B2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1F998C3" w14:textId="77777777" w:rsidR="00C70B2D" w:rsidRDefault="00C70B2D" w:rsidP="00C70B2D">
                              <w:pPr>
                                <w:spacing w:before="5"/>
                              </w:pPr>
                            </w:p>
                            <w:p w14:paraId="5F66213E" w14:textId="77777777" w:rsidR="00C70B2D" w:rsidRPr="001E1508" w:rsidRDefault="00C70B2D" w:rsidP="00C70B2D">
                              <w:pPr>
                                <w:spacing w:before="1"/>
                                <w:ind w:left="303"/>
                                <w:rPr>
                                  <w:rFonts w:ascii="GillSans-Semi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Sans-SemiBold"/>
                                  <w:b/>
                                  <w:color w:val="FFF5E9"/>
                                  <w:sz w:val="24"/>
                                </w:rPr>
                                <w:t>Tal og fakta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11F33" id="Group 1" o:spid="_x0000_s1026" style="position:absolute;margin-left:506.25pt;margin-top:-.75pt;width:94pt;height:72.75pt;z-index:251659264;mso-wrap-distance-left:0;mso-wrap-distance-right:0;mso-position-horizontal-relative:page;mso-position-vertical-relative:page;mso-width-relative:margin;mso-height-relative:margin" coordorigin="-381,-95" coordsize="11938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">
                <v:shape id="Graphic 2" o:spid="_x0000_s1027" style="position:absolute;width:11557;height:9144;visibility:visible;mso-wrap-style:square;v-text-anchor:top" coordsize="11557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" path="m1155700,l,,,914400r1155700,l1155700,xe" fillcolor="#0e485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381;top:-95;width:11144;height:9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C70B2D" w:rsidRDefault="00C70B2D" w:rsidP="00C70B2D">
                        <w:pPr>
                          <w:rPr>
                            <w:sz w:val="28"/>
                          </w:rPr>
                        </w:pPr>
                      </w:p>
                      <w:p w:rsidR="00C70B2D" w:rsidRDefault="00C70B2D" w:rsidP="00C70B2D">
                        <w:pPr>
                          <w:spacing w:before="5"/>
                        </w:pPr>
                      </w:p>
                      <w:p w:rsidR="00C70B2D" w:rsidRPr="001E1508" w:rsidRDefault="00C70B2D" w:rsidP="00C70B2D">
                        <w:pPr>
                          <w:spacing w:before="1"/>
                          <w:ind w:left="303"/>
                          <w:rPr>
                            <w:rFonts w:ascii="GillSans-SemiBold"/>
                            <w:b/>
                            <w:sz w:val="24"/>
                          </w:rPr>
                        </w:pPr>
                        <w:r>
                          <w:rPr>
                            <w:rFonts w:ascii="GillSans-SemiBold"/>
                            <w:b/>
                            <w:color w:val="FFF5E9"/>
                            <w:sz w:val="24"/>
                          </w:rPr>
                          <w:t>Tal og fakta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5B5C9D1" w14:textId="77777777" w:rsidR="00C70B2D" w:rsidRPr="00FF050F" w:rsidRDefault="00C70B2D" w:rsidP="00C70B2D">
      <w:pPr>
        <w:pStyle w:val="Brdtekst"/>
        <w:tabs>
          <w:tab w:val="left" w:pos="3047"/>
        </w:tabs>
        <w:rPr>
          <w:rFonts w:ascii="Times New Roman"/>
        </w:rPr>
      </w:pPr>
      <w:r w:rsidRPr="00FF050F">
        <w:rPr>
          <w:rFonts w:ascii="Times New Roman"/>
        </w:rPr>
        <w:tab/>
      </w:r>
    </w:p>
    <w:p w14:paraId="1A0C19FD" w14:textId="77777777" w:rsidR="00C70B2D" w:rsidRPr="00FF050F" w:rsidRDefault="00C70B2D" w:rsidP="00C70B2D">
      <w:pPr>
        <w:pStyle w:val="Brdtekst"/>
        <w:rPr>
          <w:rFonts w:ascii="Times New Roman"/>
        </w:rPr>
      </w:pPr>
      <w:r w:rsidRPr="00FF050F">
        <w:rPr>
          <w:rFonts w:ascii="Times New Roman"/>
          <w:noProof/>
          <w:sz w:val="13"/>
          <w:lang w:eastAsia="da-DK"/>
        </w:rPr>
        <w:drawing>
          <wp:anchor distT="0" distB="0" distL="114300" distR="114300" simplePos="0" relativeHeight="251662336" behindDoc="0" locked="0" layoutInCell="1" allowOverlap="1" wp14:anchorId="013D0D4B" wp14:editId="1E33B197">
            <wp:simplePos x="0" y="0"/>
            <wp:positionH relativeFrom="column">
              <wp:posOffset>102095</wp:posOffset>
            </wp:positionH>
            <wp:positionV relativeFrom="paragraph">
              <wp:posOffset>128826</wp:posOffset>
            </wp:positionV>
            <wp:extent cx="1605280" cy="176489"/>
            <wp:effectExtent l="0" t="0" r="0" b="0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VM DK 2019 Finanstilsynet_s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76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DC830" w14:textId="77777777" w:rsidR="00C70B2D" w:rsidRPr="00FF050F" w:rsidRDefault="00C70B2D" w:rsidP="00C70B2D">
      <w:pPr>
        <w:pStyle w:val="Brdtekst"/>
        <w:rPr>
          <w:rFonts w:ascii="Times New Roman"/>
          <w:sz w:val="16"/>
        </w:rPr>
      </w:pPr>
    </w:p>
    <w:p w14:paraId="0C05CC02" w14:textId="77777777" w:rsidR="00C70B2D" w:rsidRPr="00FF050F" w:rsidRDefault="00C70B2D" w:rsidP="00C70B2D">
      <w:pPr>
        <w:spacing w:line="225" w:lineRule="exact"/>
        <w:ind w:left="117"/>
        <w:rPr>
          <w:rFonts w:ascii="Times New Roman"/>
          <w:sz w:val="13"/>
        </w:rPr>
      </w:pPr>
      <w:r w:rsidRPr="00FF050F">
        <w:rPr>
          <w:rFonts w:ascii="Times New Roman"/>
          <w:spacing w:val="83"/>
          <w:position w:val="-4"/>
          <w:sz w:val="13"/>
        </w:rPr>
        <w:t xml:space="preserve"> </w:t>
      </w:r>
    </w:p>
    <w:p w14:paraId="557011C9" w14:textId="77777777" w:rsidR="00C70B2D" w:rsidRPr="00FF050F" w:rsidRDefault="00C70B2D" w:rsidP="00C70B2D">
      <w:pPr>
        <w:pStyle w:val="Brdtekst"/>
        <w:rPr>
          <w:rFonts w:ascii="Times New Roman"/>
        </w:rPr>
      </w:pPr>
    </w:p>
    <w:p w14:paraId="47673A8A" w14:textId="77777777" w:rsidR="00C70B2D" w:rsidRPr="00FF050F" w:rsidRDefault="00C70B2D" w:rsidP="00C70B2D">
      <w:pPr>
        <w:pStyle w:val="Brdtekst"/>
        <w:rPr>
          <w:rFonts w:ascii="Times New Roman"/>
        </w:rPr>
      </w:pPr>
    </w:p>
    <w:p w14:paraId="5E3D96E6" w14:textId="00CBF8FF" w:rsidR="00C70B2D" w:rsidRPr="00FF050F" w:rsidRDefault="00C70B2D" w:rsidP="00C70B2D">
      <w:pPr>
        <w:pStyle w:val="Titel"/>
        <w:spacing w:line="249" w:lineRule="auto"/>
        <w:rPr>
          <w:rFonts w:ascii="Gill Sans MT" w:hAnsi="Gill Sans MT"/>
          <w:noProof/>
          <w:sz w:val="52"/>
          <w:lang w:eastAsia="da-DK"/>
        </w:rPr>
      </w:pPr>
      <w:r w:rsidRPr="00FF050F">
        <w:rPr>
          <w:rFonts w:ascii="Gill Sans MT" w:hAnsi="Gill Sans MT"/>
          <w:noProof/>
          <w:sz w:val="52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30C24D" wp14:editId="299ADE27">
                <wp:simplePos x="0" y="0"/>
                <wp:positionH relativeFrom="column">
                  <wp:posOffset>4590415</wp:posOffset>
                </wp:positionH>
                <wp:positionV relativeFrom="paragraph">
                  <wp:posOffset>920940</wp:posOffset>
                </wp:positionV>
                <wp:extent cx="1683261" cy="259335"/>
                <wp:effectExtent l="0" t="0" r="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261" cy="259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EFEF5" w14:textId="7CD6E88C" w:rsidR="00C70B2D" w:rsidRPr="001E1508" w:rsidRDefault="00C06DC8" w:rsidP="00C70B2D">
                            <w:pPr>
                              <w:jc w:val="right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E4850"/>
                                <w:sz w:val="16"/>
                              </w:rPr>
                              <w:t>April</w:t>
                            </w:r>
                            <w:r w:rsidR="00CB07D3">
                              <w:rPr>
                                <w:rFonts w:ascii="Gill Sans MT" w:hAnsi="Gill Sans MT"/>
                                <w:color w:val="0E4850"/>
                                <w:sz w:val="16"/>
                              </w:rPr>
                              <w:t xml:space="preserve"> </w:t>
                            </w:r>
                            <w:r w:rsidR="00C70B2D">
                              <w:rPr>
                                <w:rFonts w:ascii="Gill Sans MT" w:hAnsi="Gill Sans MT"/>
                                <w:color w:val="0E4850"/>
                                <w:sz w:val="16"/>
                              </w:rPr>
                              <w:t>202</w:t>
                            </w:r>
                            <w:r w:rsidR="00CB07D3">
                              <w:rPr>
                                <w:rFonts w:ascii="Gill Sans MT" w:hAnsi="Gill Sans MT"/>
                                <w:color w:val="0E4850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0C24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9" type="#_x0000_t202" style="position:absolute;left:0;text-align:left;margin-left:361.45pt;margin-top:72.5pt;width:132.55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" filled="f" stroked="f">
                <v:textbox>
                  <w:txbxContent>
                    <w:p w14:paraId="29FEFEF5" w14:textId="7CD6E88C" w:rsidR="00C70B2D" w:rsidRPr="001E1508" w:rsidRDefault="00C06DC8" w:rsidP="00C70B2D">
                      <w:pPr>
                        <w:jc w:val="right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  <w:color w:val="0E4850"/>
                          <w:sz w:val="16"/>
                        </w:rPr>
                        <w:t>April</w:t>
                      </w:r>
                      <w:bookmarkStart w:id="1" w:name="_GoBack"/>
                      <w:bookmarkEnd w:id="1"/>
                      <w:r w:rsidR="00CB07D3">
                        <w:rPr>
                          <w:rFonts w:ascii="Gill Sans MT" w:hAnsi="Gill Sans MT"/>
                          <w:color w:val="0E4850"/>
                          <w:sz w:val="16"/>
                        </w:rPr>
                        <w:t xml:space="preserve"> </w:t>
                      </w:r>
                      <w:r w:rsidR="00C70B2D">
                        <w:rPr>
                          <w:rFonts w:ascii="Gill Sans MT" w:hAnsi="Gill Sans MT"/>
                          <w:color w:val="0E4850"/>
                          <w:sz w:val="16"/>
                        </w:rPr>
                        <w:t>202</w:t>
                      </w:r>
                      <w:r w:rsidR="00CB07D3">
                        <w:rPr>
                          <w:rFonts w:ascii="Gill Sans MT" w:hAnsi="Gill Sans MT"/>
                          <w:color w:val="0E4850"/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F050F">
        <w:rPr>
          <w:rFonts w:ascii="Gill Sans MT" w:hAnsi="Gill Sans MT"/>
          <w:noProof/>
          <w:sz w:val="52"/>
          <w:lang w:eastAsia="da-DK"/>
        </w:rPr>
        <w:t xml:space="preserve">Grøn </w:t>
      </w:r>
      <w:r w:rsidR="00CB07D3">
        <w:rPr>
          <w:rFonts w:ascii="Gill Sans MT" w:hAnsi="Gill Sans MT"/>
          <w:noProof/>
          <w:sz w:val="52"/>
          <w:lang w:eastAsia="da-DK"/>
        </w:rPr>
        <w:t>i</w:t>
      </w:r>
      <w:r w:rsidRPr="00FF050F">
        <w:rPr>
          <w:rFonts w:ascii="Gill Sans MT" w:hAnsi="Gill Sans MT"/>
          <w:noProof/>
          <w:sz w:val="52"/>
          <w:lang w:eastAsia="da-DK"/>
        </w:rPr>
        <w:t>nvesteringsordning 2025</w:t>
      </w:r>
    </w:p>
    <w:p w14:paraId="7BD2DC6E" w14:textId="77777777" w:rsidR="00C70B2D" w:rsidRPr="00FF050F" w:rsidRDefault="00C70B2D" w:rsidP="00C70B2D">
      <w:pPr>
        <w:pStyle w:val="Brdtekst"/>
        <w:spacing w:before="5"/>
        <w:rPr>
          <w:rFonts w:ascii="Gill Sans"/>
          <w:sz w:val="12"/>
        </w:rPr>
      </w:pPr>
      <w:r w:rsidRPr="00FF050F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49359E" wp14:editId="549AB1C2">
                <wp:simplePos x="0" y="0"/>
                <wp:positionH relativeFrom="page">
                  <wp:posOffset>696595</wp:posOffset>
                </wp:positionH>
                <wp:positionV relativeFrom="paragraph">
                  <wp:posOffset>153670</wp:posOffset>
                </wp:positionV>
                <wp:extent cx="6227445" cy="1270"/>
                <wp:effectExtent l="0" t="0" r="20955" b="1778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>
                              <a:moveTo>
                                <a:pt x="0" y="0"/>
                              </a:moveTo>
                              <a:lnTo>
                                <a:pt x="6227381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153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343B1" id="Graphic 9" o:spid="_x0000_s1026" style="position:absolute;margin-left:54.85pt;margin-top:12.1pt;width:490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2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" path="m,l6227381,e" filled="f" strokecolor="#215354" strokeweight="2pt">
                <v:path arrowok="t"/>
                <w10:wrap type="topAndBottom" anchorx="page"/>
              </v:shape>
            </w:pict>
          </mc:Fallback>
        </mc:AlternateContent>
      </w:r>
    </w:p>
    <w:p w14:paraId="635F50DC" w14:textId="77777777" w:rsidR="00C70B2D" w:rsidRPr="00FF050F" w:rsidRDefault="00C70B2D" w:rsidP="00C70B2D">
      <w:pPr>
        <w:pStyle w:val="Brdtekst"/>
        <w:spacing w:before="7"/>
        <w:rPr>
          <w:rFonts w:ascii="Gill Sans"/>
          <w:sz w:val="14"/>
        </w:rPr>
      </w:pPr>
    </w:p>
    <w:p w14:paraId="5AADED26" w14:textId="77777777" w:rsidR="00C70B2D" w:rsidRPr="00FF050F" w:rsidRDefault="00C70B2D" w:rsidP="00C70B2D">
      <w:pPr>
        <w:spacing w:before="100"/>
        <w:ind w:left="117"/>
        <w:jc w:val="both"/>
        <w:rPr>
          <w:rFonts w:ascii="Gill Sans" w:hAnsi="Gill Sans"/>
          <w:b/>
          <w:sz w:val="16"/>
        </w:rPr>
      </w:pPr>
      <w:r w:rsidRPr="00FF050F">
        <w:rPr>
          <w:rFonts w:ascii="Gill Sans" w:hAnsi="Gill Sans"/>
          <w:b/>
          <w:color w:val="0E4850"/>
          <w:spacing w:val="12"/>
          <w:sz w:val="16"/>
        </w:rPr>
        <w:t>GR</w:t>
      </w:r>
      <w:r w:rsidRPr="00FF050F">
        <w:rPr>
          <w:rFonts w:ascii="Gill Sans" w:hAnsi="Gill Sans" w:hint="eastAsia"/>
          <w:b/>
          <w:color w:val="0E4850"/>
          <w:spacing w:val="12"/>
          <w:sz w:val="16"/>
        </w:rPr>
        <w:t>Ø</w:t>
      </w:r>
      <w:r w:rsidRPr="00FF050F">
        <w:rPr>
          <w:rFonts w:ascii="Gill Sans" w:hAnsi="Gill Sans"/>
          <w:b/>
          <w:color w:val="0E4850"/>
          <w:spacing w:val="12"/>
          <w:sz w:val="16"/>
        </w:rPr>
        <w:t>N INDUSTRIPOLITIK</w:t>
      </w:r>
    </w:p>
    <w:p w14:paraId="5D6FB3DA" w14:textId="77777777" w:rsidR="00C70B2D" w:rsidRPr="00FF050F" w:rsidRDefault="00C70B2D" w:rsidP="00C70B2D">
      <w:pPr>
        <w:spacing w:before="100"/>
        <w:ind w:left="117" w:right="2268"/>
        <w:jc w:val="both"/>
        <w:rPr>
          <w:rFonts w:ascii="Gill Sans" w:hAnsi="Gill Sans"/>
          <w:b/>
          <w:color w:val="0E4850"/>
          <w:spacing w:val="12"/>
          <w:sz w:val="16"/>
        </w:rPr>
      </w:pPr>
    </w:p>
    <w:p w14:paraId="2153A55D" w14:textId="77777777" w:rsidR="00C70B2D" w:rsidRPr="00FF050F" w:rsidRDefault="00C70B2D" w:rsidP="00C70B2D">
      <w:pPr>
        <w:spacing w:before="100"/>
        <w:ind w:left="117" w:right="862"/>
        <w:jc w:val="both"/>
        <w:rPr>
          <w:b/>
          <w:noProof/>
          <w:szCs w:val="20"/>
          <w:lang w:eastAsia="da-DK"/>
        </w:rPr>
      </w:pPr>
      <w:r w:rsidRPr="00FF050F">
        <w:rPr>
          <w:b/>
          <w:noProof/>
          <w:szCs w:val="20"/>
          <w:lang w:eastAsia="da-DK"/>
        </w:rPr>
        <w:t>Fremme af produktion af grønne teknologier</w:t>
      </w:r>
    </w:p>
    <w:p w14:paraId="20FB9B3B" w14:textId="35ABFD51" w:rsidR="00C70B2D" w:rsidRPr="00FF050F" w:rsidRDefault="00C70B2D" w:rsidP="00C70B2D">
      <w:pPr>
        <w:spacing w:before="100"/>
        <w:ind w:left="117" w:right="862"/>
        <w:jc w:val="both"/>
        <w:rPr>
          <w:bCs/>
          <w:sz w:val="20"/>
          <w:szCs w:val="20"/>
        </w:rPr>
      </w:pPr>
      <w:r w:rsidRPr="00FF050F">
        <w:rPr>
          <w:sz w:val="20"/>
          <w:szCs w:val="20"/>
        </w:rPr>
        <w:t xml:space="preserve">Regeringens </w:t>
      </w:r>
      <w:r w:rsidR="00CB07D3">
        <w:rPr>
          <w:sz w:val="20"/>
          <w:szCs w:val="20"/>
        </w:rPr>
        <w:t>grønne investeringsordning</w:t>
      </w:r>
      <w:r w:rsidRPr="00FF050F">
        <w:rPr>
          <w:sz w:val="20"/>
          <w:szCs w:val="20"/>
        </w:rPr>
        <w:t xml:space="preserve"> giv</w:t>
      </w:r>
      <w:r w:rsidR="00E2350B">
        <w:rPr>
          <w:sz w:val="20"/>
          <w:szCs w:val="20"/>
        </w:rPr>
        <w:t xml:space="preserve">er virksomheder, som producerer </w:t>
      </w:r>
      <w:r w:rsidRPr="00FF050F">
        <w:rPr>
          <w:sz w:val="20"/>
          <w:szCs w:val="20"/>
        </w:rPr>
        <w:t>vindmøller</w:t>
      </w:r>
      <w:r w:rsidR="00CB07D3">
        <w:rPr>
          <w:sz w:val="20"/>
          <w:szCs w:val="20"/>
        </w:rPr>
        <w:t xml:space="preserve"> og elektrolyseapparater</w:t>
      </w:r>
      <w:r w:rsidRPr="00FF050F">
        <w:rPr>
          <w:sz w:val="20"/>
          <w:szCs w:val="20"/>
        </w:rPr>
        <w:t xml:space="preserve"> samt komponenter </w:t>
      </w:r>
      <w:r w:rsidR="00CB07D3">
        <w:rPr>
          <w:sz w:val="20"/>
          <w:szCs w:val="20"/>
        </w:rPr>
        <w:t>og råmateriale</w:t>
      </w:r>
      <w:r w:rsidR="00456A6A">
        <w:rPr>
          <w:sz w:val="20"/>
          <w:szCs w:val="20"/>
        </w:rPr>
        <w:t>r</w:t>
      </w:r>
      <w:r w:rsidR="00CB07D3">
        <w:rPr>
          <w:sz w:val="20"/>
          <w:szCs w:val="20"/>
        </w:rPr>
        <w:t xml:space="preserve"> hertil</w:t>
      </w:r>
      <w:r w:rsidRPr="00FF050F">
        <w:rPr>
          <w:sz w:val="20"/>
          <w:szCs w:val="20"/>
        </w:rPr>
        <w:t xml:space="preserve"> mulighed for at søge om støtte til</w:t>
      </w:r>
      <w:r w:rsidRPr="00FF050F">
        <w:rPr>
          <w:bCs/>
          <w:sz w:val="20"/>
          <w:szCs w:val="20"/>
        </w:rPr>
        <w:t xml:space="preserve"> etablering af nye eller udvidelse af eksisterende produktionsfaciliteter i Danmark.</w:t>
      </w:r>
      <w:r w:rsidRPr="00FF050F">
        <w:rPr>
          <w:sz w:val="20"/>
          <w:szCs w:val="20"/>
        </w:rPr>
        <w:t xml:space="preserve"> Ordningen gør brug af </w:t>
      </w:r>
      <w:r w:rsidRPr="00FF050F">
        <w:rPr>
          <w:bCs/>
          <w:sz w:val="20"/>
          <w:szCs w:val="20"/>
        </w:rPr>
        <w:t xml:space="preserve">de midlertidige EU-statsstøtteregler (Temporary Crisis and Transition Framework), som giver EU-lande mulighed for at yde støtte og finansiering på mere favorable vilkår end normalt til etablering af nye produktionsfaciliteter inden for grøn industriproduktion. </w:t>
      </w:r>
    </w:p>
    <w:p w14:paraId="6F7EF3FB" w14:textId="77777777" w:rsidR="00C70B2D" w:rsidRPr="00FF050F" w:rsidRDefault="00C70B2D" w:rsidP="00C70B2D">
      <w:pPr>
        <w:spacing w:before="100"/>
        <w:ind w:left="117" w:right="862"/>
        <w:jc w:val="both"/>
        <w:rPr>
          <w:bCs/>
          <w:sz w:val="20"/>
          <w:szCs w:val="20"/>
        </w:rPr>
      </w:pPr>
    </w:p>
    <w:p w14:paraId="7462E44F" w14:textId="64C0142A" w:rsidR="00C70B2D" w:rsidRPr="00FF050F" w:rsidRDefault="00C70B2D" w:rsidP="00C70B2D">
      <w:pPr>
        <w:spacing w:before="100"/>
        <w:ind w:left="117" w:right="862"/>
        <w:jc w:val="both"/>
        <w:rPr>
          <w:b/>
          <w:szCs w:val="20"/>
        </w:rPr>
      </w:pPr>
      <w:r w:rsidRPr="00FF050F">
        <w:rPr>
          <w:b/>
          <w:szCs w:val="20"/>
        </w:rPr>
        <w:t xml:space="preserve">Design og målgruppe af investeringsordningen </w:t>
      </w:r>
    </w:p>
    <w:p w14:paraId="10DD9BEB" w14:textId="3CD1FAB1" w:rsidR="00C70B2D" w:rsidRPr="00FF050F" w:rsidRDefault="00C70B2D" w:rsidP="00C70B2D">
      <w:pPr>
        <w:spacing w:before="100"/>
        <w:ind w:left="117" w:right="862"/>
        <w:jc w:val="both"/>
        <w:rPr>
          <w:sz w:val="20"/>
          <w:szCs w:val="20"/>
        </w:rPr>
      </w:pPr>
      <w:r w:rsidRPr="00FF050F">
        <w:rPr>
          <w:sz w:val="20"/>
          <w:szCs w:val="20"/>
        </w:rPr>
        <w:t xml:space="preserve">Der er afsat yderligere </w:t>
      </w:r>
      <w:r w:rsidR="00BB4CE9">
        <w:rPr>
          <w:sz w:val="20"/>
          <w:szCs w:val="20"/>
        </w:rPr>
        <w:t>65</w:t>
      </w:r>
      <w:r w:rsidR="00C75FB9">
        <w:rPr>
          <w:sz w:val="20"/>
          <w:szCs w:val="20"/>
        </w:rPr>
        <w:t>7</w:t>
      </w:r>
      <w:r w:rsidRPr="00FF050F">
        <w:rPr>
          <w:sz w:val="20"/>
          <w:szCs w:val="20"/>
        </w:rPr>
        <w:t xml:space="preserve"> mio. kr. til direkte støtte i ordningen</w:t>
      </w:r>
      <w:r w:rsidR="00C75FB9">
        <w:rPr>
          <w:sz w:val="20"/>
          <w:szCs w:val="20"/>
        </w:rPr>
        <w:t xml:space="preserve"> til udmøntning </w:t>
      </w:r>
      <w:r w:rsidR="00907268">
        <w:rPr>
          <w:sz w:val="20"/>
          <w:szCs w:val="20"/>
        </w:rPr>
        <w:t>i 2025</w:t>
      </w:r>
      <w:r w:rsidR="00F40C85">
        <w:rPr>
          <w:sz w:val="20"/>
          <w:szCs w:val="20"/>
        </w:rPr>
        <w:t>.</w:t>
      </w:r>
      <w:r w:rsidRPr="00FF050F">
        <w:rPr>
          <w:sz w:val="20"/>
          <w:szCs w:val="20"/>
        </w:rPr>
        <w:t xml:space="preserve"> Ordningen giver mulighed for at søge </w:t>
      </w:r>
      <w:r w:rsidR="00C75FB9">
        <w:rPr>
          <w:sz w:val="20"/>
          <w:szCs w:val="20"/>
        </w:rPr>
        <w:t xml:space="preserve">om direkte tilskud til </w:t>
      </w:r>
      <w:r w:rsidRPr="00FF050F">
        <w:rPr>
          <w:sz w:val="20"/>
          <w:szCs w:val="20"/>
        </w:rPr>
        <w:t xml:space="preserve">op til 15 pct. af etableringsomkostningerne </w:t>
      </w:r>
      <w:r w:rsidR="00C75FB9">
        <w:rPr>
          <w:sz w:val="20"/>
          <w:szCs w:val="20"/>
        </w:rPr>
        <w:t>i et konkret projekt</w:t>
      </w:r>
      <w:r w:rsidRPr="00FF050F">
        <w:rPr>
          <w:sz w:val="20"/>
          <w:szCs w:val="20"/>
        </w:rPr>
        <w:t xml:space="preserve">. </w:t>
      </w:r>
      <w:r w:rsidR="00E41BE1">
        <w:rPr>
          <w:sz w:val="20"/>
          <w:szCs w:val="20"/>
        </w:rPr>
        <w:t>Det indebærer, at ordningen kan rumme investeringer for over 4 mia. kr.</w:t>
      </w:r>
    </w:p>
    <w:p w14:paraId="20B34B88" w14:textId="77777777" w:rsidR="00C70B2D" w:rsidRDefault="00C70B2D" w:rsidP="00C70B2D">
      <w:pPr>
        <w:spacing w:before="100"/>
        <w:ind w:left="117" w:right="862"/>
        <w:jc w:val="both"/>
        <w:rPr>
          <w:sz w:val="20"/>
          <w:szCs w:val="20"/>
        </w:rPr>
      </w:pPr>
      <w:r w:rsidRPr="00FF050F">
        <w:rPr>
          <w:sz w:val="20"/>
          <w:szCs w:val="20"/>
        </w:rPr>
        <w:t>Ordningen målrettes virksomheder, som producerer vindteknologi og elektrolysatorer (teknologi til Power-to-X) i Danmark samt virksomheder, som producerer nøglekomponenter til vindteknologi og Power-to-X produktion i Danmark. Derudover omfatter ordningen også tilhørende produktionen og udvinding af relaterede kritiske råmaterialer.</w:t>
      </w:r>
    </w:p>
    <w:p w14:paraId="19656CFC" w14:textId="77777777" w:rsidR="00A11D23" w:rsidRDefault="00A11D23" w:rsidP="00C70B2D">
      <w:pPr>
        <w:spacing w:before="100"/>
        <w:ind w:left="117" w:right="862"/>
        <w:jc w:val="both"/>
        <w:rPr>
          <w:sz w:val="20"/>
          <w:szCs w:val="20"/>
        </w:rPr>
      </w:pPr>
    </w:p>
    <w:p w14:paraId="6312CB73" w14:textId="5D84F40F" w:rsidR="00A11D23" w:rsidRPr="003603B1" w:rsidRDefault="00A11D23" w:rsidP="00C70B2D">
      <w:pPr>
        <w:spacing w:before="100"/>
        <w:ind w:left="117" w:right="862"/>
        <w:jc w:val="both"/>
        <w:rPr>
          <w:b/>
          <w:szCs w:val="20"/>
        </w:rPr>
      </w:pPr>
      <w:r w:rsidRPr="003603B1">
        <w:rPr>
          <w:b/>
          <w:szCs w:val="20"/>
        </w:rPr>
        <w:t>Ændringer i ordni</w:t>
      </w:r>
      <w:r w:rsidR="0082706F">
        <w:rPr>
          <w:b/>
          <w:szCs w:val="20"/>
        </w:rPr>
        <w:t>n</w:t>
      </w:r>
      <w:r w:rsidRPr="003603B1">
        <w:rPr>
          <w:b/>
          <w:szCs w:val="20"/>
        </w:rPr>
        <w:t>gen</w:t>
      </w:r>
    </w:p>
    <w:p w14:paraId="39223C0D" w14:textId="1F6D8382" w:rsidR="004C4AA1" w:rsidRDefault="00D906DD">
      <w:pPr>
        <w:spacing w:before="100"/>
        <w:ind w:left="117" w:right="862"/>
        <w:jc w:val="both"/>
        <w:rPr>
          <w:sz w:val="20"/>
          <w:szCs w:val="20"/>
        </w:rPr>
      </w:pPr>
      <w:r>
        <w:rPr>
          <w:sz w:val="20"/>
          <w:szCs w:val="20"/>
        </w:rPr>
        <w:t>Pba. erfaringer fra første ansøgningsrunde laves der to mindre justeringer til den grønne investeringsordning ifm. anden ansøgningsrunde</w:t>
      </w:r>
      <w:r w:rsidR="0082706F">
        <w:rPr>
          <w:sz w:val="20"/>
          <w:szCs w:val="20"/>
        </w:rPr>
        <w:t>, som p.t. er til godkendelse hos EU-kommissionen.</w:t>
      </w:r>
    </w:p>
    <w:p w14:paraId="733ACB45" w14:textId="52F9D691" w:rsidR="00D906DD" w:rsidRPr="003603B1" w:rsidRDefault="00D906DD" w:rsidP="003603B1">
      <w:pPr>
        <w:pStyle w:val="Listeafsnit"/>
        <w:numPr>
          <w:ilvl w:val="0"/>
          <w:numId w:val="6"/>
        </w:numPr>
        <w:spacing w:before="100"/>
        <w:ind w:right="862"/>
        <w:jc w:val="both"/>
        <w:rPr>
          <w:sz w:val="20"/>
          <w:szCs w:val="20"/>
        </w:rPr>
      </w:pPr>
      <w:r w:rsidRPr="003603B1">
        <w:rPr>
          <w:sz w:val="20"/>
          <w:szCs w:val="20"/>
        </w:rPr>
        <w:t>Minimumsgrænsen for støtte sænkes fra 10 mio. kr. til 6 mio. kr. for at øge muligheden for</w:t>
      </w:r>
      <w:r w:rsidR="00C75FB9">
        <w:rPr>
          <w:sz w:val="20"/>
          <w:szCs w:val="20"/>
        </w:rPr>
        <w:t xml:space="preserve">, at mindre projekter kan søge om tilskud under </w:t>
      </w:r>
      <w:r w:rsidRPr="003603B1">
        <w:rPr>
          <w:sz w:val="20"/>
          <w:szCs w:val="20"/>
        </w:rPr>
        <w:t>ordningen. Ændringen af grænsen betyder, at projekter med en samlet investering</w:t>
      </w:r>
      <w:r w:rsidR="00C75FB9">
        <w:rPr>
          <w:sz w:val="20"/>
          <w:szCs w:val="20"/>
        </w:rPr>
        <w:t>ssum</w:t>
      </w:r>
      <w:r w:rsidRPr="003603B1">
        <w:rPr>
          <w:sz w:val="20"/>
          <w:szCs w:val="20"/>
        </w:rPr>
        <w:t xml:space="preserve"> på min. 40 mio. kr. vil få mulighed for søge om støtte.</w:t>
      </w:r>
    </w:p>
    <w:p w14:paraId="27CE7B15" w14:textId="15BEFFD0" w:rsidR="00D906DD" w:rsidRPr="003603B1" w:rsidRDefault="00D906DD" w:rsidP="003603B1">
      <w:pPr>
        <w:pStyle w:val="Listeafsnit"/>
        <w:numPr>
          <w:ilvl w:val="0"/>
          <w:numId w:val="6"/>
        </w:numPr>
        <w:spacing w:before="100"/>
        <w:ind w:right="862"/>
        <w:jc w:val="both"/>
        <w:rPr>
          <w:sz w:val="20"/>
          <w:szCs w:val="20"/>
        </w:rPr>
      </w:pPr>
      <w:r w:rsidRPr="003603B1">
        <w:rPr>
          <w:sz w:val="20"/>
          <w:szCs w:val="20"/>
        </w:rPr>
        <w:t>Wafers</w:t>
      </w:r>
      <w:r w:rsidR="00E41BE1">
        <w:rPr>
          <w:sz w:val="20"/>
          <w:szCs w:val="20"/>
        </w:rPr>
        <w:t>, der er en</w:t>
      </w:r>
      <w:r w:rsidRPr="003603B1">
        <w:rPr>
          <w:sz w:val="20"/>
          <w:szCs w:val="20"/>
        </w:rPr>
        <w:t xml:space="preserve"> </w:t>
      </w:r>
      <w:r w:rsidR="00E41BE1">
        <w:t xml:space="preserve">underkomponent inden for vind- og elektrolyseteknologi </w:t>
      </w:r>
      <w:r w:rsidRPr="003603B1">
        <w:rPr>
          <w:sz w:val="20"/>
          <w:szCs w:val="20"/>
        </w:rPr>
        <w:t>tilføjes til komponentlisten.</w:t>
      </w:r>
    </w:p>
    <w:p w14:paraId="6D3222E3" w14:textId="284D2783" w:rsidR="00C156D8" w:rsidRDefault="00A11D23" w:rsidP="0011265A">
      <w:pPr>
        <w:spacing w:before="100"/>
        <w:ind w:right="862"/>
        <w:jc w:val="both"/>
        <w:rPr>
          <w:sz w:val="20"/>
          <w:szCs w:val="20"/>
        </w:rPr>
      </w:pPr>
      <w:bookmarkStart w:id="0" w:name="_GoBack"/>
      <w:bookmarkEnd w:id="0"/>
      <w:r w:rsidRPr="00FF050F">
        <w:rPr>
          <w:sz w:val="20"/>
          <w:szCs w:val="20"/>
        </w:rPr>
        <w:t xml:space="preserve">Ordningen </w:t>
      </w:r>
      <w:r>
        <w:rPr>
          <w:sz w:val="20"/>
          <w:szCs w:val="20"/>
        </w:rPr>
        <w:t>administreres af</w:t>
      </w:r>
      <w:r w:rsidRPr="00FF050F">
        <w:rPr>
          <w:sz w:val="20"/>
          <w:szCs w:val="20"/>
        </w:rPr>
        <w:t xml:space="preserve"> Danmarks Eksport- og Investeringsfond (EIFO). </w:t>
      </w:r>
    </w:p>
    <w:p w14:paraId="37714D0F" w14:textId="77777777" w:rsidR="0072256C" w:rsidRPr="00C156D8" w:rsidRDefault="00C70B2D" w:rsidP="00C156D8">
      <w:pPr>
        <w:spacing w:before="100"/>
        <w:ind w:left="142" w:right="862"/>
        <w:jc w:val="both"/>
        <w:rPr>
          <w:sz w:val="20"/>
          <w:szCs w:val="20"/>
        </w:rPr>
      </w:pPr>
      <w:r w:rsidRPr="00FF050F"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DA244A1" wp14:editId="0E04FA10">
                <wp:simplePos x="0" y="0"/>
                <wp:positionH relativeFrom="column">
                  <wp:posOffset>93980</wp:posOffset>
                </wp:positionH>
                <wp:positionV relativeFrom="paragraph">
                  <wp:posOffset>233045</wp:posOffset>
                </wp:positionV>
                <wp:extent cx="5338445" cy="1722120"/>
                <wp:effectExtent l="0" t="0" r="14605" b="1143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1722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5EA01" w14:textId="77777777" w:rsidR="00C70B2D" w:rsidRPr="00C156D8" w:rsidRDefault="00C70B2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156D8">
                              <w:rPr>
                                <w:b/>
                                <w:u w:val="single"/>
                              </w:rPr>
                              <w:t xml:space="preserve">Producenter af blandt andet følgende komponenter er støtteberettigede </w:t>
                            </w:r>
                          </w:p>
                          <w:p w14:paraId="3C0EF0F8" w14:textId="77777777" w:rsidR="00C70B2D" w:rsidRDefault="00C70B2D">
                            <w:pPr>
                              <w:rPr>
                                <w:b/>
                              </w:rPr>
                            </w:pPr>
                          </w:p>
                          <w:p w14:paraId="243F344F" w14:textId="77777777" w:rsidR="00C70B2D" w:rsidRDefault="00C70B2D">
                            <w:r w:rsidRPr="00C156D8">
                              <w:rPr>
                                <w:b/>
                              </w:rPr>
                              <w:t>Vindteknologi:</w:t>
                            </w:r>
                            <w:r>
                              <w:t xml:space="preserve"> Ordningen giver mulighed for at søge om støtte til produktion af vindmøller samt produktionen af komponenter hertil. Det er fx vindturbiner, vindmøllevinger, naceller og gearkasser. </w:t>
                            </w:r>
                          </w:p>
                          <w:p w14:paraId="27C688DA" w14:textId="77777777" w:rsidR="00C70B2D" w:rsidRDefault="00C70B2D"/>
                          <w:p w14:paraId="067CD7FC" w14:textId="77777777" w:rsidR="00C70B2D" w:rsidRPr="00C70B2D" w:rsidRDefault="00C70B2D">
                            <w:r w:rsidRPr="00C156D8">
                              <w:rPr>
                                <w:b/>
                              </w:rPr>
                              <w:t>Elektrolysatorer:</w:t>
                            </w:r>
                            <w:r>
                              <w:t xml:space="preserve"> Ordningen giver mulighed for at søge om støtte til produktionen af elektrolysatorer, som er teknologien der bruges til produktionen af brint (Power-to-X) samt produktionen af komponenter hertil. Det er fx kompressorer, anoder og katoder.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44A1" id="_x0000_s1030" type="#_x0000_t202" style="position:absolute;left:0;text-align:left;margin-left:7.4pt;margin-top:18.35pt;width:420.35pt;height:135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" fillcolor="#f2f2f2 [3052]">
                <v:textbox>
                  <w:txbxContent>
                    <w:p w14:paraId="14A5EA01" w14:textId="77777777" w:rsidR="00C70B2D" w:rsidRPr="00C156D8" w:rsidRDefault="00C70B2D">
                      <w:pPr>
                        <w:rPr>
                          <w:b/>
                          <w:u w:val="single"/>
                        </w:rPr>
                      </w:pPr>
                      <w:r w:rsidRPr="00C156D8">
                        <w:rPr>
                          <w:b/>
                          <w:u w:val="single"/>
                        </w:rPr>
                        <w:t xml:space="preserve">Producenter af blandt andet følgende komponenter er støtteberettigede </w:t>
                      </w:r>
                    </w:p>
                    <w:p w14:paraId="3C0EF0F8" w14:textId="77777777" w:rsidR="00C70B2D" w:rsidRDefault="00C70B2D">
                      <w:pPr>
                        <w:rPr>
                          <w:b/>
                        </w:rPr>
                      </w:pPr>
                    </w:p>
                    <w:p w14:paraId="243F344F" w14:textId="77777777" w:rsidR="00C70B2D" w:rsidRDefault="00C70B2D">
                      <w:r w:rsidRPr="00C156D8">
                        <w:rPr>
                          <w:b/>
                        </w:rPr>
                        <w:t>Vindteknologi:</w:t>
                      </w:r>
                      <w:r>
                        <w:t xml:space="preserve"> Ordningen giver mulighed for at søge om støtte til produktion af vindmøller samt produktionen af komponenter hertil. Det er fx vindturbiner, vindmøllevinger, naceller og gearkasser. </w:t>
                      </w:r>
                    </w:p>
                    <w:p w14:paraId="27C688DA" w14:textId="77777777" w:rsidR="00C70B2D" w:rsidRDefault="00C70B2D"/>
                    <w:p w14:paraId="067CD7FC" w14:textId="77777777" w:rsidR="00C70B2D" w:rsidRPr="00C70B2D" w:rsidRDefault="00C70B2D">
                      <w:r w:rsidRPr="00C156D8">
                        <w:rPr>
                          <w:b/>
                        </w:rPr>
                        <w:t>Elektrolysatorer:</w:t>
                      </w:r>
                      <w:r>
                        <w:t xml:space="preserve"> Ordningen giver mulighed for at søge om støtte til produktionen af elektrolysatorer, som er teknologien der bruges til produktionen af brint (Power-to-X) samt produktionen af komponenter hertil. Det er fx kompressorer, anoder og katoder.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256C" w:rsidRPr="00C156D8" w:rsidSect="00C156D8">
      <w:pgSz w:w="12000" w:h="16000"/>
      <w:pgMar w:top="0" w:right="1227" w:bottom="709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E10C5" w14:textId="77777777" w:rsidR="00D76598" w:rsidRDefault="00D76598" w:rsidP="00C70B2D">
      <w:r>
        <w:separator/>
      </w:r>
    </w:p>
  </w:endnote>
  <w:endnote w:type="continuationSeparator" w:id="0">
    <w:p w14:paraId="43684FEC" w14:textId="77777777" w:rsidR="00D76598" w:rsidRDefault="00D76598" w:rsidP="00C7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-SemiBold">
    <w:altName w:val="Arial"/>
    <w:charset w:val="00"/>
    <w:family w:val="swiss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6D46A" w14:textId="77777777" w:rsidR="00D76598" w:rsidRDefault="00D76598" w:rsidP="00C70B2D">
      <w:r>
        <w:separator/>
      </w:r>
    </w:p>
  </w:footnote>
  <w:footnote w:type="continuationSeparator" w:id="0">
    <w:p w14:paraId="7703E0C2" w14:textId="77777777" w:rsidR="00D76598" w:rsidRDefault="00D76598" w:rsidP="00C70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EE3E5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4A1EF8"/>
    <w:multiLevelType w:val="hybridMultilevel"/>
    <w:tmpl w:val="7CF08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24F85"/>
    <w:multiLevelType w:val="hybridMultilevel"/>
    <w:tmpl w:val="A88E02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02A35"/>
    <w:multiLevelType w:val="hybridMultilevel"/>
    <w:tmpl w:val="F1C00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5D65"/>
    <w:multiLevelType w:val="hybridMultilevel"/>
    <w:tmpl w:val="A870562C"/>
    <w:lvl w:ilvl="0" w:tplc="CEC02F6C">
      <w:start w:val="1"/>
      <w:numFmt w:val="decimal"/>
      <w:lvlText w:val="%1)"/>
      <w:lvlJc w:val="left"/>
      <w:pPr>
        <w:ind w:left="47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7" w:hanging="360"/>
      </w:pPr>
    </w:lvl>
    <w:lvl w:ilvl="2" w:tplc="0406001B" w:tentative="1">
      <w:start w:val="1"/>
      <w:numFmt w:val="lowerRoman"/>
      <w:lvlText w:val="%3."/>
      <w:lvlJc w:val="right"/>
      <w:pPr>
        <w:ind w:left="1917" w:hanging="180"/>
      </w:pPr>
    </w:lvl>
    <w:lvl w:ilvl="3" w:tplc="0406000F" w:tentative="1">
      <w:start w:val="1"/>
      <w:numFmt w:val="decimal"/>
      <w:lvlText w:val="%4."/>
      <w:lvlJc w:val="left"/>
      <w:pPr>
        <w:ind w:left="2637" w:hanging="360"/>
      </w:pPr>
    </w:lvl>
    <w:lvl w:ilvl="4" w:tplc="04060019" w:tentative="1">
      <w:start w:val="1"/>
      <w:numFmt w:val="lowerLetter"/>
      <w:lvlText w:val="%5."/>
      <w:lvlJc w:val="left"/>
      <w:pPr>
        <w:ind w:left="3357" w:hanging="360"/>
      </w:pPr>
    </w:lvl>
    <w:lvl w:ilvl="5" w:tplc="0406001B" w:tentative="1">
      <w:start w:val="1"/>
      <w:numFmt w:val="lowerRoman"/>
      <w:lvlText w:val="%6."/>
      <w:lvlJc w:val="right"/>
      <w:pPr>
        <w:ind w:left="4077" w:hanging="180"/>
      </w:pPr>
    </w:lvl>
    <w:lvl w:ilvl="6" w:tplc="0406000F" w:tentative="1">
      <w:start w:val="1"/>
      <w:numFmt w:val="decimal"/>
      <w:lvlText w:val="%7."/>
      <w:lvlJc w:val="left"/>
      <w:pPr>
        <w:ind w:left="4797" w:hanging="360"/>
      </w:pPr>
    </w:lvl>
    <w:lvl w:ilvl="7" w:tplc="04060019" w:tentative="1">
      <w:start w:val="1"/>
      <w:numFmt w:val="lowerLetter"/>
      <w:lvlText w:val="%8."/>
      <w:lvlJc w:val="left"/>
      <w:pPr>
        <w:ind w:left="5517" w:hanging="360"/>
      </w:pPr>
    </w:lvl>
    <w:lvl w:ilvl="8" w:tplc="040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713B27D8"/>
    <w:multiLevelType w:val="hybridMultilevel"/>
    <w:tmpl w:val="7D8CE2BA"/>
    <w:lvl w:ilvl="0" w:tplc="CB52B3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B5D92"/>
    <w:multiLevelType w:val="hybridMultilevel"/>
    <w:tmpl w:val="BFAE15EC"/>
    <w:lvl w:ilvl="0" w:tplc="12824D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2D"/>
    <w:rsid w:val="00016434"/>
    <w:rsid w:val="000422CC"/>
    <w:rsid w:val="00054645"/>
    <w:rsid w:val="00063561"/>
    <w:rsid w:val="00085866"/>
    <w:rsid w:val="00087986"/>
    <w:rsid w:val="000A6572"/>
    <w:rsid w:val="000C1574"/>
    <w:rsid w:val="000E2DD6"/>
    <w:rsid w:val="00100754"/>
    <w:rsid w:val="0011265A"/>
    <w:rsid w:val="0011323F"/>
    <w:rsid w:val="00124549"/>
    <w:rsid w:val="00126A37"/>
    <w:rsid w:val="001326F6"/>
    <w:rsid w:val="0013479C"/>
    <w:rsid w:val="00134BF9"/>
    <w:rsid w:val="001361D6"/>
    <w:rsid w:val="00147DB3"/>
    <w:rsid w:val="00151FEF"/>
    <w:rsid w:val="00160BAF"/>
    <w:rsid w:val="00193199"/>
    <w:rsid w:val="001A32EA"/>
    <w:rsid w:val="001B0D75"/>
    <w:rsid w:val="001B7AE4"/>
    <w:rsid w:val="001F2C08"/>
    <w:rsid w:val="001F31F8"/>
    <w:rsid w:val="00216436"/>
    <w:rsid w:val="00241657"/>
    <w:rsid w:val="0024547C"/>
    <w:rsid w:val="00285F8B"/>
    <w:rsid w:val="002867A8"/>
    <w:rsid w:val="00291F84"/>
    <w:rsid w:val="002C1FDD"/>
    <w:rsid w:val="002D0673"/>
    <w:rsid w:val="00314A23"/>
    <w:rsid w:val="003357CA"/>
    <w:rsid w:val="00336583"/>
    <w:rsid w:val="003431C0"/>
    <w:rsid w:val="003603B1"/>
    <w:rsid w:val="00362FBF"/>
    <w:rsid w:val="00364E72"/>
    <w:rsid w:val="003737DA"/>
    <w:rsid w:val="003772C7"/>
    <w:rsid w:val="0039175E"/>
    <w:rsid w:val="0039351C"/>
    <w:rsid w:val="003B4199"/>
    <w:rsid w:val="003D28AF"/>
    <w:rsid w:val="0041119A"/>
    <w:rsid w:val="00451D6A"/>
    <w:rsid w:val="00456A6A"/>
    <w:rsid w:val="00457F2F"/>
    <w:rsid w:val="00460213"/>
    <w:rsid w:val="00462B50"/>
    <w:rsid w:val="00475D90"/>
    <w:rsid w:val="004A1EE2"/>
    <w:rsid w:val="004C0FE6"/>
    <w:rsid w:val="004C4AA1"/>
    <w:rsid w:val="004C6E2B"/>
    <w:rsid w:val="004E4778"/>
    <w:rsid w:val="004F369A"/>
    <w:rsid w:val="005032FE"/>
    <w:rsid w:val="00516DE9"/>
    <w:rsid w:val="0053106B"/>
    <w:rsid w:val="00551C6B"/>
    <w:rsid w:val="0055516C"/>
    <w:rsid w:val="005734B1"/>
    <w:rsid w:val="005975F9"/>
    <w:rsid w:val="005A14C2"/>
    <w:rsid w:val="005C1F48"/>
    <w:rsid w:val="005D02AE"/>
    <w:rsid w:val="005D35F6"/>
    <w:rsid w:val="005E1278"/>
    <w:rsid w:val="005E3143"/>
    <w:rsid w:val="005E5504"/>
    <w:rsid w:val="0060531D"/>
    <w:rsid w:val="0064228E"/>
    <w:rsid w:val="00643754"/>
    <w:rsid w:val="00676DE3"/>
    <w:rsid w:val="006A5371"/>
    <w:rsid w:val="006A5498"/>
    <w:rsid w:val="006E4044"/>
    <w:rsid w:val="006E6CB1"/>
    <w:rsid w:val="006E7212"/>
    <w:rsid w:val="00704496"/>
    <w:rsid w:val="00705D63"/>
    <w:rsid w:val="00710CFC"/>
    <w:rsid w:val="00710F09"/>
    <w:rsid w:val="00717236"/>
    <w:rsid w:val="0072256C"/>
    <w:rsid w:val="00745586"/>
    <w:rsid w:val="00747A46"/>
    <w:rsid w:val="007677F0"/>
    <w:rsid w:val="00796AED"/>
    <w:rsid w:val="007B03C0"/>
    <w:rsid w:val="007B7215"/>
    <w:rsid w:val="007C32A3"/>
    <w:rsid w:val="007D04DC"/>
    <w:rsid w:val="007D268B"/>
    <w:rsid w:val="007F09C6"/>
    <w:rsid w:val="007F370A"/>
    <w:rsid w:val="00811B63"/>
    <w:rsid w:val="008231E6"/>
    <w:rsid w:val="0082403E"/>
    <w:rsid w:val="00826114"/>
    <w:rsid w:val="0082706F"/>
    <w:rsid w:val="008307AE"/>
    <w:rsid w:val="00837433"/>
    <w:rsid w:val="00846996"/>
    <w:rsid w:val="00864A64"/>
    <w:rsid w:val="00864C7D"/>
    <w:rsid w:val="0086683D"/>
    <w:rsid w:val="00877FE0"/>
    <w:rsid w:val="008F18EE"/>
    <w:rsid w:val="00907268"/>
    <w:rsid w:val="00944007"/>
    <w:rsid w:val="00950076"/>
    <w:rsid w:val="00963487"/>
    <w:rsid w:val="00971725"/>
    <w:rsid w:val="009A2BC0"/>
    <w:rsid w:val="009C0878"/>
    <w:rsid w:val="009E6441"/>
    <w:rsid w:val="00A01081"/>
    <w:rsid w:val="00A11D23"/>
    <w:rsid w:val="00A12597"/>
    <w:rsid w:val="00A359F9"/>
    <w:rsid w:val="00A4082A"/>
    <w:rsid w:val="00A429FE"/>
    <w:rsid w:val="00A70020"/>
    <w:rsid w:val="00A970B5"/>
    <w:rsid w:val="00AB3DFD"/>
    <w:rsid w:val="00AB73DD"/>
    <w:rsid w:val="00AF0585"/>
    <w:rsid w:val="00B073F1"/>
    <w:rsid w:val="00B15F50"/>
    <w:rsid w:val="00B34DA8"/>
    <w:rsid w:val="00B414CF"/>
    <w:rsid w:val="00B44D4A"/>
    <w:rsid w:val="00B453D5"/>
    <w:rsid w:val="00B5025B"/>
    <w:rsid w:val="00B5194B"/>
    <w:rsid w:val="00B6260E"/>
    <w:rsid w:val="00B65B56"/>
    <w:rsid w:val="00B9305E"/>
    <w:rsid w:val="00BB4CE9"/>
    <w:rsid w:val="00BD0995"/>
    <w:rsid w:val="00BE6BA9"/>
    <w:rsid w:val="00BF4A4C"/>
    <w:rsid w:val="00C06DC8"/>
    <w:rsid w:val="00C156D8"/>
    <w:rsid w:val="00C53A3D"/>
    <w:rsid w:val="00C70B2D"/>
    <w:rsid w:val="00C75FB9"/>
    <w:rsid w:val="00CA3405"/>
    <w:rsid w:val="00CB07D3"/>
    <w:rsid w:val="00D158F3"/>
    <w:rsid w:val="00D15C77"/>
    <w:rsid w:val="00D20F16"/>
    <w:rsid w:val="00D35D2D"/>
    <w:rsid w:val="00D5729B"/>
    <w:rsid w:val="00D60C21"/>
    <w:rsid w:val="00D6395D"/>
    <w:rsid w:val="00D730C9"/>
    <w:rsid w:val="00D76296"/>
    <w:rsid w:val="00D76598"/>
    <w:rsid w:val="00D906DD"/>
    <w:rsid w:val="00DA115B"/>
    <w:rsid w:val="00DB7C3F"/>
    <w:rsid w:val="00DC7E31"/>
    <w:rsid w:val="00DD59F2"/>
    <w:rsid w:val="00DE2C00"/>
    <w:rsid w:val="00DE332F"/>
    <w:rsid w:val="00DF0047"/>
    <w:rsid w:val="00DF3413"/>
    <w:rsid w:val="00DF64D7"/>
    <w:rsid w:val="00DF66DA"/>
    <w:rsid w:val="00E102B0"/>
    <w:rsid w:val="00E13C23"/>
    <w:rsid w:val="00E13F85"/>
    <w:rsid w:val="00E2350B"/>
    <w:rsid w:val="00E275E0"/>
    <w:rsid w:val="00E3066E"/>
    <w:rsid w:val="00E36FDB"/>
    <w:rsid w:val="00E41BE1"/>
    <w:rsid w:val="00E442EE"/>
    <w:rsid w:val="00E83EAA"/>
    <w:rsid w:val="00E87EBF"/>
    <w:rsid w:val="00EB766E"/>
    <w:rsid w:val="00EC2FF2"/>
    <w:rsid w:val="00ED1C0D"/>
    <w:rsid w:val="00ED3F2A"/>
    <w:rsid w:val="00ED46D9"/>
    <w:rsid w:val="00EE1A16"/>
    <w:rsid w:val="00F0209A"/>
    <w:rsid w:val="00F1434A"/>
    <w:rsid w:val="00F40C85"/>
    <w:rsid w:val="00F415D5"/>
    <w:rsid w:val="00F52E3D"/>
    <w:rsid w:val="00F70EED"/>
    <w:rsid w:val="00F81308"/>
    <w:rsid w:val="00F96092"/>
    <w:rsid w:val="00FD29B1"/>
    <w:rsid w:val="00FF050F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0B5B"/>
  <w15:chartTrackingRefBased/>
  <w15:docId w15:val="{357857EF-BAD9-43C1-AAC7-D6822C37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0B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C70B2D"/>
    <w:rPr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C70B2D"/>
    <w:rPr>
      <w:rFonts w:ascii="Arial" w:eastAsia="Arial" w:hAnsi="Arial" w:cs="Arial"/>
      <w:sz w:val="20"/>
      <w:szCs w:val="20"/>
    </w:rPr>
  </w:style>
  <w:style w:type="paragraph" w:styleId="Titel">
    <w:name w:val="Title"/>
    <w:basedOn w:val="Normal"/>
    <w:link w:val="TitelTegn"/>
    <w:uiPriority w:val="1"/>
    <w:qFormat/>
    <w:rsid w:val="00C70B2D"/>
    <w:pPr>
      <w:spacing w:before="273"/>
      <w:ind w:left="117" w:right="593"/>
    </w:pPr>
    <w:rPr>
      <w:rFonts w:ascii="Gill Sans" w:eastAsia="Gill Sans" w:hAnsi="Gill Sans" w:cs="Gill Sans"/>
      <w:b/>
      <w:bCs/>
      <w:sz w:val="58"/>
      <w:szCs w:val="58"/>
    </w:rPr>
  </w:style>
  <w:style w:type="character" w:customStyle="1" w:styleId="TitelTegn">
    <w:name w:val="Titel Tegn"/>
    <w:basedOn w:val="Standardskrifttypeiafsnit"/>
    <w:link w:val="Titel"/>
    <w:uiPriority w:val="1"/>
    <w:rsid w:val="00C70B2D"/>
    <w:rPr>
      <w:rFonts w:ascii="Gill Sans" w:eastAsia="Gill Sans" w:hAnsi="Gill Sans" w:cs="Gill Sans"/>
      <w:b/>
      <w:bCs/>
      <w:sz w:val="58"/>
      <w:szCs w:val="58"/>
    </w:rPr>
  </w:style>
  <w:style w:type="paragraph" w:styleId="Listeafsnit">
    <w:name w:val="List Paragraph"/>
    <w:basedOn w:val="Normal"/>
    <w:uiPriority w:val="34"/>
    <w:qFormat/>
    <w:rsid w:val="00C70B2D"/>
  </w:style>
  <w:style w:type="table" w:styleId="Tabel-Gitter">
    <w:name w:val="Table Grid"/>
    <w:basedOn w:val="Tabel-Normal"/>
    <w:uiPriority w:val="59"/>
    <w:rsid w:val="00C70B2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C70B2D"/>
    <w:pPr>
      <w:widowControl/>
      <w:autoSpaceDE/>
      <w:autoSpaceDN/>
    </w:pPr>
    <w:rPr>
      <w:rFonts w:ascii="Calibri" w:eastAsiaTheme="minorHAnsi" w:hAnsi="Calibri" w:cs="Calibri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70B2D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70B2D"/>
    <w:rPr>
      <w:rFonts w:ascii="Arial" w:eastAsia="Arial" w:hAnsi="Arial" w:cs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70B2D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050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050F"/>
    <w:rPr>
      <w:rFonts w:ascii="Segoe UI" w:eastAsia="Arial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11D2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11D2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11D23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11D2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11D23"/>
    <w:rPr>
      <w:rFonts w:ascii="Arial" w:eastAsia="Arial" w:hAnsi="Arial" w:cs="Arial"/>
      <w:b/>
      <w:bCs/>
      <w:sz w:val="20"/>
      <w:szCs w:val="20"/>
    </w:rPr>
  </w:style>
  <w:style w:type="paragraph" w:styleId="Opstilling-talellerbogst">
    <w:name w:val="List Number"/>
    <w:basedOn w:val="Normal"/>
    <w:uiPriority w:val="99"/>
    <w:unhideWhenUsed/>
    <w:rsid w:val="00D906DD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1235-0BF1-4A44-927B-EDEE915F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268</Words>
  <Characters>1730</Characters>
  <Application>Microsoft Office Word</Application>
  <DocSecurity>0</DocSecurity>
  <Lines>40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Sadije Mehmeti (EM-DEP)</dc:creator>
  <cp:keywords/>
  <dc:description/>
  <cp:lastModifiedBy>Nikolaj Harding (EM-DEP)</cp:lastModifiedBy>
  <cp:revision>32</cp:revision>
  <dcterms:created xsi:type="dcterms:W3CDTF">2024-06-06T22:04:00Z</dcterms:created>
  <dcterms:modified xsi:type="dcterms:W3CDTF">2025-04-06T08:51:00Z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